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1D5025">
      <w:pPr>
        <w:jc w:val="right"/>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val="en-US" w:eastAsia="zh-CN"/>
        </w:rPr>
        <w:t>送审版</w:t>
      </w:r>
    </w:p>
    <w:p w14:paraId="1680BCEC">
      <w:pPr>
        <w:rPr>
          <w:rFonts w:hint="eastAsia" w:ascii="黑体" w:hAnsi="黑体" w:eastAsia="黑体" w:cs="黑体"/>
          <w:color w:val="auto"/>
          <w:sz w:val="36"/>
          <w:szCs w:val="36"/>
        </w:rPr>
      </w:pPr>
    </w:p>
    <w:p w14:paraId="1378BFEB">
      <w:pPr>
        <w:rPr>
          <w:rFonts w:hint="eastAsia" w:ascii="黑体" w:hAnsi="黑体" w:eastAsia="黑体" w:cs="黑体"/>
          <w:color w:val="auto"/>
          <w:sz w:val="36"/>
          <w:szCs w:val="36"/>
        </w:rPr>
      </w:pPr>
    </w:p>
    <w:p w14:paraId="1E75CBC2">
      <w:pPr>
        <w:rPr>
          <w:rFonts w:hint="eastAsia" w:ascii="黑体" w:hAnsi="黑体" w:eastAsia="黑体" w:cs="黑体"/>
          <w:color w:val="auto"/>
          <w:sz w:val="36"/>
          <w:szCs w:val="36"/>
        </w:rPr>
      </w:pPr>
    </w:p>
    <w:p w14:paraId="1E301B77">
      <w:pPr>
        <w:pStyle w:val="2"/>
        <w:rPr>
          <w:rFonts w:hint="eastAsia" w:ascii="黑体" w:hAnsi="黑体" w:eastAsia="黑体" w:cs="黑体"/>
          <w:color w:val="auto"/>
        </w:rPr>
      </w:pPr>
    </w:p>
    <w:p w14:paraId="6094362C">
      <w:pPr>
        <w:rPr>
          <w:rFonts w:hint="eastAsia" w:ascii="黑体" w:hAnsi="黑体" w:eastAsia="黑体" w:cs="黑体"/>
          <w:color w:val="auto"/>
          <w:sz w:val="36"/>
          <w:szCs w:val="36"/>
        </w:rPr>
      </w:pPr>
    </w:p>
    <w:p w14:paraId="6E66BA6E">
      <w:pPr>
        <w:adjustRightInd w:val="0"/>
        <w:snapToGrid w:val="0"/>
        <w:jc w:val="center"/>
        <w:outlineLvl w:val="0"/>
        <w:rPr>
          <w:rFonts w:hint="eastAsia" w:ascii="黑体" w:hAnsi="黑体" w:eastAsia="黑体" w:cs="黑体"/>
          <w:color w:val="auto"/>
          <w:sz w:val="72"/>
          <w:szCs w:val="72"/>
        </w:rPr>
      </w:pPr>
      <w:bookmarkStart w:id="0" w:name="_Toc8053"/>
      <w:bookmarkStart w:id="1" w:name="_Toc2107"/>
      <w:bookmarkStart w:id="2" w:name="_Toc15882"/>
      <w:r>
        <w:rPr>
          <w:rFonts w:hint="eastAsia" w:ascii="黑体" w:hAnsi="黑体" w:eastAsia="黑体" w:cs="黑体"/>
          <w:color w:val="auto"/>
          <w:sz w:val="72"/>
          <w:szCs w:val="72"/>
        </w:rPr>
        <w:t>建设项目环境影响报告表</w:t>
      </w:r>
      <w:bookmarkEnd w:id="0"/>
      <w:bookmarkEnd w:id="1"/>
      <w:bookmarkEnd w:id="2"/>
    </w:p>
    <w:p w14:paraId="0EBAAF75">
      <w:pPr>
        <w:adjustRightInd w:val="0"/>
        <w:snapToGrid w:val="0"/>
        <w:spacing w:before="192" w:beforeLines="80"/>
        <w:jc w:val="center"/>
        <w:rPr>
          <w:rFonts w:hint="eastAsia" w:ascii="黑体" w:hAnsi="黑体" w:eastAsia="黑体" w:cs="黑体"/>
          <w:color w:val="auto"/>
          <w:sz w:val="48"/>
          <w:szCs w:val="48"/>
        </w:rPr>
      </w:pPr>
      <w:r>
        <w:rPr>
          <w:rFonts w:hint="eastAsia" w:ascii="黑体" w:hAnsi="黑体" w:eastAsia="黑体" w:cs="黑体"/>
          <w:color w:val="auto"/>
          <w:sz w:val="48"/>
          <w:szCs w:val="48"/>
        </w:rPr>
        <w:t>（污染影响类）</w:t>
      </w:r>
    </w:p>
    <w:p w14:paraId="528BD60E">
      <w:pPr>
        <w:adjustRightInd w:val="0"/>
        <w:snapToGrid w:val="0"/>
        <w:spacing w:line="288" w:lineRule="auto"/>
        <w:jc w:val="center"/>
        <w:rPr>
          <w:rFonts w:hint="eastAsia" w:ascii="黑体" w:hAnsi="黑体" w:eastAsia="黑体" w:cs="黑体"/>
          <w:color w:val="auto"/>
          <w:kern w:val="44"/>
          <w:sz w:val="44"/>
          <w:szCs w:val="44"/>
        </w:rPr>
      </w:pPr>
    </w:p>
    <w:p w14:paraId="4E9DAE77">
      <w:pPr>
        <w:jc w:val="center"/>
        <w:rPr>
          <w:rFonts w:hint="eastAsia" w:ascii="黑体" w:hAnsi="黑体" w:eastAsia="黑体" w:cs="黑体"/>
          <w:color w:val="auto"/>
          <w:sz w:val="52"/>
          <w:szCs w:val="52"/>
        </w:rPr>
      </w:pPr>
    </w:p>
    <w:p w14:paraId="6D266528">
      <w:pPr>
        <w:ind w:firstLine="1040"/>
        <w:rPr>
          <w:rFonts w:hint="eastAsia" w:ascii="黑体" w:hAnsi="黑体" w:eastAsia="黑体" w:cs="黑体"/>
          <w:color w:val="auto"/>
          <w:sz w:val="44"/>
          <w:szCs w:val="44"/>
        </w:rPr>
      </w:pPr>
    </w:p>
    <w:p w14:paraId="228AA29F">
      <w:pPr>
        <w:ind w:firstLine="1040"/>
        <w:rPr>
          <w:rFonts w:hint="eastAsia" w:ascii="黑体" w:hAnsi="黑体" w:eastAsia="黑体" w:cs="黑体"/>
          <w:color w:val="auto"/>
          <w:sz w:val="44"/>
          <w:szCs w:val="44"/>
        </w:rPr>
      </w:pPr>
    </w:p>
    <w:p w14:paraId="5654B464">
      <w:pPr>
        <w:ind w:firstLine="1040"/>
        <w:rPr>
          <w:rFonts w:hint="eastAsia" w:ascii="黑体" w:hAnsi="黑体" w:eastAsia="黑体" w:cs="黑体"/>
          <w:color w:val="auto"/>
          <w:sz w:val="44"/>
          <w:szCs w:val="44"/>
        </w:rPr>
      </w:pPr>
      <w:bookmarkStart w:id="3" w:name="_Hlk57884087"/>
    </w:p>
    <w:p w14:paraId="145328BE">
      <w:pPr>
        <w:adjustRightInd w:val="0"/>
        <w:snapToGrid w:val="0"/>
        <w:spacing w:line="288" w:lineRule="auto"/>
        <w:jc w:val="left"/>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rPr>
        <w:t>项目名称：</w:t>
      </w:r>
      <w:r>
        <w:rPr>
          <w:rFonts w:hint="eastAsia" w:ascii="黑体" w:hAnsi="黑体" w:eastAsia="黑体" w:cs="黑体"/>
          <w:color w:val="auto"/>
          <w:sz w:val="32"/>
          <w:szCs w:val="32"/>
          <w:u w:val="single"/>
          <w:lang w:eastAsia="zh-CN"/>
        </w:rPr>
        <w:t>山东鑫瓷新材料有限公司年产2万吨新能源电</w:t>
      </w:r>
    </w:p>
    <w:p w14:paraId="3D44B30A">
      <w:pPr>
        <w:adjustRightInd w:val="0"/>
        <w:snapToGrid w:val="0"/>
        <w:spacing w:line="288" w:lineRule="auto"/>
        <w:ind w:firstLine="1600" w:firstLineChars="500"/>
        <w:jc w:val="left"/>
        <w:rPr>
          <w:rFonts w:hint="eastAsia" w:ascii="黑体" w:hAnsi="黑体" w:eastAsia="黑体" w:cs="黑体"/>
          <w:color w:val="auto"/>
          <w:sz w:val="32"/>
          <w:szCs w:val="32"/>
          <w:u w:val="single"/>
        </w:rPr>
      </w:pPr>
      <w:r>
        <w:rPr>
          <w:rFonts w:hint="eastAsia" w:ascii="黑体" w:hAnsi="黑体" w:eastAsia="黑体" w:cs="黑体"/>
          <w:color w:val="auto"/>
          <w:sz w:val="32"/>
          <w:szCs w:val="32"/>
          <w:u w:val="single"/>
          <w:lang w:eastAsia="zh-CN"/>
        </w:rPr>
        <w:t>池用高纯晶体纳米新材料项目</w:t>
      </w:r>
      <w:r>
        <w:rPr>
          <w:rFonts w:hint="eastAsia" w:ascii="黑体" w:hAnsi="黑体" w:eastAsia="黑体" w:cs="黑体"/>
          <w:color w:val="auto"/>
          <w:sz w:val="32"/>
          <w:szCs w:val="32"/>
          <w:u w:val="single"/>
          <w:lang w:val="en-US" w:eastAsia="zh-CN"/>
        </w:rPr>
        <w:t xml:space="preserve">              </w:t>
      </w:r>
    </w:p>
    <w:p w14:paraId="5A965275">
      <w:pPr>
        <w:adjustRightInd w:val="0"/>
        <w:snapToGrid w:val="0"/>
        <w:spacing w:line="288" w:lineRule="auto"/>
        <w:jc w:val="left"/>
        <w:rPr>
          <w:rFonts w:hint="eastAsia" w:ascii="黑体" w:hAnsi="黑体" w:eastAsia="黑体" w:cs="黑体"/>
          <w:color w:val="auto"/>
          <w:sz w:val="32"/>
          <w:szCs w:val="32"/>
          <w:u w:val="single"/>
        </w:rPr>
      </w:pPr>
      <w:r>
        <w:rPr>
          <w:rFonts w:hint="eastAsia" w:ascii="黑体" w:hAnsi="黑体" w:eastAsia="黑体" w:cs="黑体"/>
          <w:color w:val="auto"/>
          <w:sz w:val="32"/>
          <w:szCs w:val="32"/>
        </w:rPr>
        <w:t>建设单位</w:t>
      </w:r>
      <w:r>
        <w:rPr>
          <w:rFonts w:hint="eastAsia" w:ascii="黑体" w:hAnsi="黑体" w:eastAsia="黑体" w:cs="黑体"/>
          <w:color w:val="auto"/>
          <w:sz w:val="16"/>
          <w:szCs w:val="16"/>
        </w:rPr>
        <w:t>（盖章）</w:t>
      </w:r>
      <w:r>
        <w:rPr>
          <w:rFonts w:hint="eastAsia" w:ascii="黑体" w:hAnsi="黑体" w:eastAsia="黑体" w:cs="黑体"/>
          <w:color w:val="auto"/>
          <w:sz w:val="32"/>
          <w:szCs w:val="32"/>
        </w:rPr>
        <w:t>：</w:t>
      </w:r>
      <w:r>
        <w:rPr>
          <w:rFonts w:hint="eastAsia" w:ascii="黑体" w:hAnsi="黑体" w:eastAsia="黑体" w:cs="黑体"/>
          <w:color w:val="auto"/>
          <w:sz w:val="32"/>
          <w:szCs w:val="32"/>
          <w:u w:val="single"/>
        </w:rPr>
        <w:t xml:space="preserve">      </w:t>
      </w:r>
      <w:r>
        <w:rPr>
          <w:rFonts w:hint="eastAsia" w:ascii="黑体" w:hAnsi="黑体" w:eastAsia="黑体" w:cs="黑体"/>
          <w:color w:val="auto"/>
          <w:sz w:val="32"/>
          <w:szCs w:val="32"/>
          <w:u w:val="single"/>
          <w:lang w:eastAsia="zh-CN"/>
        </w:rPr>
        <w:t>山东鑫瓷新材料有限公司</w:t>
      </w:r>
      <w:r>
        <w:rPr>
          <w:rFonts w:hint="eastAsia" w:ascii="黑体" w:hAnsi="黑体" w:eastAsia="黑体" w:cs="黑体"/>
          <w:color w:val="auto"/>
          <w:sz w:val="32"/>
          <w:szCs w:val="32"/>
          <w:u w:val="single"/>
        </w:rPr>
        <w:t xml:space="preserve"> </w:t>
      </w:r>
      <w:r>
        <w:rPr>
          <w:rFonts w:hint="eastAsia" w:ascii="黑体" w:hAnsi="黑体" w:eastAsia="黑体" w:cs="黑体"/>
          <w:color w:val="auto"/>
          <w:sz w:val="32"/>
          <w:szCs w:val="32"/>
          <w:u w:val="single"/>
          <w:lang w:val="en-US" w:eastAsia="zh-CN"/>
        </w:rPr>
        <w:t xml:space="preserve">  </w:t>
      </w:r>
      <w:r>
        <w:rPr>
          <w:rFonts w:hint="eastAsia" w:ascii="黑体" w:hAnsi="黑体" w:eastAsia="黑体" w:cs="黑体"/>
          <w:color w:val="auto"/>
          <w:sz w:val="32"/>
          <w:szCs w:val="32"/>
          <w:u w:val="single"/>
        </w:rPr>
        <w:t xml:space="preserve">  </w:t>
      </w:r>
      <w:r>
        <w:rPr>
          <w:rFonts w:hint="eastAsia" w:ascii="黑体" w:hAnsi="黑体" w:eastAsia="黑体" w:cs="黑体"/>
          <w:color w:val="auto"/>
          <w:sz w:val="32"/>
          <w:szCs w:val="32"/>
          <w:u w:val="single"/>
          <w:lang w:val="en-US" w:eastAsia="zh-CN"/>
        </w:rPr>
        <w:t xml:space="preserve"> </w:t>
      </w:r>
    </w:p>
    <w:p w14:paraId="704A53D6">
      <w:pPr>
        <w:adjustRightInd w:val="0"/>
        <w:snapToGrid w:val="0"/>
        <w:spacing w:line="288" w:lineRule="auto"/>
        <w:jc w:val="left"/>
        <w:rPr>
          <w:rFonts w:hint="eastAsia" w:ascii="黑体" w:hAnsi="黑体" w:eastAsia="黑体" w:cs="黑体"/>
          <w:color w:val="auto"/>
          <w:sz w:val="32"/>
          <w:szCs w:val="32"/>
          <w:u w:val="single"/>
          <w:lang w:val="en-US" w:eastAsia="zh-CN"/>
        </w:rPr>
      </w:pPr>
      <w:r>
        <w:rPr>
          <w:rFonts w:hint="eastAsia" w:ascii="黑体" w:hAnsi="黑体" w:eastAsia="黑体" w:cs="黑体"/>
          <w:color w:val="auto"/>
          <w:sz w:val="32"/>
          <w:szCs w:val="32"/>
        </w:rPr>
        <w:t>编制日期：</w:t>
      </w:r>
      <w:r>
        <w:rPr>
          <w:rFonts w:hint="eastAsia" w:ascii="黑体" w:hAnsi="黑体" w:eastAsia="黑体" w:cs="黑体"/>
          <w:color w:val="auto"/>
          <w:sz w:val="32"/>
          <w:szCs w:val="32"/>
          <w:u w:val="single"/>
        </w:rPr>
        <w:t xml:space="preserve">                 202</w:t>
      </w:r>
      <w:r>
        <w:rPr>
          <w:rFonts w:hint="eastAsia" w:ascii="黑体" w:hAnsi="黑体" w:eastAsia="黑体" w:cs="黑体"/>
          <w:color w:val="auto"/>
          <w:sz w:val="32"/>
          <w:szCs w:val="32"/>
          <w:u w:val="single"/>
          <w:lang w:val="en-US" w:eastAsia="zh-CN"/>
        </w:rPr>
        <w:t>6</w:t>
      </w:r>
      <w:r>
        <w:rPr>
          <w:rFonts w:hint="eastAsia" w:ascii="黑体" w:hAnsi="黑体" w:eastAsia="黑体" w:cs="黑体"/>
          <w:color w:val="auto"/>
          <w:sz w:val="32"/>
          <w:szCs w:val="32"/>
          <w:u w:val="single"/>
        </w:rPr>
        <w:t>年</w:t>
      </w:r>
      <w:r>
        <w:rPr>
          <w:rFonts w:hint="eastAsia" w:ascii="黑体" w:hAnsi="黑体" w:eastAsia="黑体" w:cs="黑体"/>
          <w:color w:val="auto"/>
          <w:sz w:val="32"/>
          <w:szCs w:val="32"/>
          <w:u w:val="single"/>
          <w:lang w:val="en-US" w:eastAsia="zh-CN"/>
        </w:rPr>
        <w:t>6</w:t>
      </w:r>
      <w:r>
        <w:rPr>
          <w:rFonts w:hint="eastAsia" w:ascii="黑体" w:hAnsi="黑体" w:eastAsia="黑体" w:cs="黑体"/>
          <w:color w:val="auto"/>
          <w:sz w:val="32"/>
          <w:szCs w:val="32"/>
          <w:u w:val="single"/>
        </w:rPr>
        <w:t xml:space="preserve">月       </w:t>
      </w:r>
      <w:r>
        <w:rPr>
          <w:rFonts w:hint="eastAsia" w:ascii="黑体" w:hAnsi="黑体" w:eastAsia="黑体" w:cs="黑体"/>
          <w:color w:val="auto"/>
          <w:sz w:val="32"/>
          <w:szCs w:val="32"/>
          <w:u w:val="single"/>
          <w:lang w:val="en-US" w:eastAsia="zh-CN"/>
        </w:rPr>
        <w:t xml:space="preserve">      </w:t>
      </w:r>
    </w:p>
    <w:p w14:paraId="6D0C6E29">
      <w:pPr>
        <w:adjustRightInd w:val="0"/>
        <w:snapToGrid w:val="0"/>
        <w:spacing w:line="288" w:lineRule="auto"/>
        <w:rPr>
          <w:rFonts w:hint="eastAsia" w:ascii="黑体" w:hAnsi="黑体" w:eastAsia="黑体" w:cs="黑体"/>
          <w:color w:val="auto"/>
          <w:sz w:val="36"/>
          <w:szCs w:val="36"/>
          <w:lang w:val="en-US" w:eastAsia="zh-CN"/>
        </w:rPr>
      </w:pPr>
      <w:r>
        <w:rPr>
          <w:rFonts w:hint="eastAsia" w:ascii="黑体" w:hAnsi="黑体" w:eastAsia="黑体" w:cs="黑体"/>
          <w:color w:val="auto"/>
          <w:sz w:val="36"/>
          <w:szCs w:val="36"/>
          <w:lang w:val="en-US" w:eastAsia="zh-CN"/>
        </w:rPr>
        <w:t xml:space="preserve"> </w:t>
      </w:r>
    </w:p>
    <w:p w14:paraId="618C1AB4">
      <w:pPr>
        <w:pStyle w:val="2"/>
        <w:ind w:firstLine="720"/>
        <w:rPr>
          <w:rFonts w:hint="eastAsia" w:ascii="黑体" w:hAnsi="黑体" w:eastAsia="黑体" w:cs="黑体"/>
          <w:color w:val="auto"/>
          <w:sz w:val="36"/>
          <w:szCs w:val="36"/>
        </w:rPr>
      </w:pPr>
    </w:p>
    <w:p w14:paraId="7CB28925">
      <w:pPr>
        <w:rPr>
          <w:rFonts w:hint="eastAsia" w:ascii="黑体" w:hAnsi="黑体" w:eastAsia="黑体" w:cs="黑体"/>
          <w:color w:val="auto"/>
        </w:rPr>
      </w:pPr>
    </w:p>
    <w:p w14:paraId="35AFE535">
      <w:pPr>
        <w:rPr>
          <w:rFonts w:hint="eastAsia" w:ascii="黑体" w:hAnsi="黑体" w:eastAsia="黑体" w:cs="黑体"/>
          <w:color w:val="auto"/>
        </w:rPr>
      </w:pPr>
    </w:p>
    <w:p w14:paraId="46BB5ECD">
      <w:pPr>
        <w:pStyle w:val="2"/>
        <w:rPr>
          <w:rFonts w:hint="eastAsia" w:ascii="黑体" w:hAnsi="黑体" w:eastAsia="黑体" w:cs="黑体"/>
          <w:color w:val="auto"/>
        </w:rPr>
      </w:pPr>
    </w:p>
    <w:p w14:paraId="18BD1F60">
      <w:pPr>
        <w:rPr>
          <w:rFonts w:hint="eastAsia" w:ascii="黑体" w:hAnsi="黑体" w:eastAsia="黑体" w:cs="黑体"/>
        </w:rPr>
      </w:pPr>
    </w:p>
    <w:p w14:paraId="2D5460DA">
      <w:pPr>
        <w:rPr>
          <w:rFonts w:hint="eastAsia" w:ascii="黑体" w:hAnsi="黑体" w:eastAsia="黑体" w:cs="黑体"/>
          <w:color w:val="auto"/>
        </w:rPr>
      </w:pPr>
    </w:p>
    <w:p w14:paraId="0EBFA819">
      <w:pPr>
        <w:adjustRightInd w:val="0"/>
        <w:snapToGrid w:val="0"/>
        <w:spacing w:line="288" w:lineRule="auto"/>
        <w:rPr>
          <w:rFonts w:hint="eastAsia" w:ascii="黑体" w:hAnsi="黑体" w:eastAsia="黑体" w:cs="黑体"/>
          <w:color w:val="auto"/>
          <w:sz w:val="36"/>
          <w:szCs w:val="36"/>
        </w:rPr>
      </w:pPr>
    </w:p>
    <w:bookmarkEnd w:id="3"/>
    <w:p w14:paraId="1FAC5F0A">
      <w:pPr>
        <w:adjustRightInd w:val="0"/>
        <w:snapToGrid w:val="0"/>
        <w:spacing w:line="288" w:lineRule="auto"/>
        <w:jc w:val="center"/>
        <w:rPr>
          <w:rFonts w:hint="eastAsia" w:ascii="黑体" w:hAnsi="黑体" w:eastAsia="黑体" w:cs="黑体"/>
          <w:color w:val="auto"/>
        </w:rPr>
      </w:pPr>
      <w:r>
        <w:rPr>
          <w:rFonts w:hint="eastAsia" w:ascii="黑体" w:hAnsi="黑体" w:eastAsia="黑体" w:cs="黑体"/>
          <w:color w:val="auto"/>
          <w:sz w:val="36"/>
          <w:szCs w:val="36"/>
        </w:rPr>
        <w:t>中华人民共和国生态环境部制</w:t>
      </w:r>
    </w:p>
    <w:p w14:paraId="56CFEEAE">
      <w:pPr>
        <w:rPr>
          <w:rFonts w:hint="default" w:ascii="Times New Roman" w:hAnsi="Times New Roman" w:cs="Times New Roman"/>
          <w:color w:val="auto"/>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numberInDash" w:start="3"/>
          <w:cols w:space="720" w:num="1"/>
          <w:docGrid w:linePitch="312" w:charSpace="0"/>
        </w:sectPr>
      </w:pPr>
    </w:p>
    <w:p w14:paraId="6D4A9FF2">
      <w:pPr>
        <w:pStyle w:val="32"/>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4" w:name="_Toc13751"/>
      <w:bookmarkStart w:id="5" w:name="_Toc30117"/>
      <w:bookmarkStart w:id="6" w:name="_Toc10078"/>
      <w:r>
        <w:rPr>
          <w:rFonts w:hint="default" w:ascii="Times New Roman" w:hAnsi="Times New Roman" w:eastAsia="黑体" w:cs="Times New Roman"/>
          <w:snapToGrid w:val="0"/>
          <w:color w:val="auto"/>
          <w:sz w:val="30"/>
          <w:szCs w:val="30"/>
          <w:highlight w:val="none"/>
        </w:rPr>
        <w:t>一、建设项目基本情况</w:t>
      </w:r>
      <w:bookmarkEnd w:id="4"/>
      <w:bookmarkEnd w:id="5"/>
      <w:bookmarkEnd w:id="6"/>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2357"/>
        <w:gridCol w:w="2099"/>
        <w:gridCol w:w="3241"/>
      </w:tblGrid>
      <w:tr w14:paraId="4F7179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087EB1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建设项目名称</w:t>
            </w:r>
          </w:p>
        </w:tc>
        <w:tc>
          <w:tcPr>
            <w:tcW w:w="7612" w:type="dxa"/>
            <w:gridSpan w:val="3"/>
            <w:noWrap w:val="0"/>
            <w:vAlign w:val="center"/>
          </w:tcPr>
          <w:p w14:paraId="7C670D31">
            <w:pPr>
              <w:keepNext w:val="0"/>
              <w:keepLines w:val="0"/>
              <w:suppressLineNumbers w:val="0"/>
              <w:adjustRightInd w:val="0"/>
              <w:snapToGrid w:val="0"/>
              <w:spacing w:before="0" w:beforeAutospacing="0" w:after="0" w:afterAutospacing="0"/>
              <w:ind w:left="0" w:right="0"/>
              <w:jc w:val="center"/>
              <w:rPr>
                <w:rFonts w:hint="eastAsia" w:cs="Times New Roman"/>
                <w:color w:val="auto"/>
                <w:sz w:val="24"/>
                <w:highlight w:val="none"/>
                <w:lang w:eastAsia="zh-CN"/>
              </w:rPr>
            </w:pPr>
            <w:r>
              <w:rPr>
                <w:rFonts w:hint="eastAsia" w:cs="Times New Roman"/>
                <w:color w:val="auto"/>
                <w:sz w:val="24"/>
                <w:highlight w:val="none"/>
                <w:lang w:eastAsia="zh-CN"/>
              </w:rPr>
              <w:t>山东鑫瓷新材料有限公司</w:t>
            </w:r>
          </w:p>
          <w:p w14:paraId="4FFE6C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年产2万吨新能源电池用高纯晶体纳米新材料项目</w:t>
            </w:r>
          </w:p>
        </w:tc>
      </w:tr>
      <w:tr w14:paraId="01FAD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30ECE5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项目代码</w:t>
            </w:r>
          </w:p>
        </w:tc>
        <w:tc>
          <w:tcPr>
            <w:tcW w:w="7612" w:type="dxa"/>
            <w:gridSpan w:val="3"/>
            <w:noWrap w:val="0"/>
            <w:vAlign w:val="center"/>
          </w:tcPr>
          <w:p w14:paraId="024E87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2601-370302-89-01-557514</w:t>
            </w:r>
          </w:p>
        </w:tc>
      </w:tr>
      <w:tr w14:paraId="4D79D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7BA87B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建设单位联系人</w:t>
            </w:r>
          </w:p>
        </w:tc>
        <w:tc>
          <w:tcPr>
            <w:tcW w:w="2331" w:type="dxa"/>
            <w:noWrap w:val="0"/>
            <w:vAlign w:val="center"/>
          </w:tcPr>
          <w:p w14:paraId="0C9982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殷敬波</w:t>
            </w:r>
          </w:p>
        </w:tc>
        <w:tc>
          <w:tcPr>
            <w:tcW w:w="2076" w:type="dxa"/>
            <w:noWrap w:val="0"/>
            <w:vAlign w:val="center"/>
          </w:tcPr>
          <w:p w14:paraId="2E696A2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联系方式</w:t>
            </w:r>
          </w:p>
        </w:tc>
        <w:tc>
          <w:tcPr>
            <w:tcW w:w="3205" w:type="dxa"/>
            <w:noWrap w:val="0"/>
            <w:vAlign w:val="center"/>
          </w:tcPr>
          <w:p w14:paraId="22BA5A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p>
        </w:tc>
      </w:tr>
      <w:tr w14:paraId="0CC2E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1A8831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建设地点</w:t>
            </w:r>
          </w:p>
        </w:tc>
        <w:tc>
          <w:tcPr>
            <w:tcW w:w="7612" w:type="dxa"/>
            <w:gridSpan w:val="3"/>
            <w:noWrap w:val="0"/>
            <w:vAlign w:val="center"/>
          </w:tcPr>
          <w:p w14:paraId="160DC8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4"/>
                <w:highlight w:val="none"/>
                <w:lang w:val="en-US" w:eastAsia="zh-CN"/>
              </w:rPr>
            </w:pPr>
            <w:r>
              <w:rPr>
                <w:rFonts w:hint="eastAsia" w:cs="Times New Roman"/>
                <w:color w:val="auto"/>
                <w:sz w:val="24"/>
                <w:highlight w:val="none"/>
                <w:lang w:val="en-US" w:eastAsia="zh-CN"/>
              </w:rPr>
              <w:t>淄川区罗村镇大王庄村村委西500米厂房</w:t>
            </w:r>
          </w:p>
        </w:tc>
      </w:tr>
      <w:tr w14:paraId="3B796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1F8A893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地理坐标</w:t>
            </w:r>
          </w:p>
        </w:tc>
        <w:tc>
          <w:tcPr>
            <w:tcW w:w="7612" w:type="dxa"/>
            <w:gridSpan w:val="3"/>
            <w:noWrap w:val="0"/>
            <w:vAlign w:val="center"/>
          </w:tcPr>
          <w:p w14:paraId="7491A78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11</w:t>
            </w:r>
            <w:r>
              <w:rPr>
                <w:rFonts w:hint="eastAsia" w:cs="Times New Roman"/>
                <w:color w:val="auto"/>
                <w:sz w:val="24"/>
                <w:highlight w:val="none"/>
                <w:u w:val="single"/>
                <w:lang w:val="en-US" w:eastAsia="zh-CN"/>
              </w:rPr>
              <w:t>8</w:t>
            </w:r>
            <w:r>
              <w:rPr>
                <w:rFonts w:hint="default" w:ascii="Times New Roman" w:hAnsi="Times New Roman" w:cs="Times New Roman"/>
                <w:color w:val="auto"/>
                <w:sz w:val="24"/>
                <w:highlight w:val="none"/>
              </w:rPr>
              <w:t>度</w:t>
            </w:r>
            <w:r>
              <w:rPr>
                <w:rFonts w:hint="eastAsia" w:cs="Times New Roman"/>
                <w:color w:val="auto"/>
                <w:sz w:val="24"/>
                <w:highlight w:val="none"/>
                <w:u w:val="single"/>
                <w:lang w:val="en-US" w:eastAsia="zh-CN"/>
              </w:rPr>
              <w:t>3</w:t>
            </w:r>
            <w:r>
              <w:rPr>
                <w:rFonts w:hint="default" w:ascii="Times New Roman" w:hAnsi="Times New Roman" w:cs="Times New Roman"/>
                <w:color w:val="auto"/>
                <w:sz w:val="24"/>
                <w:highlight w:val="none"/>
              </w:rPr>
              <w:t>分</w:t>
            </w:r>
            <w:r>
              <w:rPr>
                <w:rFonts w:hint="eastAsia" w:cs="Times New Roman"/>
                <w:color w:val="auto"/>
                <w:sz w:val="24"/>
                <w:highlight w:val="none"/>
                <w:u w:val="single"/>
                <w:lang w:val="en-US" w:eastAsia="zh-CN"/>
              </w:rPr>
              <w:t>19.755</w:t>
            </w:r>
            <w:r>
              <w:rPr>
                <w:rFonts w:hint="default" w:ascii="Times New Roman" w:hAnsi="Times New Roman" w:cs="Times New Roman"/>
                <w:color w:val="auto"/>
                <w:sz w:val="24"/>
                <w:highlight w:val="none"/>
              </w:rPr>
              <w:t>秒，</w:t>
            </w:r>
            <w:r>
              <w:rPr>
                <w:rFonts w:hint="default" w:ascii="Times New Roman" w:hAnsi="Times New Roman" w:cs="Times New Roman"/>
                <w:color w:val="auto"/>
                <w:sz w:val="24"/>
                <w:highlight w:val="none"/>
                <w:u w:val="single"/>
              </w:rPr>
              <w:t>36</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lang w:val="en-US" w:eastAsia="zh-CN"/>
              </w:rPr>
              <w:t>4</w:t>
            </w:r>
            <w:r>
              <w:rPr>
                <w:rFonts w:hint="eastAsia" w:cs="Times New Roman"/>
                <w:color w:val="auto"/>
                <w:sz w:val="24"/>
                <w:highlight w:val="none"/>
                <w:u w:val="single"/>
                <w:lang w:val="en-US" w:eastAsia="zh-CN"/>
              </w:rPr>
              <w:t>0</w:t>
            </w:r>
            <w:r>
              <w:rPr>
                <w:rFonts w:hint="default" w:ascii="Times New Roman" w:hAnsi="Times New Roman" w:cs="Times New Roman"/>
                <w:color w:val="auto"/>
                <w:sz w:val="24"/>
                <w:highlight w:val="none"/>
              </w:rPr>
              <w:t>分</w:t>
            </w:r>
            <w:r>
              <w:rPr>
                <w:rFonts w:hint="eastAsia" w:cs="Times New Roman"/>
                <w:color w:val="auto"/>
                <w:sz w:val="24"/>
                <w:highlight w:val="none"/>
                <w:u w:val="single"/>
                <w:lang w:val="en-US" w:eastAsia="zh-CN"/>
              </w:rPr>
              <w:t>2.567</w:t>
            </w:r>
            <w:r>
              <w:rPr>
                <w:rFonts w:hint="default" w:ascii="Times New Roman" w:hAnsi="Times New Roman" w:cs="Times New Roman"/>
                <w:color w:val="auto"/>
                <w:sz w:val="24"/>
                <w:highlight w:val="none"/>
              </w:rPr>
              <w:t>秒）</w:t>
            </w:r>
          </w:p>
        </w:tc>
      </w:tr>
      <w:tr w14:paraId="2AE31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7D161E9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国民经济</w:t>
            </w:r>
          </w:p>
          <w:p w14:paraId="10C9EA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行业类别</w:t>
            </w:r>
          </w:p>
        </w:tc>
        <w:tc>
          <w:tcPr>
            <w:tcW w:w="2331" w:type="dxa"/>
            <w:noWrap w:val="0"/>
            <w:vAlign w:val="center"/>
          </w:tcPr>
          <w:p w14:paraId="394E1C9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szCs w:val="24"/>
                <w:lang w:eastAsia="zh-CN"/>
              </w:rPr>
              <w:t>C3099其他非金属矿物制品制造</w:t>
            </w:r>
          </w:p>
        </w:tc>
        <w:tc>
          <w:tcPr>
            <w:tcW w:w="2076" w:type="dxa"/>
            <w:noWrap w:val="0"/>
            <w:vAlign w:val="center"/>
          </w:tcPr>
          <w:p w14:paraId="0BCF35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bookmarkStart w:id="7" w:name="_Hlk49843745"/>
            <w:r>
              <w:rPr>
                <w:rFonts w:hint="default" w:ascii="Times New Roman" w:hAnsi="Times New Roman" w:eastAsia="宋体" w:cs="Times New Roman"/>
                <w:color w:val="auto"/>
                <w:sz w:val="24"/>
                <w:highlight w:val="none"/>
                <w:lang w:val="en-US" w:eastAsia="zh-CN"/>
              </w:rPr>
              <w:t>建设项目</w:t>
            </w:r>
          </w:p>
          <w:p w14:paraId="28ECFA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行业类别</w:t>
            </w:r>
            <w:bookmarkEnd w:id="7"/>
          </w:p>
        </w:tc>
        <w:tc>
          <w:tcPr>
            <w:tcW w:w="3205" w:type="dxa"/>
            <w:noWrap w:val="0"/>
            <w:vAlign w:val="center"/>
          </w:tcPr>
          <w:p w14:paraId="56EA71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二十七、非金属矿物制品业30、60石墨及其他非金属矿物制品制造309、其他</w:t>
            </w:r>
          </w:p>
        </w:tc>
      </w:tr>
      <w:tr w14:paraId="64E415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14485E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建设性质</w:t>
            </w:r>
          </w:p>
        </w:tc>
        <w:tc>
          <w:tcPr>
            <w:tcW w:w="2331" w:type="dxa"/>
            <w:noWrap w:val="0"/>
            <w:vAlign w:val="center"/>
          </w:tcPr>
          <w:p w14:paraId="57F1269E">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sym w:font="Wingdings" w:char="00FE"/>
            </w:r>
            <w:r>
              <w:rPr>
                <w:rFonts w:hint="default" w:ascii="Times New Roman" w:hAnsi="Times New Roman" w:cs="Times New Roman"/>
                <w:color w:val="auto"/>
                <w:szCs w:val="21"/>
              </w:rPr>
              <w:t>新建</w:t>
            </w:r>
            <w:r>
              <w:rPr>
                <w:rFonts w:hint="default" w:ascii="Times New Roman" w:hAnsi="Times New Roman" w:cs="Times New Roman"/>
                <w:color w:val="auto"/>
                <w:szCs w:val="21"/>
                <w:lang w:eastAsia="zh-CN"/>
              </w:rPr>
              <w:t>（迁建）</w:t>
            </w:r>
          </w:p>
          <w:p w14:paraId="0BCB437B">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改建</w:t>
            </w:r>
          </w:p>
          <w:p w14:paraId="57EDD6A1">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扩建</w:t>
            </w:r>
          </w:p>
          <w:p w14:paraId="196049F9">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技术改造</w:t>
            </w:r>
          </w:p>
        </w:tc>
        <w:tc>
          <w:tcPr>
            <w:tcW w:w="2076" w:type="dxa"/>
            <w:noWrap w:val="0"/>
            <w:vAlign w:val="center"/>
          </w:tcPr>
          <w:p w14:paraId="16B601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建设项目</w:t>
            </w:r>
          </w:p>
          <w:p w14:paraId="30FF6F5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申报情形</w:t>
            </w:r>
          </w:p>
        </w:tc>
        <w:tc>
          <w:tcPr>
            <w:tcW w:w="3205" w:type="dxa"/>
            <w:noWrap w:val="0"/>
            <w:vAlign w:val="center"/>
          </w:tcPr>
          <w:p w14:paraId="1D81DA88">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FE"/>
            </w:r>
            <w:r>
              <w:rPr>
                <w:rFonts w:hint="default" w:ascii="Times New Roman" w:hAnsi="Times New Roman" w:cs="Times New Roman"/>
                <w:color w:val="auto"/>
                <w:szCs w:val="21"/>
              </w:rPr>
              <w:t xml:space="preserve">首次申报项目             </w:t>
            </w:r>
          </w:p>
          <w:p w14:paraId="21D90832">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不予批准后再次申报项目</w:t>
            </w:r>
          </w:p>
          <w:p w14:paraId="23DBBAB1">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 xml:space="preserve">超五年重新审核项目     </w:t>
            </w:r>
          </w:p>
          <w:p w14:paraId="69FDC96A">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重大变动重新报批项目</w:t>
            </w:r>
          </w:p>
        </w:tc>
      </w:tr>
      <w:tr w14:paraId="126CF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658CA14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项目审批（核准/</w:t>
            </w:r>
          </w:p>
          <w:p w14:paraId="34185F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备案）部门（选填）</w:t>
            </w:r>
          </w:p>
        </w:tc>
        <w:tc>
          <w:tcPr>
            <w:tcW w:w="2331" w:type="dxa"/>
            <w:noWrap w:val="0"/>
            <w:vAlign w:val="center"/>
          </w:tcPr>
          <w:p w14:paraId="110D6304">
            <w:pPr>
              <w:pStyle w:val="15"/>
              <w:keepNext w:val="0"/>
              <w:keepLines w:val="0"/>
              <w:suppressLineNumbers w:val="0"/>
              <w:spacing w:before="0" w:beforeAutospacing="0" w:after="0" w:afterAutospacing="0"/>
              <w:ind w:left="0" w:right="0"/>
              <w:jc w:val="center"/>
              <w:rPr>
                <w:rFonts w:hint="default" w:ascii="Times New Roman" w:hAnsi="Times New Roman" w:cs="Times New Roman"/>
                <w:color w:val="auto"/>
                <w:szCs w:val="24"/>
                <w:highlight w:val="none"/>
              </w:rPr>
            </w:pPr>
            <w:r>
              <w:rPr>
                <w:rFonts w:hint="default" w:ascii="Times New Roman" w:hAnsi="Times New Roman" w:cs="Times New Roman"/>
                <w:color w:val="auto"/>
              </w:rPr>
              <w:t>淄川区行政审批服务局</w:t>
            </w:r>
          </w:p>
        </w:tc>
        <w:tc>
          <w:tcPr>
            <w:tcW w:w="2076" w:type="dxa"/>
            <w:noWrap w:val="0"/>
            <w:vAlign w:val="center"/>
          </w:tcPr>
          <w:p w14:paraId="0008A2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项目审批（核准/</w:t>
            </w:r>
          </w:p>
          <w:p w14:paraId="4E575E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备案）文号（选填）</w:t>
            </w:r>
          </w:p>
        </w:tc>
        <w:tc>
          <w:tcPr>
            <w:tcW w:w="3205" w:type="dxa"/>
            <w:noWrap w:val="0"/>
            <w:vAlign w:val="center"/>
          </w:tcPr>
          <w:p w14:paraId="619185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2601-370302-89-01-557514</w:t>
            </w:r>
          </w:p>
        </w:tc>
      </w:tr>
      <w:tr w14:paraId="448561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0B1D39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总投资（万元）</w:t>
            </w:r>
          </w:p>
        </w:tc>
        <w:tc>
          <w:tcPr>
            <w:tcW w:w="2331" w:type="dxa"/>
            <w:noWrap w:val="0"/>
            <w:vAlign w:val="center"/>
          </w:tcPr>
          <w:p w14:paraId="249E49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10000</w:t>
            </w:r>
          </w:p>
        </w:tc>
        <w:tc>
          <w:tcPr>
            <w:tcW w:w="2076" w:type="dxa"/>
            <w:noWrap w:val="0"/>
            <w:tcMar>
              <w:top w:w="16" w:type="dxa"/>
              <w:left w:w="16" w:type="dxa"/>
              <w:right w:w="16" w:type="dxa"/>
            </w:tcMar>
            <w:vAlign w:val="center"/>
          </w:tcPr>
          <w:p w14:paraId="691C5F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环保投资（万元）</w:t>
            </w:r>
          </w:p>
        </w:tc>
        <w:tc>
          <w:tcPr>
            <w:tcW w:w="3205" w:type="dxa"/>
            <w:noWrap w:val="0"/>
            <w:vAlign w:val="center"/>
          </w:tcPr>
          <w:p w14:paraId="765E84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10</w:t>
            </w:r>
          </w:p>
        </w:tc>
      </w:tr>
      <w:tr w14:paraId="7F215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378316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环保投资占比（%）</w:t>
            </w:r>
          </w:p>
        </w:tc>
        <w:tc>
          <w:tcPr>
            <w:tcW w:w="2331" w:type="dxa"/>
            <w:noWrap w:val="0"/>
            <w:vAlign w:val="center"/>
          </w:tcPr>
          <w:p w14:paraId="15E4B0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0.1</w:t>
            </w:r>
          </w:p>
        </w:tc>
        <w:tc>
          <w:tcPr>
            <w:tcW w:w="2076" w:type="dxa"/>
            <w:noWrap w:val="0"/>
            <w:tcMar>
              <w:top w:w="16" w:type="dxa"/>
              <w:left w:w="16" w:type="dxa"/>
              <w:right w:w="16" w:type="dxa"/>
            </w:tcMar>
            <w:vAlign w:val="center"/>
          </w:tcPr>
          <w:p w14:paraId="6A73B7F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施工工期</w:t>
            </w:r>
          </w:p>
        </w:tc>
        <w:tc>
          <w:tcPr>
            <w:tcW w:w="3205" w:type="dxa"/>
            <w:noWrap w:val="0"/>
            <w:vAlign w:val="center"/>
          </w:tcPr>
          <w:p w14:paraId="479A0C1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个月</w:t>
            </w:r>
          </w:p>
        </w:tc>
      </w:tr>
      <w:tr w14:paraId="25DEE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tcMar>
              <w:top w:w="16" w:type="dxa"/>
              <w:left w:w="16" w:type="dxa"/>
              <w:right w:w="16" w:type="dxa"/>
            </w:tcMar>
            <w:vAlign w:val="center"/>
          </w:tcPr>
          <w:p w14:paraId="794520D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Cs w:val="21"/>
              </w:rPr>
              <w:t>是否开工建设</w:t>
            </w:r>
          </w:p>
        </w:tc>
        <w:tc>
          <w:tcPr>
            <w:tcW w:w="2331" w:type="dxa"/>
            <w:noWrap w:val="0"/>
            <w:vAlign w:val="center"/>
          </w:tcPr>
          <w:p w14:paraId="1F431D0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FE"/>
            </w:r>
            <w:r>
              <w:rPr>
                <w:rFonts w:hint="default" w:ascii="Times New Roman" w:hAnsi="Times New Roman" w:cs="Times New Roman"/>
                <w:color w:val="auto"/>
                <w:szCs w:val="21"/>
              </w:rPr>
              <w:t>否</w:t>
            </w:r>
          </w:p>
          <w:p w14:paraId="61B0152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highlight w:val="none"/>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是：</w:t>
            </w:r>
            <w:r>
              <w:rPr>
                <w:rFonts w:hint="default" w:ascii="Times New Roman" w:hAnsi="Times New Roman" w:cs="Times New Roman"/>
                <w:color w:val="auto"/>
                <w:szCs w:val="21"/>
                <w:u w:val="single"/>
              </w:rPr>
              <w:t xml:space="preserve">             </w:t>
            </w:r>
          </w:p>
        </w:tc>
        <w:tc>
          <w:tcPr>
            <w:tcW w:w="2076" w:type="dxa"/>
            <w:noWrap w:val="0"/>
            <w:tcMar>
              <w:top w:w="16" w:type="dxa"/>
              <w:left w:w="16" w:type="dxa"/>
              <w:right w:w="16" w:type="dxa"/>
            </w:tcMar>
            <w:vAlign w:val="center"/>
          </w:tcPr>
          <w:p w14:paraId="0213B9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用地（用海）</w:t>
            </w:r>
          </w:p>
          <w:p w14:paraId="758CE3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pacing w:val="-6"/>
                <w:sz w:val="24"/>
                <w:highlight w:val="none"/>
              </w:rPr>
              <w:t>面积（m</w:t>
            </w:r>
            <w:r>
              <w:rPr>
                <w:rFonts w:hint="default" w:ascii="Times New Roman" w:hAnsi="Times New Roman" w:cs="Times New Roman"/>
                <w:color w:val="auto"/>
                <w:spacing w:val="-6"/>
                <w:sz w:val="24"/>
                <w:highlight w:val="none"/>
                <w:vertAlign w:val="superscript"/>
              </w:rPr>
              <w:t>2</w:t>
            </w:r>
            <w:r>
              <w:rPr>
                <w:rFonts w:hint="default" w:ascii="Times New Roman" w:hAnsi="Times New Roman" w:cs="Times New Roman"/>
                <w:color w:val="auto"/>
                <w:spacing w:val="-6"/>
                <w:sz w:val="24"/>
                <w:highlight w:val="none"/>
              </w:rPr>
              <w:t>）</w:t>
            </w:r>
          </w:p>
        </w:tc>
        <w:tc>
          <w:tcPr>
            <w:tcW w:w="3205" w:type="dxa"/>
            <w:noWrap w:val="0"/>
            <w:vAlign w:val="center"/>
          </w:tcPr>
          <w:p w14:paraId="18A35B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lang w:val="en-US"/>
              </w:rPr>
            </w:pPr>
            <w:r>
              <w:rPr>
                <w:rFonts w:hint="eastAsia" w:cs="Times New Roman"/>
                <w:color w:val="auto"/>
                <w:sz w:val="24"/>
                <w:highlight w:val="none"/>
                <w:lang w:val="en-US" w:eastAsia="zh-CN"/>
              </w:rPr>
              <w:t>5000</w:t>
            </w:r>
          </w:p>
        </w:tc>
      </w:tr>
      <w:tr w14:paraId="3F131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vAlign w:val="center"/>
          </w:tcPr>
          <w:p w14:paraId="5795466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highlight w:val="none"/>
              </w:rPr>
              <w:t>专项评价设置情况</w:t>
            </w:r>
          </w:p>
        </w:tc>
        <w:tc>
          <w:tcPr>
            <w:tcW w:w="7612" w:type="dxa"/>
            <w:gridSpan w:val="3"/>
            <w:noWrap w:val="0"/>
            <w:vAlign w:val="center"/>
          </w:tcPr>
          <w:p w14:paraId="269B9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表1-1  专项评价设置情况判定表</w:t>
            </w:r>
          </w:p>
          <w:tbl>
            <w:tblPr>
              <w:tblStyle w:val="36"/>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7"/>
              <w:gridCol w:w="3183"/>
              <w:gridCol w:w="2198"/>
              <w:gridCol w:w="821"/>
            </w:tblGrid>
            <w:tr w14:paraId="626693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67" w:type="dxa"/>
                  <w:tcBorders>
                    <w:tl2br w:val="nil"/>
                    <w:tr2bl w:val="nil"/>
                  </w:tcBorders>
                  <w:noWrap w:val="0"/>
                  <w:vAlign w:val="center"/>
                </w:tcPr>
                <w:p w14:paraId="7AF93A6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专项评价的类别</w:t>
                  </w:r>
                </w:p>
              </w:tc>
              <w:tc>
                <w:tcPr>
                  <w:tcW w:w="3183" w:type="dxa"/>
                  <w:tcBorders>
                    <w:tl2br w:val="nil"/>
                    <w:tr2bl w:val="nil"/>
                  </w:tcBorders>
                  <w:noWrap w:val="0"/>
                  <w:vAlign w:val="center"/>
                </w:tcPr>
                <w:p w14:paraId="1FB6E4BC">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设置原则</w:t>
                  </w:r>
                </w:p>
              </w:tc>
              <w:tc>
                <w:tcPr>
                  <w:tcW w:w="2198" w:type="dxa"/>
                  <w:tcBorders>
                    <w:tl2br w:val="nil"/>
                    <w:tr2bl w:val="nil"/>
                  </w:tcBorders>
                  <w:noWrap w:val="0"/>
                  <w:vAlign w:val="center"/>
                </w:tcPr>
                <w:p w14:paraId="56A1289E">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项目情况</w:t>
                  </w:r>
                </w:p>
              </w:tc>
              <w:tc>
                <w:tcPr>
                  <w:tcW w:w="821" w:type="dxa"/>
                  <w:tcBorders>
                    <w:tl2br w:val="nil"/>
                    <w:tr2bl w:val="nil"/>
                  </w:tcBorders>
                  <w:noWrap w:val="0"/>
                  <w:vAlign w:val="center"/>
                </w:tcPr>
                <w:p w14:paraId="5AF670F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是否设置</w:t>
                  </w:r>
                </w:p>
              </w:tc>
            </w:tr>
            <w:tr w14:paraId="4E9746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67" w:type="dxa"/>
                  <w:tcBorders>
                    <w:tl2br w:val="nil"/>
                    <w:tr2bl w:val="nil"/>
                  </w:tcBorders>
                  <w:noWrap w:val="0"/>
                  <w:vAlign w:val="center"/>
                </w:tcPr>
                <w:p w14:paraId="12A51836">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大气</w:t>
                  </w:r>
                </w:p>
              </w:tc>
              <w:tc>
                <w:tcPr>
                  <w:tcW w:w="3183" w:type="dxa"/>
                  <w:tcBorders>
                    <w:tl2br w:val="nil"/>
                    <w:tr2bl w:val="nil"/>
                  </w:tcBorders>
                  <w:noWrap w:val="0"/>
                  <w:vAlign w:val="center"/>
                </w:tcPr>
                <w:p w14:paraId="293A3FBB">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排放废气含有毒有害污染物、二噁英、苯并[a]芘、氰化物、</w:t>
                  </w:r>
                  <w:r>
                    <w:rPr>
                      <w:rFonts w:hint="default" w:ascii="Times New Roman" w:hAnsi="Times New Roman" w:cs="Times New Roman"/>
                      <w:bCs/>
                      <w:color w:val="auto"/>
                      <w:szCs w:val="21"/>
                      <w:highlight w:val="none"/>
                      <w:lang w:val="en-US" w:eastAsia="zh-CN"/>
                    </w:rPr>
                    <w:t>氯气</w:t>
                  </w:r>
                  <w:r>
                    <w:rPr>
                      <w:rFonts w:hint="default" w:ascii="Times New Roman" w:hAnsi="Times New Roman" w:cs="Times New Roman"/>
                      <w:bCs/>
                      <w:color w:val="auto"/>
                      <w:szCs w:val="21"/>
                      <w:highlight w:val="none"/>
                    </w:rPr>
                    <w:t>且厂界外500米范围内有环境空气保护目标的建设项目</w:t>
                  </w:r>
                </w:p>
              </w:tc>
              <w:tc>
                <w:tcPr>
                  <w:tcW w:w="2198" w:type="dxa"/>
                  <w:tcBorders>
                    <w:tl2br w:val="nil"/>
                    <w:tr2bl w:val="nil"/>
                  </w:tcBorders>
                  <w:shd w:val="clear" w:color="auto" w:fill="auto"/>
                  <w:noWrap w:val="0"/>
                  <w:vAlign w:val="center"/>
                </w:tcPr>
                <w:p w14:paraId="0891E19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本项目不存在所提及情况</w:t>
                  </w:r>
                </w:p>
              </w:tc>
              <w:tc>
                <w:tcPr>
                  <w:tcW w:w="821" w:type="dxa"/>
                  <w:tcBorders>
                    <w:tl2br w:val="nil"/>
                    <w:tr2bl w:val="nil"/>
                  </w:tcBorders>
                  <w:noWrap w:val="0"/>
                  <w:vAlign w:val="center"/>
                </w:tcPr>
                <w:p w14:paraId="63C3DFE4">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rPr>
                    <w:t>否</w:t>
                  </w:r>
                </w:p>
              </w:tc>
            </w:tr>
            <w:tr w14:paraId="118F21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67" w:type="dxa"/>
                  <w:tcBorders>
                    <w:tl2br w:val="nil"/>
                    <w:tr2bl w:val="nil"/>
                  </w:tcBorders>
                  <w:noWrap w:val="0"/>
                  <w:vAlign w:val="center"/>
                </w:tcPr>
                <w:p w14:paraId="41F35FBE">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地表水</w:t>
                  </w:r>
                </w:p>
              </w:tc>
              <w:tc>
                <w:tcPr>
                  <w:tcW w:w="3183" w:type="dxa"/>
                  <w:tcBorders>
                    <w:tl2br w:val="nil"/>
                    <w:tr2bl w:val="nil"/>
                  </w:tcBorders>
                  <w:noWrap w:val="0"/>
                  <w:vAlign w:val="center"/>
                </w:tcPr>
                <w:p w14:paraId="1D850ED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新增工业废水直排建设项目（槽罐车外送污水处理厂的除外）；新增废水直排的污水集中处理厂</w:t>
                  </w:r>
                </w:p>
              </w:tc>
              <w:tc>
                <w:tcPr>
                  <w:tcW w:w="2198" w:type="dxa"/>
                  <w:tcBorders>
                    <w:tl2br w:val="nil"/>
                    <w:tr2bl w:val="nil"/>
                  </w:tcBorders>
                  <w:shd w:val="clear" w:color="auto" w:fill="auto"/>
                  <w:noWrap w:val="0"/>
                  <w:vAlign w:val="center"/>
                </w:tcPr>
                <w:p w14:paraId="0806B402">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本项目不存在所提及情况</w:t>
                  </w:r>
                </w:p>
              </w:tc>
              <w:tc>
                <w:tcPr>
                  <w:tcW w:w="821" w:type="dxa"/>
                  <w:tcBorders>
                    <w:tl2br w:val="nil"/>
                    <w:tr2bl w:val="nil"/>
                  </w:tcBorders>
                  <w:noWrap w:val="0"/>
                  <w:vAlign w:val="center"/>
                </w:tcPr>
                <w:p w14:paraId="6CB334C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否</w:t>
                  </w:r>
                </w:p>
              </w:tc>
            </w:tr>
            <w:tr w14:paraId="3AA3CC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67" w:type="dxa"/>
                  <w:tcBorders>
                    <w:tl2br w:val="nil"/>
                    <w:tr2bl w:val="nil"/>
                  </w:tcBorders>
                  <w:noWrap w:val="0"/>
                  <w:vAlign w:val="center"/>
                </w:tcPr>
                <w:p w14:paraId="367D87B0">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环境风险</w:t>
                  </w:r>
                </w:p>
              </w:tc>
              <w:tc>
                <w:tcPr>
                  <w:tcW w:w="3183" w:type="dxa"/>
                  <w:tcBorders>
                    <w:tl2br w:val="nil"/>
                    <w:tr2bl w:val="nil"/>
                  </w:tcBorders>
                  <w:noWrap w:val="0"/>
                  <w:vAlign w:val="center"/>
                </w:tcPr>
                <w:p w14:paraId="6A539138">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有毒有害和易燃易爆危险物质存储量超过临界量的建设项目</w:t>
                  </w:r>
                </w:p>
              </w:tc>
              <w:tc>
                <w:tcPr>
                  <w:tcW w:w="2198" w:type="dxa"/>
                  <w:tcBorders>
                    <w:tl2br w:val="nil"/>
                    <w:tr2bl w:val="nil"/>
                  </w:tcBorders>
                  <w:shd w:val="clear" w:color="auto" w:fill="auto"/>
                  <w:noWrap w:val="0"/>
                  <w:vAlign w:val="center"/>
                </w:tcPr>
                <w:p w14:paraId="464B315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本项目不存在所提及情况</w:t>
                  </w:r>
                </w:p>
              </w:tc>
              <w:tc>
                <w:tcPr>
                  <w:tcW w:w="821" w:type="dxa"/>
                  <w:tcBorders>
                    <w:tl2br w:val="nil"/>
                    <w:tr2bl w:val="nil"/>
                  </w:tcBorders>
                  <w:shd w:val="clear" w:color="auto" w:fill="auto"/>
                  <w:noWrap w:val="0"/>
                  <w:vAlign w:val="center"/>
                </w:tcPr>
                <w:p w14:paraId="223121B4">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pacing w:val="-6"/>
                      <w:szCs w:val="21"/>
                      <w:highlight w:val="none"/>
                      <w:lang w:val="en-US" w:eastAsia="zh-CN"/>
                    </w:rPr>
                    <w:t>是</w:t>
                  </w:r>
                </w:p>
              </w:tc>
            </w:tr>
            <w:tr w14:paraId="5B08A7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67" w:type="dxa"/>
                  <w:tcBorders>
                    <w:tl2br w:val="nil"/>
                    <w:tr2bl w:val="nil"/>
                  </w:tcBorders>
                  <w:noWrap w:val="0"/>
                  <w:vAlign w:val="center"/>
                </w:tcPr>
                <w:p w14:paraId="3BE2926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生态</w:t>
                  </w:r>
                </w:p>
              </w:tc>
              <w:tc>
                <w:tcPr>
                  <w:tcW w:w="3183" w:type="dxa"/>
                  <w:tcBorders>
                    <w:tl2br w:val="nil"/>
                    <w:tr2bl w:val="nil"/>
                  </w:tcBorders>
                  <w:noWrap w:val="0"/>
                  <w:vAlign w:val="center"/>
                </w:tcPr>
                <w:p w14:paraId="77CB5CE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取水口下游500米范围内有重要水生生物的自然产卵场、索饵场、越冬场和洄游通道的新增河道取水的污染类建设项目</w:t>
                  </w:r>
                </w:p>
              </w:tc>
              <w:tc>
                <w:tcPr>
                  <w:tcW w:w="2198" w:type="dxa"/>
                  <w:tcBorders>
                    <w:tl2br w:val="nil"/>
                    <w:tr2bl w:val="nil"/>
                  </w:tcBorders>
                  <w:shd w:val="clear" w:color="auto" w:fill="auto"/>
                  <w:noWrap w:val="0"/>
                  <w:vAlign w:val="center"/>
                </w:tcPr>
                <w:p w14:paraId="270FA3CE">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本项目不存在所提及情况</w:t>
                  </w:r>
                </w:p>
              </w:tc>
              <w:tc>
                <w:tcPr>
                  <w:tcW w:w="821" w:type="dxa"/>
                  <w:tcBorders>
                    <w:tl2br w:val="nil"/>
                    <w:tr2bl w:val="nil"/>
                  </w:tcBorders>
                  <w:noWrap w:val="0"/>
                  <w:vAlign w:val="center"/>
                </w:tcPr>
                <w:p w14:paraId="5B8E84B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否</w:t>
                  </w:r>
                </w:p>
              </w:tc>
            </w:tr>
            <w:tr w14:paraId="5A2EEE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67" w:type="dxa"/>
                  <w:tcBorders>
                    <w:tl2br w:val="nil"/>
                    <w:tr2bl w:val="nil"/>
                  </w:tcBorders>
                  <w:noWrap w:val="0"/>
                  <w:vAlign w:val="center"/>
                </w:tcPr>
                <w:p w14:paraId="2E5D6F60">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海洋</w:t>
                  </w:r>
                </w:p>
              </w:tc>
              <w:tc>
                <w:tcPr>
                  <w:tcW w:w="3183" w:type="dxa"/>
                  <w:tcBorders>
                    <w:tl2br w:val="nil"/>
                    <w:tr2bl w:val="nil"/>
                  </w:tcBorders>
                  <w:noWrap w:val="0"/>
                  <w:vAlign w:val="center"/>
                </w:tcPr>
                <w:p w14:paraId="17135C7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直接向海排放污染物的海洋工程建设项目</w:t>
                  </w:r>
                </w:p>
              </w:tc>
              <w:tc>
                <w:tcPr>
                  <w:tcW w:w="2198" w:type="dxa"/>
                  <w:tcBorders>
                    <w:tl2br w:val="nil"/>
                    <w:tr2bl w:val="nil"/>
                  </w:tcBorders>
                  <w:shd w:val="clear" w:color="auto" w:fill="auto"/>
                  <w:noWrap w:val="0"/>
                  <w:vAlign w:val="center"/>
                </w:tcPr>
                <w:p w14:paraId="6FC7EA83">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本项目不向海洋排放污染物</w:t>
                  </w:r>
                </w:p>
              </w:tc>
              <w:tc>
                <w:tcPr>
                  <w:tcW w:w="821" w:type="dxa"/>
                  <w:tcBorders>
                    <w:tl2br w:val="nil"/>
                    <w:tr2bl w:val="nil"/>
                  </w:tcBorders>
                  <w:noWrap w:val="0"/>
                  <w:vAlign w:val="center"/>
                </w:tcPr>
                <w:p w14:paraId="55FD858F">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否</w:t>
                  </w:r>
                </w:p>
              </w:tc>
            </w:tr>
          </w:tbl>
          <w:p w14:paraId="6966F82F">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注：1.废气中有毒有害污染物指纳入《有毒有害大气污染物名录》的污染物（不包括无排放标准的污染物）。</w:t>
            </w:r>
          </w:p>
          <w:p w14:paraId="50192EA2">
            <w:pPr>
              <w:keepNext w:val="0"/>
              <w:keepLines w:val="0"/>
              <w:suppressLineNumbers w:val="0"/>
              <w:autoSpaceDE w:val="0"/>
              <w:autoSpaceDN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2.环境空气保护目标指自然保护区、风景名胜区、居住区、文化区和农村地区中人群较集中的区域。</w:t>
            </w:r>
          </w:p>
          <w:p w14:paraId="794D8004">
            <w:pPr>
              <w:keepNext w:val="0"/>
              <w:keepLines w:val="0"/>
              <w:suppressLineNumbers w:val="0"/>
              <w:autoSpaceDE w:val="0"/>
              <w:autoSpaceDN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3.临界量及其计算方法可参考《建设项目环境风险评价技术导则》（HJ 169）附录B、附录C。</w:t>
            </w:r>
          </w:p>
          <w:p w14:paraId="311ED7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bidi="ar-SA"/>
              </w:rPr>
              <w:t>根据上表分析，本项目</w:t>
            </w:r>
            <w:r>
              <w:rPr>
                <w:rFonts w:hint="eastAsia" w:ascii="Times New Roman" w:hAnsi="Times New Roman" w:eastAsia="宋体" w:cs="Times New Roman"/>
                <w:color w:val="auto"/>
                <w:spacing w:val="0"/>
                <w:kern w:val="0"/>
                <w:sz w:val="24"/>
                <w:szCs w:val="24"/>
                <w:highlight w:val="none"/>
                <w:lang w:val="en-US" w:eastAsia="zh-CN" w:bidi="ar-SA"/>
              </w:rPr>
              <w:t>无</w:t>
            </w:r>
            <w:r>
              <w:rPr>
                <w:rFonts w:hint="default" w:ascii="Times New Roman" w:hAnsi="Times New Roman" w:eastAsia="宋体" w:cs="Times New Roman"/>
                <w:color w:val="auto"/>
                <w:spacing w:val="0"/>
                <w:kern w:val="0"/>
                <w:sz w:val="24"/>
                <w:szCs w:val="24"/>
                <w:highlight w:val="none"/>
                <w:lang w:val="en-US" w:eastAsia="zh-CN" w:bidi="ar-SA"/>
              </w:rPr>
              <w:t>需设置专项评价</w:t>
            </w:r>
            <w:r>
              <w:rPr>
                <w:rFonts w:hint="eastAsia" w:ascii="Times New Roman" w:hAnsi="Times New Roman" w:eastAsia="宋体" w:cs="Times New Roman"/>
                <w:color w:val="auto"/>
                <w:spacing w:val="0"/>
                <w:kern w:val="0"/>
                <w:sz w:val="24"/>
                <w:szCs w:val="24"/>
                <w:highlight w:val="none"/>
                <w:lang w:val="en-US" w:eastAsia="zh-CN" w:bidi="ar-SA"/>
              </w:rPr>
              <w:t>。</w:t>
            </w:r>
          </w:p>
        </w:tc>
      </w:tr>
      <w:tr w14:paraId="0C9C6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vAlign w:val="center"/>
          </w:tcPr>
          <w:p w14:paraId="185AFBD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规划情况</w:t>
            </w:r>
          </w:p>
        </w:tc>
        <w:tc>
          <w:tcPr>
            <w:tcW w:w="7612" w:type="dxa"/>
            <w:gridSpan w:val="3"/>
            <w:noWrap w:val="0"/>
            <w:vAlign w:val="center"/>
          </w:tcPr>
          <w:p w14:paraId="5DDBD7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4"/>
                <w:lang w:val="en-US" w:eastAsia="zh-CN"/>
              </w:rPr>
              <w:t>无</w:t>
            </w:r>
          </w:p>
        </w:tc>
      </w:tr>
      <w:tr w14:paraId="2C6A5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vAlign w:val="center"/>
          </w:tcPr>
          <w:p w14:paraId="4C82A3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规划环境影响</w:t>
            </w:r>
          </w:p>
          <w:p w14:paraId="4922AA4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评价情况</w:t>
            </w:r>
          </w:p>
        </w:tc>
        <w:tc>
          <w:tcPr>
            <w:tcW w:w="7612" w:type="dxa"/>
            <w:gridSpan w:val="3"/>
            <w:noWrap w:val="0"/>
            <w:vAlign w:val="center"/>
          </w:tcPr>
          <w:p w14:paraId="70FD0BE2">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4"/>
                <w:lang w:val="en-US" w:eastAsia="zh-CN"/>
              </w:rPr>
              <w:t>无</w:t>
            </w:r>
          </w:p>
        </w:tc>
      </w:tr>
      <w:tr w14:paraId="41011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vAlign w:val="center"/>
          </w:tcPr>
          <w:p w14:paraId="325D782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规划及规划环境影响评价符合性分析</w:t>
            </w:r>
          </w:p>
        </w:tc>
        <w:tc>
          <w:tcPr>
            <w:tcW w:w="7612" w:type="dxa"/>
            <w:gridSpan w:val="3"/>
            <w:noWrap w:val="0"/>
            <w:vAlign w:val="center"/>
          </w:tcPr>
          <w:p w14:paraId="3DAD39A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无</w:t>
            </w:r>
          </w:p>
        </w:tc>
      </w:tr>
      <w:tr w14:paraId="7C85D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4" w:type="dxa"/>
            <w:noWrap w:val="0"/>
            <w:vAlign w:val="center"/>
          </w:tcPr>
          <w:p w14:paraId="18344E9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其他符合性分析</w:t>
            </w:r>
          </w:p>
        </w:tc>
        <w:tc>
          <w:tcPr>
            <w:tcW w:w="7612" w:type="dxa"/>
            <w:gridSpan w:val="3"/>
            <w:noWrap w:val="0"/>
            <w:vAlign w:val="center"/>
          </w:tcPr>
          <w:p w14:paraId="6CB92A22">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1、产业政策分析</w:t>
            </w:r>
          </w:p>
          <w:p w14:paraId="1F07F63A">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项目属于国民经济行业分类（GB/T4754-2017）中的</w:t>
            </w:r>
            <w:r>
              <w:rPr>
                <w:rFonts w:hint="eastAsia" w:cs="Times New Roman"/>
                <w:color w:val="auto"/>
                <w:sz w:val="24"/>
                <w:szCs w:val="24"/>
                <w:lang w:eastAsia="zh-CN"/>
              </w:rPr>
              <w:t>C3099其他非金属矿物制品制造</w:t>
            </w:r>
            <w:r>
              <w:rPr>
                <w:rFonts w:hint="default" w:ascii="Times New Roman" w:hAnsi="Times New Roman" w:eastAsia="宋体"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rPr>
              <w:t>不属于《产业结构调整指导目录（20</w:t>
            </w:r>
            <w:r>
              <w:rPr>
                <w:rFonts w:hint="default" w:ascii="Times New Roman" w:hAnsi="Times New Roman" w:eastAsia="宋体" w:cs="Times New Roman"/>
                <w:color w:val="auto"/>
                <w:sz w:val="24"/>
                <w:szCs w:val="32"/>
                <w:highlight w:val="none"/>
                <w:lang w:val="en-US" w:eastAsia="zh-CN"/>
              </w:rPr>
              <w:t>24</w:t>
            </w:r>
            <w:r>
              <w:rPr>
                <w:rFonts w:hint="default" w:ascii="Times New Roman" w:hAnsi="Times New Roman" w:eastAsia="宋体" w:cs="Times New Roman"/>
                <w:color w:val="auto"/>
                <w:sz w:val="24"/>
                <w:szCs w:val="32"/>
                <w:highlight w:val="none"/>
              </w:rPr>
              <w:t>年本）》中“鼓励类”、“限制类”</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“淘汰类”及《山东省禁止、限制供地项目目录》中的“禁止类”和“限制类”，</w:t>
            </w:r>
            <w:r>
              <w:rPr>
                <w:rFonts w:hint="default" w:ascii="Times New Roman" w:hAnsi="Times New Roman" w:eastAsia="宋体" w:cs="Times New Roman"/>
                <w:color w:val="auto"/>
                <w:sz w:val="24"/>
                <w:szCs w:val="32"/>
                <w:highlight w:val="none"/>
                <w:lang w:val="en-US" w:eastAsia="zh-CN"/>
              </w:rPr>
              <w:t>则本项目</w:t>
            </w:r>
            <w:r>
              <w:rPr>
                <w:rFonts w:hint="default" w:ascii="Times New Roman" w:hAnsi="Times New Roman" w:eastAsia="宋体" w:cs="Times New Roman"/>
                <w:color w:val="auto"/>
                <w:sz w:val="24"/>
                <w:szCs w:val="32"/>
                <w:highlight w:val="none"/>
              </w:rPr>
              <w:t>属于允许建设项目，符合国家的产业政策。</w:t>
            </w:r>
          </w:p>
          <w:p w14:paraId="737F44C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本项目在山东省投资项目在线审批监管平台备案，备案文号为：</w:t>
            </w:r>
            <w:r>
              <w:rPr>
                <w:rFonts w:hint="eastAsia" w:cs="Times New Roman"/>
                <w:color w:val="auto"/>
                <w:sz w:val="24"/>
                <w:szCs w:val="32"/>
                <w:highlight w:val="none"/>
                <w:lang w:val="en-US" w:eastAsia="zh-CN"/>
              </w:rPr>
              <w:t>2601-370302-89-01-557514</w:t>
            </w:r>
            <w:r>
              <w:rPr>
                <w:rFonts w:hint="default" w:ascii="Times New Roman" w:hAnsi="Times New Roman" w:eastAsia="宋体" w:cs="Times New Roman"/>
                <w:color w:val="auto"/>
                <w:sz w:val="24"/>
                <w:szCs w:val="32"/>
                <w:highlight w:val="none"/>
              </w:rPr>
              <w:t>。</w:t>
            </w:r>
          </w:p>
          <w:p w14:paraId="23552DF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综上所述，本项目的建设符合国家及淄博市产业政策的要求。</w:t>
            </w:r>
          </w:p>
          <w:p w14:paraId="0B98A133">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2、地方法规符合性分析</w:t>
            </w:r>
          </w:p>
          <w:p w14:paraId="66BD9B5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eastAsia="宋体" w:cs="Times New Roman"/>
                <w:color w:val="auto"/>
                <w:sz w:val="24"/>
                <w:highlight w:val="none"/>
              </w:rPr>
              <w:t>本项目所用设备、生产工艺不属于淄博市《全市重点淘汰的落后工艺技术、装备及产品目录》中落后的工艺技术、装备及产品项目，不属于淄博市人民政府办公厅发布的《关于印发淄博市产业结构调整指导意见和指导目录的通知》（淄政办发[2011]35号）中鼓励类、限制类和淘汰类之列，</w:t>
            </w:r>
            <w:r>
              <w:rPr>
                <w:rFonts w:hint="default" w:ascii="Times New Roman" w:hAnsi="Times New Roman" w:eastAsia="宋体" w:cs="Times New Roman"/>
                <w:color w:val="auto"/>
                <w:sz w:val="24"/>
                <w:highlight w:val="none"/>
                <w:lang w:val="en-US" w:eastAsia="zh-CN"/>
              </w:rPr>
              <w:t>则</w:t>
            </w:r>
            <w:r>
              <w:rPr>
                <w:rFonts w:hint="default" w:ascii="Times New Roman" w:hAnsi="Times New Roman" w:eastAsia="宋体" w:cs="Times New Roman"/>
                <w:color w:val="auto"/>
                <w:sz w:val="24"/>
                <w:highlight w:val="none"/>
              </w:rPr>
              <w:t>本项目属允许类项目，符合淄博市的产业政策。</w:t>
            </w:r>
          </w:p>
          <w:p w14:paraId="0674AC1A">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rPr>
              <w:t>土地利用总体规划符合性分析</w:t>
            </w:r>
          </w:p>
          <w:p w14:paraId="68D300E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szCs w:val="32"/>
                <w:highlight w:val="none"/>
              </w:rPr>
              <w:t>本项目厂址位于</w:t>
            </w:r>
            <w:r>
              <w:rPr>
                <w:rFonts w:hint="eastAsia" w:cs="Times New Roman"/>
                <w:color w:val="auto"/>
                <w:sz w:val="24"/>
                <w:highlight w:val="none"/>
                <w:lang w:val="en-US" w:eastAsia="zh-CN"/>
              </w:rPr>
              <w:t>淄川区罗村镇大王庄村村委西500米厂房</w:t>
            </w:r>
            <w:r>
              <w:rPr>
                <w:rFonts w:hint="default" w:ascii="Times New Roman" w:hAnsi="Times New Roman" w:eastAsia="宋体" w:cs="Times New Roman"/>
                <w:color w:val="auto"/>
                <w:sz w:val="24"/>
                <w:highlight w:val="none"/>
                <w:lang w:val="en-US" w:eastAsia="zh-CN"/>
              </w:rPr>
              <w:t>。项目选址不属于自然资源部国家发展和改革委员会国家林业和草原局关于印发《自然资源要素支撑产业高质量发展指导目录 （2024 年本）》的通知（自然资发〔2024〕273 号）中的鼓励类、限制类和禁止类，则属于允许类，可依法办理相关手续。</w:t>
            </w:r>
          </w:p>
          <w:p w14:paraId="7941502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淄博市淄川区罗村镇国土空间规划（2021-2035）</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highlight w:val="none"/>
                <w:lang w:val="en-US" w:eastAsia="zh-CN"/>
              </w:rPr>
              <w:t>，该项目</w:t>
            </w:r>
            <w:r>
              <w:rPr>
                <w:rFonts w:hint="eastAsia" w:cs="Times New Roman"/>
                <w:color w:val="auto"/>
                <w:sz w:val="24"/>
                <w:highlight w:val="none"/>
                <w:lang w:val="en-US" w:eastAsia="zh-CN"/>
              </w:rPr>
              <w:t>位于村庄建设区，</w:t>
            </w:r>
            <w:r>
              <w:rPr>
                <w:rFonts w:hint="default" w:ascii="Times New Roman" w:hAnsi="Times New Roman" w:eastAsia="宋体" w:cs="Times New Roman"/>
                <w:color w:val="auto"/>
                <w:sz w:val="24"/>
                <w:highlight w:val="none"/>
                <w:lang w:val="en-US" w:eastAsia="zh-CN"/>
              </w:rPr>
              <w:t>本项目</w:t>
            </w:r>
            <w:r>
              <w:rPr>
                <w:rFonts w:hint="eastAsia" w:cs="Times New Roman"/>
                <w:color w:val="auto"/>
                <w:sz w:val="24"/>
                <w:highlight w:val="none"/>
                <w:lang w:val="en-US" w:eastAsia="zh-CN"/>
              </w:rPr>
              <w:t>对现有厂房进行改建</w:t>
            </w:r>
            <w:r>
              <w:rPr>
                <w:rFonts w:hint="default" w:ascii="Times New Roman" w:hAnsi="Times New Roman" w:eastAsia="宋体" w:cs="Times New Roman"/>
                <w:color w:val="auto"/>
                <w:sz w:val="24"/>
                <w:highlight w:val="none"/>
                <w:lang w:val="en-US" w:eastAsia="zh-CN"/>
              </w:rPr>
              <w:t>，不改变现有土地使用功能。</w:t>
            </w:r>
          </w:p>
          <w:p w14:paraId="1FC90AB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Cs/>
                <w:sz w:val="24"/>
                <w:highlight w:val="none"/>
                <w:lang w:val="en-US" w:eastAsia="zh-CN"/>
              </w:rPr>
              <w:t>根据《淄川区三区三线图》，本项目不占用生态保护红线，不占用永久基本农田。</w:t>
            </w:r>
          </w:p>
          <w:p w14:paraId="0422A04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因此，本项目的建设符合国家及地方的用地规划，选址合理。</w:t>
            </w:r>
          </w:p>
          <w:p w14:paraId="164EED32">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w:t>
            </w:r>
            <w:r>
              <w:rPr>
                <w:rFonts w:hint="default" w:ascii="Times New Roman" w:hAnsi="Times New Roman" w:cs="Times New Roman"/>
                <w:b/>
                <w:bCs/>
                <w:color w:val="auto"/>
                <w:sz w:val="24"/>
                <w:highlight w:val="none"/>
                <w:lang w:val="en-US" w:eastAsia="zh-CN"/>
              </w:rPr>
              <w:t>三区三线</w:t>
            </w:r>
            <w:r>
              <w:rPr>
                <w:rFonts w:hint="default" w:ascii="Times New Roman" w:hAnsi="Times New Roman" w:cs="Times New Roman"/>
                <w:b/>
                <w:bCs/>
                <w:color w:val="auto"/>
                <w:sz w:val="24"/>
                <w:highlight w:val="none"/>
              </w:rPr>
              <w:t>”符合性判定</w:t>
            </w:r>
          </w:p>
          <w:p w14:paraId="467A8295">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（1）与淄博市国土空间规划三区三线符合性分析</w:t>
            </w:r>
          </w:p>
          <w:p w14:paraId="787DAA96">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项目位于</w:t>
            </w:r>
            <w:r>
              <w:rPr>
                <w:rFonts w:hint="eastAsia" w:cs="Times New Roman"/>
                <w:color w:val="auto"/>
                <w:sz w:val="24"/>
                <w:highlight w:val="none"/>
                <w:lang w:val="en-US" w:eastAsia="zh-CN"/>
              </w:rPr>
              <w:t>淄川区罗村镇大王庄村村委西500米厂房</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rPr>
              <w:t>租赁现有厂房进行生产建设</w:t>
            </w:r>
            <w:r>
              <w:rPr>
                <w:rFonts w:hint="default" w:ascii="Times New Roman" w:hAnsi="Times New Roman" w:cs="Times New Roman"/>
                <w:color w:val="auto"/>
                <w:kern w:val="0"/>
                <w:sz w:val="24"/>
                <w:szCs w:val="24"/>
                <w:highlight w:val="none"/>
              </w:rPr>
              <w:t>，</w:t>
            </w:r>
            <w:r>
              <w:rPr>
                <w:rFonts w:hint="default" w:ascii="Times New Roman" w:hAnsi="Times New Roman" w:eastAsia="宋体" w:cs="Times New Roman"/>
                <w:color w:val="auto"/>
                <w:sz w:val="24"/>
                <w:highlight w:val="none"/>
                <w:lang w:val="en-US" w:eastAsia="zh-CN"/>
              </w:rPr>
              <w:t>根据《淄川区三区三线图》，该项目</w:t>
            </w:r>
            <w:r>
              <w:rPr>
                <w:rFonts w:hint="default" w:ascii="Times New Roman" w:hAnsi="Times New Roman" w:cs="Times New Roman"/>
                <w:color w:val="auto"/>
                <w:kern w:val="0"/>
                <w:sz w:val="24"/>
                <w:szCs w:val="24"/>
                <w:highlight w:val="none"/>
              </w:rPr>
              <w:t>不占用</w:t>
            </w:r>
            <w:r>
              <w:rPr>
                <w:rFonts w:hint="default" w:ascii="Times New Roman" w:hAnsi="Times New Roman" w:cs="Times New Roman"/>
                <w:color w:val="auto"/>
                <w:kern w:val="0"/>
                <w:sz w:val="24"/>
                <w:szCs w:val="24"/>
                <w:highlight w:val="none"/>
                <w:lang w:val="en-US" w:eastAsia="zh-CN"/>
              </w:rPr>
              <w:t>永久</w:t>
            </w:r>
            <w:r>
              <w:rPr>
                <w:rFonts w:hint="default" w:ascii="Times New Roman" w:hAnsi="Times New Roman" w:cs="Times New Roman"/>
                <w:color w:val="auto"/>
                <w:kern w:val="0"/>
                <w:sz w:val="24"/>
                <w:szCs w:val="24"/>
                <w:highlight w:val="none"/>
              </w:rPr>
              <w:t>基本农田</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生态保护红线，</w:t>
            </w:r>
            <w:r>
              <w:rPr>
                <w:rFonts w:hint="default" w:ascii="Times New Roman" w:hAnsi="Times New Roman" w:cs="Times New Roman"/>
                <w:color w:val="auto"/>
                <w:kern w:val="0"/>
                <w:sz w:val="24"/>
                <w:szCs w:val="24"/>
                <w:highlight w:val="none"/>
              </w:rPr>
              <w:t>符合淄博市国土空间规划三区三线要求</w:t>
            </w:r>
            <w:r>
              <w:rPr>
                <w:rFonts w:hint="default" w:ascii="Times New Roman" w:hAnsi="Times New Roman" w:cs="Times New Roman"/>
                <w:color w:val="auto"/>
                <w:sz w:val="24"/>
                <w:highlight w:val="none"/>
              </w:rPr>
              <w:t>。</w:t>
            </w:r>
          </w:p>
          <w:p w14:paraId="3A5CDB1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（2）环境质量底线符合性判定</w:t>
            </w:r>
          </w:p>
          <w:p w14:paraId="03FFF29E">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w:t>
            </w:r>
            <w:r>
              <w:rPr>
                <w:rFonts w:hint="default" w:ascii="Times New Roman" w:hAnsi="Times New Roman" w:cs="Times New Roman"/>
                <w:color w:val="auto"/>
                <w:sz w:val="24"/>
                <w:szCs w:val="24"/>
                <w:highlight w:val="none"/>
              </w:rPr>
              <w:t>目周边环境空气质量不符合《环境空气质量标准》（GB</w:t>
            </w:r>
            <w:r>
              <w:rPr>
                <w:rFonts w:hint="eastAsia" w:cs="Times New Roman"/>
                <w:color w:val="auto"/>
                <w:sz w:val="24"/>
                <w:szCs w:val="24"/>
                <w:highlight w:val="none"/>
                <w:lang w:eastAsia="zh-CN"/>
              </w:rPr>
              <w:t>3095-2026</w:t>
            </w:r>
            <w:r>
              <w:rPr>
                <w:rFonts w:hint="default" w:ascii="Times New Roman" w:hAnsi="Times New Roman" w:cs="Times New Roman"/>
                <w:color w:val="auto"/>
                <w:sz w:val="24"/>
                <w:szCs w:val="24"/>
                <w:highlight w:val="none"/>
              </w:rPr>
              <w:t>）</w:t>
            </w:r>
            <w:r>
              <w:rPr>
                <w:rFonts w:hint="eastAsia"/>
                <w:sz w:val="24"/>
                <w:szCs w:val="24"/>
                <w:lang w:val="en-US" w:eastAsia="zh-CN"/>
              </w:rPr>
              <w:t>过渡阶段</w:t>
            </w:r>
            <w:r>
              <w:rPr>
                <w:rFonts w:hint="default" w:ascii="Times New Roman" w:hAnsi="Times New Roman" w:cs="Times New Roman"/>
                <w:color w:val="auto"/>
                <w:sz w:val="24"/>
                <w:szCs w:val="24"/>
                <w:highlight w:val="none"/>
              </w:rPr>
              <w:t>二级质量要求</w:t>
            </w:r>
            <w:r>
              <w:rPr>
                <w:rFonts w:hint="default" w:ascii="Times New Roman" w:hAnsi="Times New Roman" w:cs="Times New Roman"/>
                <w:color w:val="auto"/>
                <w:sz w:val="24"/>
                <w:highlight w:val="none"/>
              </w:rPr>
              <w:t>；项目区域地表水</w:t>
            </w:r>
            <w:r>
              <w:rPr>
                <w:rFonts w:hint="eastAsia" w:cs="Times New Roman"/>
                <w:color w:val="auto"/>
                <w:sz w:val="24"/>
                <w:highlight w:val="none"/>
                <w:lang w:val="en-US" w:eastAsia="zh-CN"/>
              </w:rPr>
              <w:t>漫泗河（</w:t>
            </w:r>
            <w:r>
              <w:rPr>
                <w:rFonts w:hint="eastAsia" w:ascii="Times New Roman" w:hAnsi="Times New Roman" w:cs="Times New Roman"/>
                <w:color w:val="auto"/>
                <w:kern w:val="0"/>
                <w:sz w:val="24"/>
                <w:highlight w:val="none"/>
                <w:lang w:eastAsia="zh-CN"/>
              </w:rPr>
              <w:t>孝妇河支流</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水质</w:t>
            </w:r>
            <w:r>
              <w:rPr>
                <w:rFonts w:hint="default" w:ascii="Times New Roman" w:hAnsi="Times New Roman" w:cs="Times New Roman"/>
                <w:color w:val="auto"/>
                <w:sz w:val="24"/>
                <w:highlight w:val="none"/>
                <w:lang w:val="en-US" w:eastAsia="zh-CN"/>
              </w:rPr>
              <w:t>不能</w:t>
            </w:r>
            <w:r>
              <w:rPr>
                <w:rFonts w:hint="default" w:ascii="Times New Roman" w:hAnsi="Times New Roman" w:cs="Times New Roman"/>
                <w:color w:val="auto"/>
                <w:sz w:val="24"/>
                <w:highlight w:val="none"/>
              </w:rPr>
              <w:t>满足《地表水环境质量标准》（GB3838-2002）中的</w:t>
            </w:r>
            <w:r>
              <w:rPr>
                <w:rFonts w:hint="default" w:ascii="Times New Roman" w:hAnsi="Times New Roman" w:cs="Times New Roman"/>
                <w:color w:val="auto"/>
                <w:kern w:val="0"/>
                <w:sz w:val="24"/>
                <w:highlight w:val="none"/>
              </w:rPr>
              <w:t>V</w:t>
            </w:r>
            <w:r>
              <w:rPr>
                <w:rFonts w:hint="default" w:ascii="Times New Roman" w:hAnsi="Times New Roman" w:cs="Times New Roman"/>
                <w:color w:val="auto"/>
                <w:sz w:val="24"/>
                <w:highlight w:val="none"/>
              </w:rPr>
              <w:t>类标准；项目区域地下水符合《地下水质量标准》（GB/T14848-2017）Ⅲ类标准要求；项目区域噪声符合《声环境质量标准》（GB3096-2008）</w:t>
            </w:r>
            <w:r>
              <w:rPr>
                <w:rFonts w:hint="eastAsia" w:cs="Times New Roman"/>
                <w:color w:val="auto"/>
                <w:sz w:val="24"/>
                <w:highlight w:val="none"/>
                <w:lang w:val="en-US" w:eastAsia="zh-CN"/>
              </w:rPr>
              <w:t>2类</w:t>
            </w:r>
            <w:r>
              <w:rPr>
                <w:rFonts w:hint="default" w:ascii="Times New Roman" w:hAnsi="Times New Roman" w:cs="Times New Roman"/>
                <w:color w:val="auto"/>
                <w:sz w:val="24"/>
                <w:highlight w:val="none"/>
              </w:rPr>
              <w:t>标准要求。</w:t>
            </w:r>
            <w:r>
              <w:rPr>
                <w:rFonts w:hint="default" w:ascii="Times New Roman" w:hAnsi="Times New Roman" w:cs="Times New Roman"/>
                <w:color w:val="auto"/>
                <w:kern w:val="0"/>
                <w:sz w:val="24"/>
                <w:highlight w:val="none"/>
              </w:rPr>
              <w:t>该项目所排放的污染物对周围环境的影响较小，在可接受范围之内。</w:t>
            </w:r>
            <w:r>
              <w:rPr>
                <w:rFonts w:hint="default" w:ascii="Times New Roman" w:hAnsi="Times New Roman" w:cs="Times New Roman"/>
                <w:color w:val="auto"/>
                <w:sz w:val="24"/>
                <w:szCs w:val="32"/>
                <w:highlight w:val="none"/>
              </w:rPr>
              <w:t>项目所排放的污染物满足相关排放标准，满足总量控制指标的要求，不影响当地污染物减排任务的完成，该项目对周围环境的影响程度不大，满足环境质量底线要求。</w:t>
            </w:r>
          </w:p>
          <w:p w14:paraId="1C7B8519">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（3）资源利用上线：项目所需能源主要为电</w:t>
            </w:r>
            <w:r>
              <w:rPr>
                <w:rFonts w:hint="eastAsia" w:cs="Times New Roman"/>
                <w:color w:val="auto"/>
                <w:sz w:val="24"/>
                <w:highlight w:val="none"/>
                <w:lang w:eastAsia="zh-CN"/>
              </w:rPr>
              <w:t>、</w:t>
            </w:r>
            <w:r>
              <w:rPr>
                <w:rFonts w:hint="eastAsia" w:cs="Times New Roman"/>
                <w:color w:val="auto"/>
                <w:sz w:val="24"/>
                <w:highlight w:val="none"/>
                <w:lang w:val="en-US" w:eastAsia="zh-CN"/>
              </w:rPr>
              <w:t>水</w:t>
            </w:r>
            <w:r>
              <w:rPr>
                <w:rFonts w:hint="default" w:ascii="Times New Roman" w:hAnsi="Times New Roman" w:cs="Times New Roman"/>
                <w:color w:val="auto"/>
                <w:sz w:val="24"/>
                <w:highlight w:val="none"/>
              </w:rPr>
              <w:t>，电由</w:t>
            </w:r>
            <w:r>
              <w:rPr>
                <w:rFonts w:hint="default" w:ascii="Times New Roman" w:hAnsi="Times New Roman" w:cs="Times New Roman"/>
                <w:color w:val="auto"/>
                <w:sz w:val="24"/>
                <w:highlight w:val="none"/>
                <w:lang w:eastAsia="zh-CN"/>
              </w:rPr>
              <w:t>淄川区</w:t>
            </w:r>
            <w:r>
              <w:rPr>
                <w:rFonts w:hint="default" w:ascii="Times New Roman" w:hAnsi="Times New Roman" w:cs="Times New Roman"/>
                <w:color w:val="auto"/>
                <w:sz w:val="24"/>
                <w:highlight w:val="none"/>
              </w:rPr>
              <w:t>电网供给</w:t>
            </w:r>
            <w:r>
              <w:rPr>
                <w:rFonts w:hint="eastAsia" w:cs="Times New Roman"/>
                <w:color w:val="auto"/>
                <w:sz w:val="24"/>
                <w:highlight w:val="none"/>
                <w:lang w:eastAsia="zh-CN"/>
              </w:rPr>
              <w:t>，</w:t>
            </w:r>
            <w:r>
              <w:rPr>
                <w:rFonts w:hint="eastAsia" w:cs="Times New Roman"/>
                <w:color w:val="auto"/>
                <w:sz w:val="24"/>
                <w:highlight w:val="none"/>
                <w:lang w:val="en-US" w:eastAsia="zh-CN"/>
              </w:rPr>
              <w:t>水由淄川区供水管网供给</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足够满足项目使用。项目资源利用量相对于区域资源利用总量较少，符合资源利用上线的要求。</w:t>
            </w:r>
          </w:p>
          <w:p w14:paraId="272762D1">
            <w:pPr>
              <w:pStyle w:val="15"/>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w:t>
            </w:r>
            <w:r>
              <w:rPr>
                <w:rFonts w:hint="default" w:ascii="Times New Roman" w:hAnsi="Times New Roman" w:cs="Times New Roman"/>
                <w:color w:val="auto"/>
                <w:highlight w:val="none"/>
              </w:rPr>
              <w:t>生态</w:t>
            </w:r>
            <w:r>
              <w:rPr>
                <w:rFonts w:hint="default" w:ascii="Times New Roman" w:hAnsi="Times New Roman" w:cs="Times New Roman"/>
                <w:color w:val="auto"/>
                <w:szCs w:val="24"/>
                <w:highlight w:val="none"/>
              </w:rPr>
              <w:t>环境准入清单</w:t>
            </w:r>
          </w:p>
          <w:p w14:paraId="6180A85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t>根据淄博市生态环境委员会办公室关于印发《淄博市2023年生态环境分区管控成果动态更新项目生态环境准入清单》的通知，</w:t>
            </w:r>
            <w:r>
              <w:rPr>
                <w:rFonts w:hint="default" w:ascii="Times New Roman" w:hAnsi="Times New Roman" w:eastAsia="宋体" w:cs="Times New Roman"/>
                <w:color w:val="auto"/>
                <w:sz w:val="24"/>
                <w:highlight w:val="none"/>
              </w:rPr>
              <w:t>项目位于</w:t>
            </w:r>
            <w:r>
              <w:rPr>
                <w:rFonts w:hint="default" w:ascii="Times New Roman" w:hAnsi="Times New Roman" w:eastAsia="宋体" w:cs="Times New Roman"/>
                <w:color w:val="auto"/>
                <w:sz w:val="24"/>
                <w:highlight w:val="none"/>
                <w:lang w:eastAsia="zh-CN"/>
              </w:rPr>
              <w:t>淄博淄川区</w:t>
            </w:r>
            <w:r>
              <w:rPr>
                <w:rFonts w:hint="eastAsia" w:cs="Times New Roman"/>
                <w:color w:val="auto"/>
                <w:sz w:val="24"/>
                <w:highlight w:val="none"/>
                <w:lang w:val="en-US" w:eastAsia="zh-CN"/>
              </w:rPr>
              <w:t>罗村镇</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属于</w:t>
            </w:r>
            <w:r>
              <w:rPr>
                <w:rFonts w:hint="default" w:ascii="Times New Roman" w:hAnsi="Times New Roman" w:eastAsia="宋体" w:cs="Times New Roman"/>
                <w:color w:val="auto"/>
                <w:sz w:val="24"/>
                <w:highlight w:val="none"/>
                <w:lang w:val="en-US" w:eastAsia="zh-CN"/>
              </w:rPr>
              <w:t>重点</w:t>
            </w:r>
            <w:r>
              <w:rPr>
                <w:rFonts w:hint="default" w:ascii="Times New Roman" w:hAnsi="Times New Roman" w:eastAsia="宋体" w:cs="Times New Roman"/>
                <w:color w:val="auto"/>
                <w:sz w:val="24"/>
                <w:highlight w:val="none"/>
              </w:rPr>
              <w:t>管控单元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编码ZH37030220004，</w:t>
            </w:r>
            <w:r>
              <w:rPr>
                <w:rFonts w:hint="default" w:ascii="Times New Roman" w:hAnsi="Times New Roman" w:eastAsia="宋体" w:cs="Times New Roman"/>
                <w:color w:val="auto"/>
                <w:sz w:val="24"/>
                <w:highlight w:val="none"/>
              </w:rPr>
              <w:t>项目与《</w:t>
            </w:r>
            <w:r>
              <w:rPr>
                <w:rFonts w:hint="default" w:ascii="Times New Roman" w:hAnsi="Times New Roman" w:eastAsia="宋体" w:cs="Times New Roman"/>
                <w:color w:val="auto"/>
                <w:sz w:val="24"/>
                <w:highlight w:val="none"/>
                <w:lang w:val="zh-CN"/>
              </w:rPr>
              <w:t>淄博市2023年生态环境分区管控成果动态更新项目生态环境准入清单</w:t>
            </w:r>
            <w:r>
              <w:rPr>
                <w:rFonts w:hint="default" w:ascii="Times New Roman" w:hAnsi="Times New Roman" w:eastAsia="宋体" w:cs="Times New Roman"/>
                <w:color w:val="auto"/>
                <w:sz w:val="24"/>
                <w:highlight w:val="none"/>
              </w:rPr>
              <w:t>》符合性分析如下：</w:t>
            </w:r>
          </w:p>
          <w:p w14:paraId="38A7A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 1-</w:t>
            </w:r>
            <w:r>
              <w:rPr>
                <w:rFonts w:hint="eastAsia" w:cs="Times New Roman"/>
                <w:b/>
                <w:color w:val="auto"/>
                <w:szCs w:val="21"/>
                <w:highlight w:val="none"/>
                <w:lang w:val="en-US" w:eastAsia="zh-CN"/>
              </w:rPr>
              <w:t>2</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cs="Times New Roman"/>
                <w:b/>
                <w:color w:val="auto"/>
                <w:szCs w:val="21"/>
                <w:lang w:val="zh-CN"/>
              </w:rPr>
              <w:t>与《淄博市2023年生态环境分区管控成果动态更新项目生态环境准入清单》环境管控单元符合性分析</w:t>
            </w:r>
            <w:r>
              <w:rPr>
                <w:rFonts w:hint="default" w:ascii="Times New Roman" w:hAnsi="Times New Roman" w:cs="Times New Roman"/>
                <w:b/>
                <w:color w:val="auto"/>
                <w:szCs w:val="21"/>
              </w:rPr>
              <w:t>表</w:t>
            </w:r>
          </w:p>
          <w:tbl>
            <w:tblPr>
              <w:tblStyle w:val="36"/>
              <w:tblW w:w="499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81"/>
              <w:gridCol w:w="3806"/>
              <w:gridCol w:w="1697"/>
              <w:gridCol w:w="1178"/>
            </w:tblGrid>
            <w:tr w14:paraId="5FA73A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tcBorders>
                    <w:tl2br w:val="nil"/>
                    <w:tr2bl w:val="nil"/>
                  </w:tcBorders>
                  <w:noWrap w:val="0"/>
                  <w:vAlign w:val="center"/>
                </w:tcPr>
                <w:p w14:paraId="428FB6C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分类</w:t>
                  </w:r>
                </w:p>
              </w:tc>
              <w:tc>
                <w:tcPr>
                  <w:tcW w:w="3808" w:type="dxa"/>
                  <w:tcBorders>
                    <w:tl2br w:val="nil"/>
                    <w:tr2bl w:val="nil"/>
                  </w:tcBorders>
                  <w:noWrap w:val="0"/>
                  <w:vAlign w:val="center"/>
                </w:tcPr>
                <w:p w14:paraId="3C46F90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文件要求</w:t>
                  </w:r>
                </w:p>
              </w:tc>
              <w:tc>
                <w:tcPr>
                  <w:tcW w:w="1697" w:type="dxa"/>
                  <w:tcBorders>
                    <w:tl2br w:val="nil"/>
                    <w:tr2bl w:val="nil"/>
                  </w:tcBorders>
                  <w:noWrap w:val="0"/>
                  <w:vAlign w:val="center"/>
                </w:tcPr>
                <w:p w14:paraId="41D2CEC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本项目情况</w:t>
                  </w:r>
                </w:p>
              </w:tc>
              <w:tc>
                <w:tcPr>
                  <w:tcW w:w="1178" w:type="dxa"/>
                  <w:tcBorders>
                    <w:tl2br w:val="nil"/>
                    <w:tr2bl w:val="nil"/>
                  </w:tcBorders>
                  <w:noWrap w:val="0"/>
                  <w:vAlign w:val="center"/>
                </w:tcPr>
                <w:p w14:paraId="50714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符合情况</w:t>
                  </w:r>
                </w:p>
              </w:tc>
            </w:tr>
            <w:tr w14:paraId="6F1202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restart"/>
                  <w:tcBorders>
                    <w:tl2br w:val="nil"/>
                    <w:tr2bl w:val="nil"/>
                  </w:tcBorders>
                  <w:noWrap w:val="0"/>
                  <w:vAlign w:val="center"/>
                </w:tcPr>
                <w:p w14:paraId="348ADC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空间 约束 布局</w:t>
                  </w:r>
                </w:p>
              </w:tc>
              <w:tc>
                <w:tcPr>
                  <w:tcW w:w="3808" w:type="dxa"/>
                  <w:tcBorders>
                    <w:tl2br w:val="nil"/>
                    <w:tr2bl w:val="nil"/>
                  </w:tcBorders>
                  <w:noWrap w:val="0"/>
                  <w:vAlign w:val="center"/>
                </w:tcPr>
                <w:p w14:paraId="3213691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Style w:val="90"/>
                      <w:rFonts w:hint="default" w:ascii="Times New Roman" w:hAnsi="Times New Roman" w:eastAsia="宋体" w:cs="Times New Roman"/>
                      <w:color w:val="auto"/>
                      <w:sz w:val="21"/>
                      <w:szCs w:val="21"/>
                      <w:lang w:val="en-US" w:eastAsia="zh-CN" w:bidi="ar"/>
                    </w:rPr>
                    <w:t>1</w:t>
                  </w:r>
                  <w:r>
                    <w:rPr>
                      <w:rStyle w:val="90"/>
                      <w:rFonts w:hint="eastAsia" w:cs="Times New Roman"/>
                      <w:color w:val="auto"/>
                      <w:sz w:val="21"/>
                      <w:szCs w:val="21"/>
                      <w:lang w:val="en-US" w:eastAsia="zh-CN" w:bidi="ar"/>
                    </w:rPr>
                    <w:t>.</w:t>
                  </w:r>
                  <w:r>
                    <w:rPr>
                      <w:rStyle w:val="90"/>
                      <w:rFonts w:hint="default" w:ascii="Times New Roman" w:hAnsi="Times New Roman" w:eastAsia="宋体" w:cs="Times New Roman"/>
                      <w:color w:val="auto"/>
                      <w:sz w:val="21"/>
                      <w:szCs w:val="21"/>
                      <w:lang w:val="en-US" w:eastAsia="zh-CN" w:bidi="ar"/>
                    </w:rPr>
                    <w:t>禁止新建、扩建《产业结构调整指导目录》（现行）明确的淘汰类项目和引入《市场准入负面清单》（现行）禁止准入类事项；鼓励对列入《产业结构调整指导目录》的限制类、淘汰类工业项目进行淘汰和提升改造</w:t>
                  </w:r>
                  <w:r>
                    <w:rPr>
                      <w:rStyle w:val="94"/>
                      <w:rFonts w:hint="default" w:ascii="Times New Roman" w:hAnsi="Times New Roman" w:eastAsia="宋体" w:cs="Times New Roman"/>
                      <w:color w:val="auto"/>
                      <w:sz w:val="21"/>
                      <w:szCs w:val="21"/>
                      <w:lang w:val="en-US" w:eastAsia="zh-CN" w:bidi="ar"/>
                    </w:rPr>
                    <w:t>。</w:t>
                  </w:r>
                </w:p>
              </w:tc>
              <w:tc>
                <w:tcPr>
                  <w:tcW w:w="1697" w:type="dxa"/>
                  <w:tcBorders>
                    <w:tl2br w:val="nil"/>
                    <w:tr2bl w:val="nil"/>
                  </w:tcBorders>
                  <w:noWrap w:val="0"/>
                  <w:vAlign w:val="center"/>
                </w:tcPr>
                <w:p w14:paraId="4F84621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Style w:val="94"/>
                      <w:rFonts w:hint="default" w:ascii="Times New Roman" w:hAnsi="Times New Roman" w:eastAsia="宋体" w:cs="Times New Roman"/>
                      <w:color w:val="auto"/>
                      <w:sz w:val="21"/>
                      <w:szCs w:val="21"/>
                      <w:highlight w:val="none"/>
                      <w:lang w:val="en-US" w:eastAsia="zh-CN" w:bidi="ar"/>
                    </w:rPr>
                    <w:t>根据《产业结构调整指导目录》2024版，</w:t>
                  </w:r>
                  <w:r>
                    <w:rPr>
                      <w:rFonts w:hint="default" w:ascii="Times New Roman" w:hAnsi="Times New Roman" w:cs="Times New Roman"/>
                      <w:color w:val="auto"/>
                      <w:szCs w:val="21"/>
                      <w:highlight w:val="none"/>
                    </w:rPr>
                    <w:t>本项目不属于落后产能及</w:t>
                  </w:r>
                  <w:r>
                    <w:rPr>
                      <w:rFonts w:hint="default" w:ascii="Times New Roman" w:hAnsi="Times New Roman" w:cs="Times New Roman"/>
                      <w:color w:val="auto"/>
                      <w:szCs w:val="21"/>
                      <w:highlight w:val="none"/>
                      <w:lang w:val="en-US" w:eastAsia="zh-CN"/>
                    </w:rPr>
                    <w:t>限制类、</w:t>
                  </w:r>
                  <w:r>
                    <w:rPr>
                      <w:rFonts w:hint="default" w:ascii="Times New Roman" w:hAnsi="Times New Roman" w:cs="Times New Roman"/>
                      <w:color w:val="auto"/>
                      <w:szCs w:val="21"/>
                      <w:highlight w:val="none"/>
                    </w:rPr>
                    <w:t>淘汰类项目。</w:t>
                  </w:r>
                </w:p>
              </w:tc>
              <w:tc>
                <w:tcPr>
                  <w:tcW w:w="1178" w:type="dxa"/>
                  <w:vMerge w:val="restart"/>
                  <w:tcBorders>
                    <w:tl2br w:val="nil"/>
                    <w:tr2bl w:val="nil"/>
                  </w:tcBorders>
                  <w:noWrap w:val="0"/>
                  <w:vAlign w:val="center"/>
                </w:tcPr>
                <w:p w14:paraId="5107F34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58121F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0A3D992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808" w:type="dxa"/>
                  <w:tcBorders>
                    <w:tl2br w:val="nil"/>
                    <w:tr2bl w:val="nil"/>
                  </w:tcBorders>
                  <w:noWrap w:val="0"/>
                  <w:vAlign w:val="center"/>
                </w:tcPr>
                <w:p w14:paraId="151ED23D">
                  <w:pPr>
                    <w:keepNext w:val="0"/>
                    <w:keepLines w:val="0"/>
                    <w:suppressLineNumbers w:val="0"/>
                    <w:adjustRightInd w:val="0"/>
                    <w:snapToGrid w:val="0"/>
                    <w:spacing w:before="0" w:beforeAutospacing="0" w:after="0" w:afterAutospacing="0"/>
                    <w:ind w:left="0" w:right="0"/>
                    <w:jc w:val="center"/>
                    <w:rPr>
                      <w:rStyle w:val="90"/>
                      <w:rFonts w:hint="default" w:ascii="Times New Roman" w:hAnsi="Times New Roman" w:eastAsia="宋体" w:cs="Times New Roman"/>
                      <w:color w:val="auto"/>
                      <w:sz w:val="21"/>
                      <w:szCs w:val="21"/>
                      <w:lang w:val="en-US" w:eastAsia="zh-CN" w:bidi="ar"/>
                    </w:rPr>
                  </w:pPr>
                  <w:r>
                    <w:rPr>
                      <w:rStyle w:val="90"/>
                      <w:rFonts w:hint="default" w:ascii="Times New Roman" w:hAnsi="Times New Roman" w:eastAsia="宋体" w:cs="Times New Roman"/>
                      <w:color w:val="auto"/>
                      <w:sz w:val="21"/>
                      <w:szCs w:val="21"/>
                      <w:lang w:val="en-US" w:eastAsia="zh-CN" w:bidi="ar"/>
                    </w:rPr>
                    <w:t>2.按照省市要求，严格控制“两高”项目，新建“两高”项目实行“五个减量替代”。</w:t>
                  </w:r>
                </w:p>
              </w:tc>
              <w:tc>
                <w:tcPr>
                  <w:tcW w:w="1697" w:type="dxa"/>
                  <w:tcBorders>
                    <w:tl2br w:val="nil"/>
                    <w:tr2bl w:val="nil"/>
                  </w:tcBorders>
                  <w:noWrap w:val="0"/>
                  <w:vAlign w:val="center"/>
                </w:tcPr>
                <w:p w14:paraId="125B9896">
                  <w:pPr>
                    <w:keepNext w:val="0"/>
                    <w:keepLines w:val="0"/>
                    <w:suppressLineNumbers w:val="0"/>
                    <w:adjustRightInd w:val="0"/>
                    <w:snapToGrid w:val="0"/>
                    <w:spacing w:before="0" w:beforeAutospacing="0" w:after="0" w:afterAutospacing="0"/>
                    <w:ind w:left="0" w:right="0"/>
                    <w:jc w:val="center"/>
                    <w:rPr>
                      <w:rStyle w:val="94"/>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Cs w:val="21"/>
                      <w:highlight w:val="none"/>
                    </w:rPr>
                    <w:t>本项目</w:t>
                  </w:r>
                  <w:r>
                    <w:rPr>
                      <w:rFonts w:hint="default" w:ascii="Times New Roman" w:hAnsi="Times New Roman" w:cs="Times New Roman"/>
                      <w:color w:val="auto"/>
                      <w:szCs w:val="21"/>
                      <w:highlight w:val="none"/>
                      <w:lang w:val="en-US" w:eastAsia="zh-CN"/>
                    </w:rPr>
                    <w:t>不属于“两高”项目</w:t>
                  </w:r>
                  <w:r>
                    <w:rPr>
                      <w:rFonts w:hint="default" w:ascii="Times New Roman" w:hAnsi="Times New Roman" w:cs="Times New Roman"/>
                      <w:color w:val="auto"/>
                      <w:szCs w:val="21"/>
                      <w:highlight w:val="none"/>
                    </w:rPr>
                    <w:t>。</w:t>
                  </w:r>
                </w:p>
              </w:tc>
              <w:tc>
                <w:tcPr>
                  <w:tcW w:w="1178" w:type="dxa"/>
                  <w:vMerge w:val="continue"/>
                  <w:tcBorders>
                    <w:tl2br w:val="nil"/>
                    <w:tr2bl w:val="nil"/>
                  </w:tcBorders>
                  <w:noWrap w:val="0"/>
                  <w:vAlign w:val="center"/>
                </w:tcPr>
                <w:p w14:paraId="396926A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192FC2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1DC3878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808" w:type="dxa"/>
                  <w:tcBorders>
                    <w:tl2br w:val="nil"/>
                    <w:tr2bl w:val="nil"/>
                  </w:tcBorders>
                  <w:noWrap w:val="0"/>
                  <w:vAlign w:val="center"/>
                </w:tcPr>
                <w:p w14:paraId="0D5391B3">
                  <w:pPr>
                    <w:keepNext w:val="0"/>
                    <w:keepLines w:val="0"/>
                    <w:suppressLineNumbers w:val="0"/>
                    <w:adjustRightInd w:val="0"/>
                    <w:snapToGrid w:val="0"/>
                    <w:spacing w:before="0" w:beforeAutospacing="0" w:after="0" w:afterAutospacing="0"/>
                    <w:ind w:left="0" w:right="0"/>
                    <w:jc w:val="center"/>
                    <w:rPr>
                      <w:rStyle w:val="90"/>
                      <w:rFonts w:hint="default" w:ascii="Times New Roman" w:hAnsi="Times New Roman" w:eastAsia="宋体" w:cs="Times New Roman"/>
                      <w:color w:val="auto"/>
                      <w:sz w:val="21"/>
                      <w:szCs w:val="21"/>
                      <w:lang w:val="en-US" w:eastAsia="zh-CN" w:bidi="ar"/>
                    </w:rPr>
                  </w:pPr>
                  <w:r>
                    <w:rPr>
                      <w:rStyle w:val="90"/>
                      <w:rFonts w:hint="default" w:ascii="Times New Roman" w:hAnsi="Times New Roman" w:eastAsia="宋体" w:cs="Times New Roman"/>
                      <w:color w:val="auto"/>
                      <w:sz w:val="21"/>
                      <w:szCs w:val="21"/>
                      <w:lang w:val="en-US" w:eastAsia="zh-CN" w:bidi="ar"/>
                    </w:rPr>
                    <w:t>3.生态红线外淄川省级风景名胜区依据《中华人民共和国自然保护条例》、《森林公园管理办法》、《风景名胜区条例》、《国家级公益林管理办法》、《国家湿地公园管理办法》的要求进行管控。不得在生态红线内开展城镇化、工业化等有损害主导生态功能的活动。</w:t>
                  </w:r>
                </w:p>
              </w:tc>
              <w:tc>
                <w:tcPr>
                  <w:tcW w:w="1697" w:type="dxa"/>
                  <w:tcBorders>
                    <w:tl2br w:val="nil"/>
                    <w:tr2bl w:val="nil"/>
                  </w:tcBorders>
                  <w:noWrap w:val="0"/>
                  <w:vAlign w:val="center"/>
                </w:tcPr>
                <w:p w14:paraId="2664BD7F">
                  <w:pPr>
                    <w:keepNext w:val="0"/>
                    <w:keepLines w:val="0"/>
                    <w:suppressLineNumbers w:val="0"/>
                    <w:adjustRightInd w:val="0"/>
                    <w:snapToGrid w:val="0"/>
                    <w:spacing w:before="0" w:beforeAutospacing="0" w:after="0" w:afterAutospacing="0"/>
                    <w:ind w:left="0" w:right="0"/>
                    <w:jc w:val="center"/>
                    <w:rPr>
                      <w:rStyle w:val="94"/>
                      <w:rFonts w:hint="default" w:ascii="Times New Roman" w:hAnsi="Times New Roman" w:eastAsia="宋体" w:cs="Times New Roman"/>
                      <w:color w:val="auto"/>
                      <w:sz w:val="21"/>
                      <w:szCs w:val="21"/>
                      <w:highlight w:val="none"/>
                      <w:lang w:val="en-US" w:eastAsia="zh-CN" w:bidi="ar"/>
                    </w:rPr>
                  </w:pPr>
                  <w:r>
                    <w:rPr>
                      <w:rStyle w:val="94"/>
                      <w:rFonts w:hint="eastAsia" w:cs="Times New Roman"/>
                      <w:color w:val="auto"/>
                      <w:sz w:val="21"/>
                      <w:szCs w:val="21"/>
                      <w:highlight w:val="none"/>
                      <w:lang w:val="en-US" w:eastAsia="zh-CN" w:bidi="ar"/>
                    </w:rPr>
                    <w:t>本项目不位于生态红线及淄川省级风景名胜区内。</w:t>
                  </w:r>
                </w:p>
              </w:tc>
              <w:tc>
                <w:tcPr>
                  <w:tcW w:w="1178" w:type="dxa"/>
                  <w:vMerge w:val="continue"/>
                  <w:tcBorders>
                    <w:tl2br w:val="nil"/>
                    <w:tr2bl w:val="nil"/>
                  </w:tcBorders>
                  <w:noWrap w:val="0"/>
                  <w:vAlign w:val="center"/>
                </w:tcPr>
                <w:p w14:paraId="1E7F112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77F664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08D8E0F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08" w:type="dxa"/>
                  <w:tcBorders>
                    <w:tl2br w:val="nil"/>
                    <w:tr2bl w:val="nil"/>
                  </w:tcBorders>
                  <w:noWrap w:val="0"/>
                  <w:vAlign w:val="center"/>
                </w:tcPr>
                <w:p w14:paraId="1067CE25">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90"/>
                      <w:rFonts w:hint="default" w:ascii="Times New Roman" w:hAnsi="Times New Roman" w:cs="Times New Roman" w:eastAsiaTheme="majorEastAsia"/>
                      <w:color w:val="auto"/>
                      <w:sz w:val="21"/>
                      <w:szCs w:val="21"/>
                      <w:lang w:val="en-US" w:eastAsia="zh-CN" w:bidi="ar"/>
                    </w:rPr>
                    <w:t>4.</w:t>
                  </w:r>
                  <w:r>
                    <w:rPr>
                      <w:rStyle w:val="90"/>
                      <w:rFonts w:hint="eastAsia" w:ascii="Times New Roman" w:hAnsi="Times New Roman" w:cs="Times New Roman" w:eastAsiaTheme="majorEastAsia"/>
                      <w:color w:val="auto"/>
                      <w:sz w:val="21"/>
                      <w:szCs w:val="21"/>
                      <w:lang w:val="en-US" w:eastAsia="zh-CN" w:bidi="ar"/>
                    </w:rPr>
                    <w:t>按照</w:t>
                  </w:r>
                  <w:r>
                    <w:rPr>
                      <w:rStyle w:val="94"/>
                      <w:rFonts w:hint="default" w:ascii="Times New Roman" w:hAnsi="Times New Roman" w:cs="Times New Roman" w:eastAsiaTheme="majorEastAsia"/>
                      <w:color w:val="auto"/>
                      <w:sz w:val="21"/>
                      <w:szCs w:val="21"/>
                      <w:lang w:val="en-US" w:eastAsia="zh-CN" w:bidi="ar"/>
                    </w:rPr>
                    <w:t>《土壤污染防治行动计划》要求</w:t>
                  </w:r>
                  <w:r>
                    <w:rPr>
                      <w:rStyle w:val="94"/>
                      <w:rFonts w:hint="eastAsia" w:ascii="Times New Roman" w:hAnsi="Times New Roman" w:cs="Times New Roman" w:eastAsiaTheme="majorEastAsia"/>
                      <w:color w:val="auto"/>
                      <w:sz w:val="21"/>
                      <w:szCs w:val="21"/>
                      <w:lang w:val="en-US" w:eastAsia="zh-CN" w:bidi="ar"/>
                    </w:rPr>
                    <w:t>，</w:t>
                  </w:r>
                  <w:r>
                    <w:rPr>
                      <w:rStyle w:val="94"/>
                      <w:rFonts w:hint="default" w:ascii="Times New Roman" w:hAnsi="Times New Roman" w:cs="Times New Roman" w:eastAsiaTheme="majorEastAsia"/>
                      <w:color w:val="auto"/>
                      <w:sz w:val="21"/>
                      <w:szCs w:val="21"/>
                      <w:lang w:val="en-US" w:eastAsia="zh-CN" w:bidi="ar"/>
                    </w:rPr>
                    <w:t>严格控制在优先保护类耕地集中区域新建有色金属冶炼、石油加工、化工、焦化、电镀、制革等行业企业。对永久基本农田实行严格保护，确保其面积不减少、土壤环境质量不下降，除法律规定的重点建设项目选址确实无法避让外，其他任何建设不得占用。</w:t>
                  </w:r>
                </w:p>
              </w:tc>
              <w:tc>
                <w:tcPr>
                  <w:tcW w:w="1697" w:type="dxa"/>
                  <w:tcBorders>
                    <w:tl2br w:val="nil"/>
                    <w:tr2bl w:val="nil"/>
                  </w:tcBorders>
                  <w:noWrap w:val="0"/>
                  <w:vAlign w:val="center"/>
                </w:tcPr>
                <w:p w14:paraId="75F92DB9">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本项目未选在</w:t>
                  </w:r>
                  <w:r>
                    <w:rPr>
                      <w:rStyle w:val="94"/>
                      <w:rFonts w:hint="default" w:ascii="Times New Roman" w:hAnsi="Times New Roman" w:eastAsia="宋体" w:cs="Times New Roman"/>
                      <w:color w:val="auto"/>
                      <w:sz w:val="21"/>
                      <w:szCs w:val="21"/>
                      <w:lang w:val="en-US" w:eastAsia="zh-CN" w:bidi="ar"/>
                    </w:rPr>
                    <w:t>优先保护类耕地集中区域新建厂房，未占用永久基本农田</w:t>
                  </w:r>
                  <w:r>
                    <w:rPr>
                      <w:rFonts w:hint="default" w:ascii="Times New Roman" w:hAnsi="Times New Roman" w:cs="Times New Roman"/>
                      <w:color w:val="auto"/>
                      <w:szCs w:val="21"/>
                      <w:highlight w:val="none"/>
                    </w:rPr>
                    <w:t>。</w:t>
                  </w:r>
                </w:p>
              </w:tc>
              <w:tc>
                <w:tcPr>
                  <w:tcW w:w="1178" w:type="dxa"/>
                  <w:vMerge w:val="continue"/>
                  <w:tcBorders>
                    <w:tl2br w:val="nil"/>
                    <w:tr2bl w:val="nil"/>
                  </w:tcBorders>
                  <w:noWrap w:val="0"/>
                  <w:vAlign w:val="center"/>
                </w:tcPr>
                <w:p w14:paraId="75B4B4EC">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007A5C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0797B74A">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08" w:type="dxa"/>
                  <w:tcBorders>
                    <w:tl2br w:val="nil"/>
                    <w:tr2bl w:val="nil"/>
                  </w:tcBorders>
                  <w:noWrap w:val="0"/>
                  <w:vAlign w:val="center"/>
                </w:tcPr>
                <w:p w14:paraId="29EEAAFE">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90"/>
                      <w:rFonts w:hint="default" w:ascii="Times New Roman" w:hAnsi="Times New Roman" w:cs="Times New Roman" w:eastAsiaTheme="majorEastAsia"/>
                      <w:color w:val="auto"/>
                      <w:sz w:val="21"/>
                      <w:szCs w:val="21"/>
                      <w:lang w:val="en-US" w:eastAsia="zh-CN" w:bidi="ar"/>
                    </w:rPr>
                    <w:t>5.</w:t>
                  </w:r>
                  <w:r>
                    <w:rPr>
                      <w:rStyle w:val="94"/>
                      <w:rFonts w:hint="default" w:ascii="Times New Roman" w:hAnsi="Times New Roman" w:cs="Times New Roman" w:eastAsiaTheme="majorEastAsia"/>
                      <w:color w:val="auto"/>
                      <w:sz w:val="21"/>
                      <w:szCs w:val="21"/>
                      <w:lang w:val="en-US" w:eastAsia="zh-CN" w:bidi="ar"/>
                    </w:rPr>
                    <w:t>污水处理设施不健全、未正常运行或污水管网未覆盖的地区，未配套污水处理设施的项目不得建设。</w:t>
                  </w:r>
                </w:p>
              </w:tc>
              <w:tc>
                <w:tcPr>
                  <w:tcW w:w="1697" w:type="dxa"/>
                  <w:tcBorders>
                    <w:tl2br w:val="nil"/>
                    <w:tr2bl w:val="nil"/>
                  </w:tcBorders>
                  <w:noWrap w:val="0"/>
                  <w:vAlign w:val="center"/>
                </w:tcPr>
                <w:p w14:paraId="12C2C1DC">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本项目</w:t>
                  </w:r>
                  <w:r>
                    <w:rPr>
                      <w:rFonts w:hint="eastAsia" w:cs="Times New Roman"/>
                      <w:color w:val="auto"/>
                      <w:szCs w:val="21"/>
                      <w:highlight w:val="none"/>
                      <w:lang w:val="en-US" w:eastAsia="zh-CN"/>
                    </w:rPr>
                    <w:t>生活污水经化粪池处理后，由环卫部门定期清运</w:t>
                  </w:r>
                  <w:r>
                    <w:rPr>
                      <w:rFonts w:hint="eastAsia" w:ascii="Times New Roman" w:hAnsi="Times New Roman" w:eastAsia="宋体" w:cs="Times New Roman"/>
                      <w:color w:val="auto"/>
                      <w:szCs w:val="21"/>
                      <w:highlight w:val="none"/>
                      <w:lang w:val="en-US" w:eastAsia="zh-CN"/>
                    </w:rPr>
                    <w:t>。</w:t>
                  </w:r>
                </w:p>
              </w:tc>
              <w:tc>
                <w:tcPr>
                  <w:tcW w:w="1178" w:type="dxa"/>
                  <w:vMerge w:val="continue"/>
                  <w:tcBorders>
                    <w:tl2br w:val="nil"/>
                    <w:tr2bl w:val="nil"/>
                  </w:tcBorders>
                  <w:noWrap w:val="0"/>
                  <w:vAlign w:val="center"/>
                </w:tcPr>
                <w:p w14:paraId="3412A4A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546D1F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0742052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08" w:type="dxa"/>
                  <w:tcBorders>
                    <w:tl2br w:val="nil"/>
                    <w:tr2bl w:val="nil"/>
                  </w:tcBorders>
                  <w:noWrap w:val="0"/>
                  <w:vAlign w:val="center"/>
                </w:tcPr>
                <w:p w14:paraId="1D5896F8">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Style w:val="95"/>
                      <w:rFonts w:hint="default" w:ascii="Times New Roman" w:hAnsi="Times New Roman" w:cs="Times New Roman" w:eastAsiaTheme="majorEastAsia"/>
                      <w:color w:val="auto"/>
                      <w:sz w:val="21"/>
                      <w:szCs w:val="21"/>
                      <w:lang w:val="en-US" w:eastAsia="zh-CN" w:bidi="ar"/>
                    </w:rPr>
                    <w:t>6.</w:t>
                  </w:r>
                  <w:r>
                    <w:rPr>
                      <w:rStyle w:val="96"/>
                      <w:rFonts w:hint="default" w:ascii="Times New Roman" w:hAnsi="Times New Roman" w:cs="Times New Roman" w:eastAsiaTheme="majorEastAsia"/>
                      <w:color w:val="auto"/>
                      <w:sz w:val="21"/>
                      <w:szCs w:val="21"/>
                      <w:lang w:val="en-US" w:eastAsia="zh-CN" w:bidi="ar"/>
                    </w:rPr>
                    <w:t>新建有污染物排放的工业项目，除在安全生产等方面有特殊要求的以外，应当进入工业园区或工业聚集区。</w:t>
                  </w:r>
                </w:p>
              </w:tc>
              <w:tc>
                <w:tcPr>
                  <w:tcW w:w="1697" w:type="dxa"/>
                  <w:tcBorders>
                    <w:tl2br w:val="nil"/>
                    <w:tr2bl w:val="nil"/>
                  </w:tcBorders>
                  <w:noWrap w:val="0"/>
                  <w:vAlign w:val="center"/>
                </w:tcPr>
                <w:p w14:paraId="0B319850">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本项目位于工业聚集区</w:t>
                  </w:r>
                  <w:r>
                    <w:rPr>
                      <w:rFonts w:hint="eastAsia" w:cs="Times New Roman"/>
                      <w:color w:val="000000" w:themeColor="text1"/>
                      <w:szCs w:val="21"/>
                      <w:highlight w:val="none"/>
                      <w:lang w:val="en-US" w:eastAsia="zh-CN"/>
                      <w14:textFill>
                        <w14:solidFill>
                          <w14:schemeClr w14:val="tx1"/>
                        </w14:solidFill>
                      </w14:textFill>
                    </w:rPr>
                    <w:t>（证明文件见附件）</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1178" w:type="dxa"/>
                  <w:vMerge w:val="continue"/>
                  <w:tcBorders>
                    <w:tl2br w:val="nil"/>
                    <w:tr2bl w:val="nil"/>
                  </w:tcBorders>
                  <w:noWrap w:val="0"/>
                  <w:vAlign w:val="center"/>
                </w:tcPr>
                <w:p w14:paraId="4FA0E6E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507C9A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restart"/>
                  <w:tcBorders>
                    <w:tl2br w:val="nil"/>
                    <w:tr2bl w:val="nil"/>
                  </w:tcBorders>
                  <w:noWrap w:val="0"/>
                  <w:vAlign w:val="center"/>
                </w:tcPr>
                <w:p w14:paraId="59B651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 物排 放管 控</w:t>
                  </w:r>
                </w:p>
              </w:tc>
              <w:tc>
                <w:tcPr>
                  <w:tcW w:w="3808" w:type="dxa"/>
                  <w:tcBorders>
                    <w:tl2br w:val="nil"/>
                    <w:tr2bl w:val="nil"/>
                  </w:tcBorders>
                  <w:noWrap w:val="0"/>
                  <w:vAlign w:val="center"/>
                </w:tcPr>
                <w:p w14:paraId="2B569B24">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95"/>
                      <w:rFonts w:hint="default" w:ascii="Times New Roman" w:hAnsi="Times New Roman" w:eastAsia="宋体" w:cs="Times New Roman"/>
                      <w:color w:val="auto"/>
                      <w:sz w:val="21"/>
                      <w:szCs w:val="21"/>
                      <w:lang w:val="en-US" w:eastAsia="zh-CN" w:bidi="ar"/>
                    </w:rPr>
                    <w:t>1.</w:t>
                  </w:r>
                  <w:r>
                    <w:rPr>
                      <w:rStyle w:val="96"/>
                      <w:rFonts w:hint="default" w:ascii="Times New Roman" w:hAnsi="Times New Roman" w:eastAsia="宋体" w:cs="Times New Roman"/>
                      <w:color w:val="auto"/>
                      <w:sz w:val="21"/>
                      <w:szCs w:val="21"/>
                      <w:lang w:val="en-US" w:eastAsia="zh-CN" w:bidi="ar"/>
                    </w:rPr>
                    <w:t>涉</w:t>
                  </w:r>
                  <w:r>
                    <w:rPr>
                      <w:rStyle w:val="95"/>
                      <w:rFonts w:hint="default" w:ascii="Times New Roman" w:hAnsi="Times New Roman" w:eastAsia="宋体" w:cs="Times New Roman"/>
                      <w:color w:val="auto"/>
                      <w:sz w:val="21"/>
                      <w:szCs w:val="21"/>
                      <w:lang w:val="en-US" w:eastAsia="zh-CN" w:bidi="ar"/>
                    </w:rPr>
                    <w:t>“</w:t>
                  </w:r>
                  <w:r>
                    <w:rPr>
                      <w:rStyle w:val="96"/>
                      <w:rFonts w:hint="default" w:ascii="Times New Roman" w:hAnsi="Times New Roman" w:eastAsia="宋体" w:cs="Times New Roman"/>
                      <w:color w:val="auto"/>
                      <w:sz w:val="21"/>
                      <w:szCs w:val="21"/>
                      <w:lang w:val="en-US" w:eastAsia="zh-CN" w:bidi="ar"/>
                    </w:rPr>
                    <w:t>两高</w:t>
                  </w:r>
                  <w:r>
                    <w:rPr>
                      <w:rStyle w:val="95"/>
                      <w:rFonts w:hint="default" w:ascii="Times New Roman" w:hAnsi="Times New Roman" w:eastAsia="宋体" w:cs="Times New Roman"/>
                      <w:color w:val="auto"/>
                      <w:sz w:val="21"/>
                      <w:szCs w:val="21"/>
                      <w:lang w:val="en-US" w:eastAsia="zh-CN" w:bidi="ar"/>
                    </w:rPr>
                    <w:t>”</w:t>
                  </w:r>
                  <w:r>
                    <w:rPr>
                      <w:rStyle w:val="96"/>
                      <w:rFonts w:hint="default" w:ascii="Times New Roman" w:hAnsi="Times New Roman" w:eastAsia="宋体" w:cs="Times New Roman"/>
                      <w:color w:val="auto"/>
                      <w:sz w:val="21"/>
                      <w:szCs w:val="21"/>
                      <w:lang w:val="en-US" w:eastAsia="zh-CN" w:bidi="ar"/>
                    </w:rPr>
                    <w:t>项目企业应当积极实施节能改造提升，提高能源使用效率，推进节能减排。</w:t>
                  </w:r>
                </w:p>
              </w:tc>
              <w:tc>
                <w:tcPr>
                  <w:tcW w:w="1697" w:type="dxa"/>
                  <w:tcBorders>
                    <w:tl2br w:val="nil"/>
                    <w:tr2bl w:val="nil"/>
                  </w:tcBorders>
                  <w:noWrap w:val="0"/>
                  <w:vAlign w:val="center"/>
                </w:tcPr>
                <w:p w14:paraId="6701E271">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本项目不属于两高项目。</w:t>
                  </w:r>
                </w:p>
              </w:tc>
              <w:tc>
                <w:tcPr>
                  <w:tcW w:w="1178" w:type="dxa"/>
                  <w:vMerge w:val="restart"/>
                  <w:tcBorders>
                    <w:tl2br w:val="nil"/>
                    <w:tr2bl w:val="nil"/>
                  </w:tcBorders>
                  <w:noWrap w:val="0"/>
                  <w:vAlign w:val="center"/>
                </w:tcPr>
                <w:p w14:paraId="21D920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5509E4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0BC5506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08" w:type="dxa"/>
                  <w:tcBorders>
                    <w:tl2br w:val="nil"/>
                    <w:tr2bl w:val="nil"/>
                  </w:tcBorders>
                  <w:noWrap w:val="0"/>
                  <w:vAlign w:val="center"/>
                </w:tcPr>
                <w:p w14:paraId="02024462">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95"/>
                      <w:rFonts w:hint="default" w:ascii="Times New Roman" w:hAnsi="Times New Roman" w:eastAsia="宋体" w:cs="Times New Roman"/>
                      <w:color w:val="auto"/>
                      <w:sz w:val="21"/>
                      <w:szCs w:val="21"/>
                      <w:lang w:val="en-US" w:eastAsia="zh-CN" w:bidi="ar"/>
                    </w:rPr>
                    <w:t>2.</w:t>
                  </w:r>
                  <w:r>
                    <w:rPr>
                      <w:rStyle w:val="96"/>
                      <w:rFonts w:hint="default" w:ascii="Times New Roman" w:hAnsi="Times New Roman" w:eastAsia="宋体" w:cs="Times New Roman"/>
                      <w:color w:val="auto"/>
                      <w:sz w:val="21"/>
                      <w:szCs w:val="21"/>
                      <w:lang w:val="en-US" w:eastAsia="zh-CN" w:bidi="ar"/>
                    </w:rPr>
                    <w:t>落实主要污染物总量替代要求，按照山东省生态环境厅《关于印发山东省建设项目主要大气污染物排放总量替代指标核算及管理办法的通知》，实施动态管控替代。</w:t>
                  </w:r>
                </w:p>
              </w:tc>
              <w:tc>
                <w:tcPr>
                  <w:tcW w:w="1697" w:type="dxa"/>
                  <w:tcBorders>
                    <w:tl2br w:val="nil"/>
                    <w:tr2bl w:val="nil"/>
                  </w:tcBorders>
                  <w:noWrap w:val="0"/>
                  <w:vAlign w:val="center"/>
                </w:tcPr>
                <w:p w14:paraId="2502647A">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按要求执行。</w:t>
                  </w:r>
                </w:p>
              </w:tc>
              <w:tc>
                <w:tcPr>
                  <w:tcW w:w="1178" w:type="dxa"/>
                  <w:vMerge w:val="continue"/>
                  <w:tcBorders>
                    <w:tl2br w:val="nil"/>
                    <w:tr2bl w:val="nil"/>
                  </w:tcBorders>
                  <w:noWrap w:val="0"/>
                  <w:vAlign w:val="center"/>
                </w:tcPr>
                <w:p w14:paraId="25111079">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2F108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02" w:hRule="atLeast"/>
                <w:jc w:val="center"/>
              </w:trPr>
              <w:tc>
                <w:tcPr>
                  <w:tcW w:w="781" w:type="dxa"/>
                  <w:vMerge w:val="continue"/>
                  <w:tcBorders>
                    <w:tl2br w:val="nil"/>
                    <w:tr2bl w:val="nil"/>
                  </w:tcBorders>
                  <w:noWrap w:val="0"/>
                  <w:vAlign w:val="center"/>
                </w:tcPr>
                <w:p w14:paraId="2DC5551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08" w:type="dxa"/>
                  <w:tcBorders>
                    <w:tl2br w:val="nil"/>
                    <w:tr2bl w:val="nil"/>
                  </w:tcBorders>
                  <w:noWrap w:val="0"/>
                  <w:vAlign w:val="center"/>
                </w:tcPr>
                <w:p w14:paraId="50DAC6DC">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90"/>
                      <w:rFonts w:hint="default" w:ascii="Times New Roman" w:hAnsi="Times New Roman" w:eastAsia="宋体" w:cs="Times New Roman"/>
                      <w:color w:val="auto"/>
                      <w:sz w:val="21"/>
                      <w:szCs w:val="21"/>
                      <w:lang w:val="en-US" w:eastAsia="zh-CN" w:bidi="ar"/>
                    </w:rPr>
                    <w:t>3.</w:t>
                  </w:r>
                  <w:r>
                    <w:rPr>
                      <w:rStyle w:val="94"/>
                      <w:rFonts w:hint="default" w:ascii="Times New Roman" w:hAnsi="Times New Roman" w:eastAsia="宋体" w:cs="Times New Roman"/>
                      <w:color w:val="auto"/>
                      <w:sz w:val="21"/>
                      <w:szCs w:val="21"/>
                      <w:lang w:val="en-US" w:eastAsia="zh-CN" w:bidi="ar"/>
                    </w:rPr>
                    <w:t>废水应当按照要求进行预处理，达到行业排放标准或是综合排放标准后方可排放。</w:t>
                  </w:r>
                </w:p>
              </w:tc>
              <w:tc>
                <w:tcPr>
                  <w:tcW w:w="1697" w:type="dxa"/>
                  <w:vMerge w:val="restart"/>
                  <w:tcBorders>
                    <w:tl2br w:val="nil"/>
                    <w:tr2bl w:val="nil"/>
                  </w:tcBorders>
                  <w:noWrap w:val="0"/>
                  <w:vAlign w:val="center"/>
                </w:tcPr>
                <w:p w14:paraId="4A5BD640">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生活污水经化粪池处理后，由环卫部门定期清运</w:t>
                  </w:r>
                  <w:r>
                    <w:rPr>
                      <w:rFonts w:hint="eastAsia" w:ascii="Times New Roman" w:hAnsi="Times New Roman" w:eastAsia="宋体" w:cs="Times New Roman"/>
                      <w:color w:val="auto"/>
                      <w:sz w:val="21"/>
                      <w:szCs w:val="21"/>
                      <w:lang w:val="en-US" w:eastAsia="zh-CN"/>
                    </w:rPr>
                    <w:t>。</w:t>
                  </w:r>
                </w:p>
              </w:tc>
              <w:tc>
                <w:tcPr>
                  <w:tcW w:w="1178" w:type="dxa"/>
                  <w:vMerge w:val="continue"/>
                  <w:tcBorders>
                    <w:tl2br w:val="nil"/>
                    <w:tr2bl w:val="nil"/>
                  </w:tcBorders>
                  <w:noWrap w:val="0"/>
                  <w:vAlign w:val="center"/>
                </w:tcPr>
                <w:p w14:paraId="54CB917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0113F0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68FC131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08" w:type="dxa"/>
                  <w:tcBorders>
                    <w:tl2br w:val="nil"/>
                    <w:tr2bl w:val="nil"/>
                  </w:tcBorders>
                  <w:noWrap w:val="0"/>
                  <w:vAlign w:val="center"/>
                </w:tcPr>
                <w:p w14:paraId="3701BB7F">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90"/>
                      <w:rFonts w:hint="default" w:ascii="Times New Roman" w:hAnsi="Times New Roman" w:eastAsia="宋体" w:cs="Times New Roman"/>
                      <w:color w:val="auto"/>
                      <w:sz w:val="21"/>
                      <w:szCs w:val="21"/>
                      <w:lang w:val="en-US" w:eastAsia="zh-CN" w:bidi="ar"/>
                    </w:rPr>
                    <w:t>4.</w:t>
                  </w:r>
                  <w:r>
                    <w:rPr>
                      <w:rStyle w:val="94"/>
                      <w:rFonts w:hint="default" w:ascii="Times New Roman" w:hAnsi="Times New Roman" w:eastAsia="宋体" w:cs="Times New Roman"/>
                      <w:color w:val="auto"/>
                      <w:sz w:val="21"/>
                      <w:szCs w:val="21"/>
                      <w:lang w:val="en-US" w:eastAsia="zh-CN" w:bidi="ar"/>
                    </w:rPr>
                    <w:t>禁止工业废水和生活污水未经处理直排环境；原则上除工业污水集中处理设施、城镇污水处理厂外不得新建入河排污口。</w:t>
                  </w:r>
                </w:p>
              </w:tc>
              <w:tc>
                <w:tcPr>
                  <w:tcW w:w="1697" w:type="dxa"/>
                  <w:vMerge w:val="continue"/>
                  <w:tcBorders>
                    <w:tl2br w:val="nil"/>
                    <w:tr2bl w:val="nil"/>
                  </w:tcBorders>
                  <w:noWrap w:val="0"/>
                  <w:vAlign w:val="center"/>
                </w:tcPr>
                <w:p w14:paraId="16688B56">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p>
              </w:tc>
              <w:tc>
                <w:tcPr>
                  <w:tcW w:w="1178" w:type="dxa"/>
                  <w:vMerge w:val="continue"/>
                  <w:tcBorders>
                    <w:tl2br w:val="nil"/>
                    <w:tr2bl w:val="nil"/>
                  </w:tcBorders>
                  <w:noWrap w:val="0"/>
                  <w:vAlign w:val="center"/>
                </w:tcPr>
                <w:p w14:paraId="5363A03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398106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1A27CA8D">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08" w:type="dxa"/>
                  <w:tcBorders>
                    <w:tl2br w:val="nil"/>
                    <w:tr2bl w:val="nil"/>
                  </w:tcBorders>
                  <w:noWrap w:val="0"/>
                  <w:vAlign w:val="center"/>
                </w:tcPr>
                <w:p w14:paraId="28DF962C">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5.涉VOCs排放的行业，严格按照淄博市行业环境管控要求，实施源头替代，建立健全治理设施，确保污染物稳定达标排放，做到持证排污。</w:t>
                  </w:r>
                </w:p>
              </w:tc>
              <w:tc>
                <w:tcPr>
                  <w:tcW w:w="1697" w:type="dxa"/>
                  <w:tcBorders>
                    <w:tl2br w:val="nil"/>
                    <w:tr2bl w:val="nil"/>
                  </w:tcBorders>
                  <w:noWrap w:val="0"/>
                  <w:vAlign w:val="center"/>
                </w:tcPr>
                <w:p w14:paraId="06E1866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本项目不涉及。</w:t>
                  </w:r>
                </w:p>
              </w:tc>
              <w:tc>
                <w:tcPr>
                  <w:tcW w:w="1178" w:type="dxa"/>
                  <w:vMerge w:val="continue"/>
                  <w:tcBorders>
                    <w:tl2br w:val="nil"/>
                    <w:tr2bl w:val="nil"/>
                  </w:tcBorders>
                  <w:noWrap w:val="0"/>
                  <w:vAlign w:val="center"/>
                </w:tcPr>
                <w:p w14:paraId="0F2FD619">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7A234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7AD1F01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08" w:type="dxa"/>
                  <w:tcBorders>
                    <w:tl2br w:val="nil"/>
                    <w:tr2bl w:val="nil"/>
                  </w:tcBorders>
                  <w:noWrap w:val="0"/>
                  <w:vAlign w:val="center"/>
                </w:tcPr>
                <w:p w14:paraId="43ADC8B3">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90"/>
                      <w:rFonts w:hint="default" w:ascii="Times New Roman" w:hAnsi="Times New Roman" w:cs="Times New Roman" w:eastAsiaTheme="majorEastAsia"/>
                      <w:color w:val="auto"/>
                      <w:sz w:val="21"/>
                      <w:szCs w:val="21"/>
                      <w:lang w:val="en-US" w:eastAsia="zh-CN" w:bidi="ar"/>
                    </w:rPr>
                    <w:t>6.</w:t>
                  </w:r>
                  <w:r>
                    <w:rPr>
                      <w:rStyle w:val="94"/>
                      <w:rFonts w:hint="default" w:ascii="Times New Roman" w:hAnsi="Times New Roman" w:cs="Times New Roman" w:eastAsiaTheme="majorEastAsia"/>
                      <w:color w:val="auto"/>
                      <w:sz w:val="21"/>
                      <w:szCs w:val="21"/>
                      <w:lang w:val="en-US" w:eastAsia="zh-CN" w:bidi="ar"/>
                    </w:rPr>
                    <w:t>进一步加强对建设工程施工、建筑物拆除、交通运输、道路保洁、物料运输与堆存、采石取土、养护绿化等活动的扬尘管理。</w:t>
                  </w:r>
                </w:p>
              </w:tc>
              <w:tc>
                <w:tcPr>
                  <w:tcW w:w="1697" w:type="dxa"/>
                  <w:tcBorders>
                    <w:tl2br w:val="nil"/>
                    <w:tr2bl w:val="nil"/>
                  </w:tcBorders>
                  <w:noWrap w:val="0"/>
                  <w:vAlign w:val="center"/>
                </w:tcPr>
                <w:p w14:paraId="034BB22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按要求执行。</w:t>
                  </w:r>
                </w:p>
              </w:tc>
              <w:tc>
                <w:tcPr>
                  <w:tcW w:w="1178" w:type="dxa"/>
                  <w:vMerge w:val="continue"/>
                  <w:tcBorders>
                    <w:tl2br w:val="nil"/>
                    <w:tr2bl w:val="nil"/>
                  </w:tcBorders>
                  <w:noWrap w:val="0"/>
                  <w:vAlign w:val="center"/>
                </w:tcPr>
                <w:p w14:paraId="6E618DD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25D4FC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restart"/>
                  <w:tcBorders>
                    <w:tl2br w:val="nil"/>
                    <w:tr2bl w:val="nil"/>
                  </w:tcBorders>
                  <w:noWrap w:val="0"/>
                  <w:vAlign w:val="center"/>
                </w:tcPr>
                <w:p w14:paraId="3877006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环境风险 防控</w:t>
                  </w:r>
                </w:p>
              </w:tc>
              <w:tc>
                <w:tcPr>
                  <w:tcW w:w="3808" w:type="dxa"/>
                  <w:tcBorders>
                    <w:tl2br w:val="nil"/>
                    <w:tr2bl w:val="nil"/>
                  </w:tcBorders>
                  <w:noWrap w:val="0"/>
                  <w:vAlign w:val="center"/>
                </w:tcPr>
                <w:p w14:paraId="36F2C719">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Style w:val="95"/>
                      <w:rFonts w:hint="default" w:ascii="Times New Roman" w:hAnsi="Times New Roman" w:eastAsia="宋体" w:cs="Times New Roman"/>
                      <w:color w:val="auto"/>
                      <w:sz w:val="21"/>
                      <w:szCs w:val="21"/>
                      <w:lang w:val="en-US" w:eastAsia="zh-CN" w:bidi="ar"/>
                    </w:rPr>
                    <w:t>1.</w:t>
                  </w:r>
                  <w:r>
                    <w:rPr>
                      <w:rStyle w:val="96"/>
                      <w:rFonts w:hint="default" w:ascii="Times New Roman" w:hAnsi="Times New Roman" w:eastAsia="宋体" w:cs="Times New Roman"/>
                      <w:color w:val="auto"/>
                      <w:sz w:val="21"/>
                      <w:szCs w:val="21"/>
                      <w:lang w:val="en-US" w:eastAsia="zh-CN" w:bidi="ar"/>
                    </w:rPr>
                    <w:t>紧邻居住、科教、医院等环境敏感点的工业用地，禁止新建环境风险潜势等级高的建设项目；现有项目严格落实环评及批复环境风险防控要求。</w:t>
                  </w:r>
                </w:p>
              </w:tc>
              <w:tc>
                <w:tcPr>
                  <w:tcW w:w="1697" w:type="dxa"/>
                  <w:tcBorders>
                    <w:tl2br w:val="nil"/>
                    <w:tr2bl w:val="nil"/>
                  </w:tcBorders>
                  <w:noWrap w:val="0"/>
                  <w:vAlign w:val="center"/>
                </w:tcPr>
                <w:p w14:paraId="54859AD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本项目不属于</w:t>
                  </w:r>
                  <w:r>
                    <w:rPr>
                      <w:rStyle w:val="96"/>
                      <w:rFonts w:hint="default" w:ascii="Times New Roman" w:hAnsi="Times New Roman" w:eastAsia="宋体" w:cs="Times New Roman"/>
                      <w:color w:val="auto"/>
                      <w:sz w:val="21"/>
                      <w:szCs w:val="21"/>
                      <w:lang w:val="en-US" w:eastAsia="zh-CN" w:bidi="ar"/>
                    </w:rPr>
                    <w:t>环境风险潜势等级高的建设项目</w:t>
                  </w:r>
                  <w:r>
                    <w:rPr>
                      <w:rStyle w:val="96"/>
                      <w:rFonts w:hint="eastAsia" w:ascii="Times New Roman" w:hAnsi="Times New Roman" w:eastAsia="宋体" w:cs="Times New Roman"/>
                      <w:color w:val="auto"/>
                      <w:sz w:val="21"/>
                      <w:szCs w:val="21"/>
                      <w:lang w:val="en-US" w:eastAsia="zh-CN" w:bidi="ar"/>
                    </w:rPr>
                    <w:t>。</w:t>
                  </w:r>
                </w:p>
              </w:tc>
              <w:tc>
                <w:tcPr>
                  <w:tcW w:w="1178" w:type="dxa"/>
                  <w:vMerge w:val="restart"/>
                  <w:tcBorders>
                    <w:tl2br w:val="nil"/>
                    <w:tr2bl w:val="nil"/>
                  </w:tcBorders>
                  <w:noWrap w:val="0"/>
                  <w:vAlign w:val="center"/>
                </w:tcPr>
                <w:p w14:paraId="1EDD47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3B6094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6D212DB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808" w:type="dxa"/>
                  <w:tcBorders>
                    <w:tl2br w:val="nil"/>
                    <w:tr2bl w:val="nil"/>
                  </w:tcBorders>
                  <w:noWrap w:val="0"/>
                  <w:vAlign w:val="center"/>
                </w:tcPr>
                <w:p w14:paraId="7DE03E5D">
                  <w:pPr>
                    <w:keepNext w:val="0"/>
                    <w:keepLines w:val="0"/>
                    <w:suppressLineNumbers w:val="0"/>
                    <w:adjustRightInd w:val="0"/>
                    <w:snapToGrid w:val="0"/>
                    <w:spacing w:before="0" w:beforeAutospacing="0" w:after="0" w:afterAutospacing="0"/>
                    <w:ind w:left="0" w:right="0"/>
                    <w:jc w:val="both"/>
                    <w:rPr>
                      <w:rStyle w:val="95"/>
                      <w:rFonts w:hint="default" w:ascii="Times New Roman" w:hAnsi="Times New Roman" w:eastAsia="宋体" w:cs="Times New Roman"/>
                      <w:color w:val="auto"/>
                      <w:sz w:val="21"/>
                      <w:szCs w:val="21"/>
                      <w:lang w:val="en-US" w:eastAsia="zh-CN" w:bidi="ar"/>
                    </w:rPr>
                  </w:pPr>
                  <w:r>
                    <w:rPr>
                      <w:rStyle w:val="95"/>
                      <w:rFonts w:hint="default" w:ascii="Times New Roman" w:hAnsi="Times New Roman" w:eastAsia="宋体" w:cs="Times New Roman"/>
                      <w:color w:val="auto"/>
                      <w:sz w:val="21"/>
                      <w:szCs w:val="21"/>
                      <w:lang w:val="en-US" w:eastAsia="zh-CN" w:bidi="ar"/>
                    </w:rPr>
                    <w:t>2.重点企业应采取防腐防渗等有效措施，建立完善三级防护体系，防止因渗漏污染土壤、地下水以及因事故废水直排污染地表水。一般固废填埋场采取防腐防渗等有效措施，防止因渗漏污染土壤、地下水。</w:t>
                  </w:r>
                </w:p>
              </w:tc>
              <w:tc>
                <w:tcPr>
                  <w:tcW w:w="1697" w:type="dxa"/>
                  <w:tcBorders>
                    <w:tl2br w:val="nil"/>
                    <w:tr2bl w:val="nil"/>
                  </w:tcBorders>
                  <w:noWrap w:val="0"/>
                  <w:vAlign w:val="center"/>
                </w:tcPr>
                <w:p w14:paraId="709A7502">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本项目不涉及。</w:t>
                  </w:r>
                </w:p>
              </w:tc>
              <w:tc>
                <w:tcPr>
                  <w:tcW w:w="1178" w:type="dxa"/>
                  <w:vMerge w:val="continue"/>
                  <w:tcBorders>
                    <w:tl2br w:val="nil"/>
                    <w:tr2bl w:val="nil"/>
                  </w:tcBorders>
                  <w:noWrap w:val="0"/>
                  <w:vAlign w:val="center"/>
                </w:tcPr>
                <w:p w14:paraId="76B1DD3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7763B2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5EACD12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08" w:type="dxa"/>
                  <w:tcBorders>
                    <w:tl2br w:val="nil"/>
                    <w:tr2bl w:val="nil"/>
                  </w:tcBorders>
                  <w:shd w:val="clear" w:color="auto" w:fill="auto"/>
                  <w:noWrap w:val="0"/>
                  <w:vAlign w:val="center"/>
                </w:tcPr>
                <w:p w14:paraId="6211CBD7">
                  <w:pPr>
                    <w:keepNext w:val="0"/>
                    <w:keepLines w:val="0"/>
                    <w:suppressLineNumbers w:val="0"/>
                    <w:adjustRightInd w:val="0"/>
                    <w:snapToGrid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Style w:val="90"/>
                      <w:rFonts w:hint="default" w:ascii="Times New Roman" w:hAnsi="Times New Roman" w:eastAsia="宋体" w:cs="Times New Roman"/>
                      <w:color w:val="auto"/>
                      <w:sz w:val="21"/>
                      <w:szCs w:val="21"/>
                      <w:lang w:val="en-US" w:eastAsia="zh-CN" w:bidi="ar"/>
                    </w:rPr>
                    <w:t>3.</w:t>
                  </w:r>
                  <w:r>
                    <w:rPr>
                      <w:rStyle w:val="97"/>
                      <w:rFonts w:hint="default" w:ascii="Times New Roman" w:hAnsi="Times New Roman" w:eastAsia="宋体" w:cs="Times New Roman"/>
                      <w:color w:val="auto"/>
                      <w:sz w:val="21"/>
                      <w:szCs w:val="21"/>
                      <w:lang w:val="en-US" w:eastAsia="zh-CN" w:bidi="ar"/>
                    </w:rPr>
                    <w:t>企业事业单位根据法律法规、管理部门要求和《企业事业单位突发环境事件应急预案备案管理办法（试行）》等规定，依法依规编制环境应急预案并定期开展演练。</w:t>
                  </w:r>
                </w:p>
              </w:tc>
              <w:tc>
                <w:tcPr>
                  <w:tcW w:w="1697" w:type="dxa"/>
                  <w:tcBorders>
                    <w:tl2br w:val="nil"/>
                    <w:tr2bl w:val="nil"/>
                  </w:tcBorders>
                  <w:shd w:val="clear" w:color="auto" w:fill="auto"/>
                  <w:noWrap w:val="0"/>
                  <w:vAlign w:val="center"/>
                </w:tcPr>
                <w:p w14:paraId="55867D61">
                  <w:pPr>
                    <w:keepNext w:val="0"/>
                    <w:keepLines w:val="0"/>
                    <w:suppressLineNumbers w:val="0"/>
                    <w:adjustRightInd w:val="0"/>
                    <w:snapToGrid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企业建立健全环境风险管理制度，定期开展演练。</w:t>
                  </w:r>
                </w:p>
              </w:tc>
              <w:tc>
                <w:tcPr>
                  <w:tcW w:w="1178" w:type="dxa"/>
                  <w:vMerge w:val="continue"/>
                  <w:tcBorders>
                    <w:tl2br w:val="nil"/>
                    <w:tr2bl w:val="nil"/>
                  </w:tcBorders>
                  <w:noWrap w:val="0"/>
                  <w:vAlign w:val="center"/>
                </w:tcPr>
                <w:p w14:paraId="142EBF5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7B5E0F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3D205955">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08" w:type="dxa"/>
                  <w:tcBorders>
                    <w:tl2br w:val="nil"/>
                    <w:tr2bl w:val="nil"/>
                  </w:tcBorders>
                  <w:shd w:val="clear" w:color="auto" w:fill="auto"/>
                  <w:noWrap w:val="0"/>
                  <w:vAlign w:val="center"/>
                </w:tcPr>
                <w:p w14:paraId="3185F53B">
                  <w:pPr>
                    <w:keepNext w:val="0"/>
                    <w:keepLines w:val="0"/>
                    <w:suppressLineNumbers w:val="0"/>
                    <w:adjustRightInd w:val="0"/>
                    <w:snapToGrid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Style w:val="95"/>
                      <w:rFonts w:hint="default" w:ascii="Times New Roman" w:hAnsi="Times New Roman" w:eastAsia="宋体" w:cs="Times New Roman"/>
                      <w:color w:val="auto"/>
                      <w:sz w:val="21"/>
                      <w:szCs w:val="21"/>
                      <w:lang w:val="en-US" w:eastAsia="zh-CN" w:bidi="ar"/>
                    </w:rPr>
                    <w:t>4.</w:t>
                  </w:r>
                  <w:r>
                    <w:rPr>
                      <w:rStyle w:val="96"/>
                      <w:rFonts w:hint="default" w:ascii="Times New Roman" w:hAnsi="Times New Roman" w:eastAsia="宋体" w:cs="Times New Roman"/>
                      <w:color w:val="auto"/>
                      <w:sz w:val="21"/>
                      <w:szCs w:val="21"/>
                      <w:lang w:val="en-US" w:eastAsia="zh-CN" w:bidi="ar"/>
                    </w:rPr>
                    <w:t>建立各企业危险废物的贮存、申报、经营许可（无废城市建设豁免的除外）、转移及处置管理制度，并负责对危废相应活动的全程监管和环境安全保障。</w:t>
                  </w:r>
                </w:p>
              </w:tc>
              <w:tc>
                <w:tcPr>
                  <w:tcW w:w="1697" w:type="dxa"/>
                  <w:tcBorders>
                    <w:tl2br w:val="nil"/>
                    <w:tr2bl w:val="nil"/>
                  </w:tcBorders>
                  <w:shd w:val="clear" w:color="auto" w:fill="auto"/>
                  <w:noWrap w:val="0"/>
                  <w:vAlign w:val="center"/>
                </w:tcPr>
                <w:p w14:paraId="3867E6BF">
                  <w:pPr>
                    <w:keepNext w:val="0"/>
                    <w:keepLines w:val="0"/>
                    <w:suppressLineNumbers w:val="0"/>
                    <w:adjustRightInd w:val="0"/>
                    <w:snapToGrid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严格执行危废管理</w:t>
                  </w:r>
                  <w:r>
                    <w:rPr>
                      <w:rFonts w:hint="eastAsia" w:cs="Times New Roman"/>
                      <w:color w:val="auto"/>
                      <w:szCs w:val="21"/>
                      <w:highlight w:val="none"/>
                      <w:lang w:val="en-US" w:eastAsia="zh-CN"/>
                    </w:rPr>
                    <w:t>制度</w:t>
                  </w:r>
                  <w:r>
                    <w:rPr>
                      <w:rFonts w:hint="default" w:ascii="Times New Roman" w:hAnsi="Times New Roman" w:cs="Times New Roman"/>
                      <w:color w:val="auto"/>
                      <w:szCs w:val="21"/>
                      <w:highlight w:val="none"/>
                    </w:rPr>
                    <w:t>，危废储存于项目危废间内。</w:t>
                  </w:r>
                </w:p>
              </w:tc>
              <w:tc>
                <w:tcPr>
                  <w:tcW w:w="1178" w:type="dxa"/>
                  <w:vMerge w:val="continue"/>
                  <w:tcBorders>
                    <w:tl2br w:val="nil"/>
                    <w:tr2bl w:val="nil"/>
                  </w:tcBorders>
                  <w:noWrap w:val="0"/>
                  <w:vAlign w:val="center"/>
                </w:tcPr>
                <w:p w14:paraId="1B3E415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0ADE36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1B163B4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08" w:type="dxa"/>
                  <w:tcBorders>
                    <w:tl2br w:val="nil"/>
                    <w:tr2bl w:val="nil"/>
                  </w:tcBorders>
                  <w:noWrap w:val="0"/>
                  <w:vAlign w:val="center"/>
                </w:tcPr>
                <w:p w14:paraId="11C1DE9C">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5.污染地块依法开展土壤污染状况调查、风险管控或者修复，未完成调查以及未达到土壤污染风险评估报告确定的风险管控、修复目标的地块，不得开工建设与风险管控和修复无关的项目。</w:t>
                  </w:r>
                </w:p>
              </w:tc>
              <w:tc>
                <w:tcPr>
                  <w:tcW w:w="1697" w:type="dxa"/>
                  <w:tcBorders>
                    <w:tl2br w:val="nil"/>
                    <w:tr2bl w:val="nil"/>
                  </w:tcBorders>
                  <w:noWrap w:val="0"/>
                  <w:vAlign w:val="center"/>
                </w:tcPr>
                <w:p w14:paraId="4B968604">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本项目不涉及。</w:t>
                  </w:r>
                </w:p>
              </w:tc>
              <w:tc>
                <w:tcPr>
                  <w:tcW w:w="1178" w:type="dxa"/>
                  <w:vMerge w:val="continue"/>
                  <w:tcBorders>
                    <w:tl2br w:val="nil"/>
                    <w:tr2bl w:val="nil"/>
                  </w:tcBorders>
                  <w:noWrap w:val="0"/>
                  <w:vAlign w:val="center"/>
                </w:tcPr>
                <w:p w14:paraId="05A44D85">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62E5BF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22897F0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08" w:type="dxa"/>
                  <w:tcBorders>
                    <w:tl2br w:val="nil"/>
                    <w:tr2bl w:val="nil"/>
                  </w:tcBorders>
                  <w:shd w:val="clear" w:color="auto" w:fill="auto"/>
                  <w:noWrap w:val="0"/>
                  <w:vAlign w:val="center"/>
                </w:tcPr>
                <w:p w14:paraId="0B3603EE">
                  <w:pPr>
                    <w:keepNext w:val="0"/>
                    <w:keepLines w:val="0"/>
                    <w:suppressLineNumbers w:val="0"/>
                    <w:adjustRightInd w:val="0"/>
                    <w:snapToGrid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Style w:val="90"/>
                      <w:rFonts w:hint="eastAsia" w:ascii="Times New Roman" w:hAnsi="Times New Roman" w:eastAsia="宋体" w:cs="Times New Roman"/>
                      <w:color w:val="auto"/>
                      <w:sz w:val="21"/>
                      <w:szCs w:val="21"/>
                      <w:lang w:val="en-US" w:eastAsia="zh-CN" w:bidi="ar"/>
                    </w:rPr>
                    <w:t>6</w:t>
                  </w:r>
                  <w:r>
                    <w:rPr>
                      <w:rStyle w:val="90"/>
                      <w:rFonts w:hint="default" w:ascii="Times New Roman" w:hAnsi="Times New Roman" w:eastAsia="宋体" w:cs="Times New Roman"/>
                      <w:color w:val="auto"/>
                      <w:sz w:val="21"/>
                      <w:szCs w:val="21"/>
                      <w:lang w:val="en-US" w:eastAsia="zh-CN" w:bidi="ar"/>
                    </w:rPr>
                    <w:t>.</w:t>
                  </w:r>
                  <w:r>
                    <w:rPr>
                      <w:rStyle w:val="94"/>
                      <w:rFonts w:hint="default" w:ascii="Times New Roman" w:hAnsi="Times New Roman" w:eastAsia="宋体" w:cs="Times New Roman"/>
                      <w:color w:val="auto"/>
                      <w:sz w:val="21"/>
                      <w:szCs w:val="21"/>
                      <w:lang w:val="en-US" w:eastAsia="zh-CN" w:bidi="ar"/>
                    </w:rPr>
                    <w:t>加强农田土壤、灌溉水的监测，对周边区域环境风险源进行评估。</w:t>
                  </w:r>
                </w:p>
              </w:tc>
              <w:tc>
                <w:tcPr>
                  <w:tcW w:w="1697" w:type="dxa"/>
                  <w:tcBorders>
                    <w:tl2br w:val="nil"/>
                    <w:tr2bl w:val="nil"/>
                  </w:tcBorders>
                  <w:noWrap w:val="0"/>
                  <w:vAlign w:val="center"/>
                </w:tcPr>
                <w:p w14:paraId="6A7B6127">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本项目不涉及。</w:t>
                  </w:r>
                </w:p>
              </w:tc>
              <w:tc>
                <w:tcPr>
                  <w:tcW w:w="1178" w:type="dxa"/>
                  <w:vMerge w:val="continue"/>
                  <w:tcBorders>
                    <w:tl2br w:val="nil"/>
                    <w:tr2bl w:val="nil"/>
                  </w:tcBorders>
                  <w:noWrap w:val="0"/>
                  <w:vAlign w:val="center"/>
                </w:tcPr>
                <w:p w14:paraId="7D7B8D0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6BF442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22724F33">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c>
                <w:tcPr>
                  <w:tcW w:w="3808" w:type="dxa"/>
                  <w:tcBorders>
                    <w:tl2br w:val="nil"/>
                    <w:tr2bl w:val="nil"/>
                  </w:tcBorders>
                  <w:noWrap w:val="0"/>
                  <w:vAlign w:val="center"/>
                </w:tcPr>
                <w:p w14:paraId="7F143940">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kern w:val="2"/>
                      <w:sz w:val="21"/>
                      <w:szCs w:val="21"/>
                      <w:highlight w:val="none"/>
                      <w:lang w:val="en-US" w:eastAsia="zh-CN" w:bidi="ar-SA"/>
                    </w:rPr>
                  </w:pPr>
                  <w:r>
                    <w:rPr>
                      <w:rStyle w:val="95"/>
                      <w:rFonts w:hint="eastAsia" w:cs="Times New Roman"/>
                      <w:color w:val="auto"/>
                      <w:sz w:val="21"/>
                      <w:szCs w:val="21"/>
                      <w:lang w:val="en-US" w:eastAsia="zh-CN" w:bidi="ar"/>
                    </w:rPr>
                    <w:t>7</w:t>
                  </w:r>
                  <w:r>
                    <w:rPr>
                      <w:rStyle w:val="95"/>
                      <w:rFonts w:hint="default" w:ascii="Times New Roman" w:hAnsi="Times New Roman" w:eastAsia="宋体" w:cs="Times New Roman"/>
                      <w:color w:val="auto"/>
                      <w:sz w:val="21"/>
                      <w:szCs w:val="21"/>
                      <w:lang w:val="en-US" w:eastAsia="zh-CN" w:bidi="ar"/>
                    </w:rPr>
                    <w:t>.</w:t>
                  </w:r>
                  <w:r>
                    <w:rPr>
                      <w:rStyle w:val="96"/>
                      <w:rFonts w:hint="default" w:ascii="Times New Roman" w:hAnsi="Times New Roman" w:eastAsia="宋体" w:cs="Times New Roman"/>
                      <w:color w:val="auto"/>
                      <w:sz w:val="21"/>
                      <w:szCs w:val="21"/>
                      <w:lang w:val="en-US" w:eastAsia="zh-CN" w:bidi="ar"/>
                    </w:rPr>
                    <w:t>按照省市要求，做好清洁取暖改造工作。</w:t>
                  </w:r>
                </w:p>
              </w:tc>
              <w:tc>
                <w:tcPr>
                  <w:tcW w:w="1697" w:type="dxa"/>
                  <w:tcBorders>
                    <w:tl2br w:val="nil"/>
                    <w:tr2bl w:val="nil"/>
                  </w:tcBorders>
                  <w:noWrap w:val="0"/>
                  <w:vAlign w:val="center"/>
                </w:tcPr>
                <w:p w14:paraId="133B2475">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本项目不涉及锅炉取暖等取暖工程。</w:t>
                  </w:r>
                </w:p>
              </w:tc>
              <w:tc>
                <w:tcPr>
                  <w:tcW w:w="1178" w:type="dxa"/>
                  <w:vMerge w:val="continue"/>
                  <w:tcBorders>
                    <w:tl2br w:val="nil"/>
                    <w:tr2bl w:val="nil"/>
                  </w:tcBorders>
                  <w:noWrap w:val="0"/>
                  <w:vAlign w:val="center"/>
                </w:tcPr>
                <w:p w14:paraId="763DBB1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p>
              </w:tc>
            </w:tr>
            <w:tr w14:paraId="1DAA2C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restart"/>
                  <w:tcBorders>
                    <w:tl2br w:val="nil"/>
                    <w:tr2bl w:val="nil"/>
                  </w:tcBorders>
                  <w:noWrap w:val="0"/>
                  <w:vAlign w:val="center"/>
                </w:tcPr>
                <w:p w14:paraId="191CCA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资源 开发 效率 要求</w:t>
                  </w:r>
                </w:p>
              </w:tc>
              <w:tc>
                <w:tcPr>
                  <w:tcW w:w="3808" w:type="dxa"/>
                  <w:tcBorders>
                    <w:tl2br w:val="nil"/>
                    <w:tr2bl w:val="nil"/>
                  </w:tcBorders>
                  <w:shd w:val="clear" w:color="auto" w:fill="auto"/>
                  <w:noWrap w:val="0"/>
                  <w:vAlign w:val="center"/>
                </w:tcPr>
                <w:p w14:paraId="75D06390">
                  <w:pPr>
                    <w:keepNext w:val="0"/>
                    <w:keepLines w:val="0"/>
                    <w:suppressLineNumbers w:val="0"/>
                    <w:adjustRightInd w:val="0"/>
                    <w:snapToGrid w:val="0"/>
                    <w:spacing w:before="0" w:beforeAutospacing="0" w:after="0" w:afterAutospacing="0"/>
                    <w:ind w:left="0" w:leftChars="0" w:right="0" w:rightChars="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.加强农业节水，提高水资源使用效率。</w:t>
                  </w:r>
                </w:p>
              </w:tc>
              <w:tc>
                <w:tcPr>
                  <w:tcW w:w="1697" w:type="dxa"/>
                  <w:tcBorders>
                    <w:tl2br w:val="nil"/>
                    <w:tr2bl w:val="nil"/>
                  </w:tcBorders>
                  <w:shd w:val="clear" w:color="auto" w:fill="auto"/>
                  <w:noWrap w:val="0"/>
                  <w:vAlign w:val="center"/>
                </w:tcPr>
                <w:p w14:paraId="1C9CA26A">
                  <w:pPr>
                    <w:keepNext w:val="0"/>
                    <w:keepLines w:val="0"/>
                    <w:suppressLineNumbers w:val="0"/>
                    <w:adjustRightInd w:val="0"/>
                    <w:snapToGrid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本项目按要求执行。</w:t>
                  </w:r>
                </w:p>
              </w:tc>
              <w:tc>
                <w:tcPr>
                  <w:tcW w:w="1178" w:type="dxa"/>
                  <w:vMerge w:val="restart"/>
                  <w:tcBorders>
                    <w:tl2br w:val="nil"/>
                    <w:tr2bl w:val="nil"/>
                  </w:tcBorders>
                  <w:noWrap w:val="0"/>
                  <w:vAlign w:val="center"/>
                </w:tcPr>
                <w:p w14:paraId="40AF870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126283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3E84D3A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808" w:type="dxa"/>
                  <w:tcBorders>
                    <w:tl2br w:val="nil"/>
                    <w:tr2bl w:val="nil"/>
                  </w:tcBorders>
                  <w:shd w:val="clear" w:color="auto" w:fill="auto"/>
                  <w:noWrap w:val="0"/>
                  <w:vAlign w:val="center"/>
                </w:tcPr>
                <w:p w14:paraId="15117F60">
                  <w:pPr>
                    <w:keepNext w:val="0"/>
                    <w:keepLines w:val="0"/>
                    <w:suppressLineNumbers w:val="0"/>
                    <w:adjustRightInd w:val="0"/>
                    <w:snapToGrid w:val="0"/>
                    <w:spacing w:before="0" w:beforeAutospacing="0" w:after="0" w:afterAutospacing="0"/>
                    <w:ind w:left="0" w:leftChars="0" w:right="0" w:rightChars="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.提升土地集约化水平。</w:t>
                  </w:r>
                </w:p>
              </w:tc>
              <w:tc>
                <w:tcPr>
                  <w:tcW w:w="1697" w:type="dxa"/>
                  <w:tcBorders>
                    <w:tl2br w:val="nil"/>
                    <w:tr2bl w:val="nil"/>
                  </w:tcBorders>
                  <w:shd w:val="clear" w:color="auto" w:fill="auto"/>
                  <w:noWrap w:val="0"/>
                  <w:vAlign w:val="center"/>
                </w:tcPr>
                <w:p w14:paraId="44E51531">
                  <w:pPr>
                    <w:keepNext w:val="0"/>
                    <w:keepLines w:val="0"/>
                    <w:suppressLineNumbers w:val="0"/>
                    <w:adjustRightInd w:val="0"/>
                    <w:snapToGrid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本项目按要求执行。</w:t>
                  </w:r>
                </w:p>
              </w:tc>
              <w:tc>
                <w:tcPr>
                  <w:tcW w:w="1178" w:type="dxa"/>
                  <w:vMerge w:val="continue"/>
                  <w:tcBorders>
                    <w:tl2br w:val="nil"/>
                    <w:tr2bl w:val="nil"/>
                  </w:tcBorders>
                  <w:noWrap w:val="0"/>
                  <w:vAlign w:val="center"/>
                </w:tcPr>
                <w:p w14:paraId="17CD52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352CDF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81" w:type="dxa"/>
                  <w:vMerge w:val="continue"/>
                  <w:tcBorders>
                    <w:tl2br w:val="nil"/>
                    <w:tr2bl w:val="nil"/>
                  </w:tcBorders>
                  <w:noWrap w:val="0"/>
                  <w:vAlign w:val="center"/>
                </w:tcPr>
                <w:p w14:paraId="3B41FC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808" w:type="dxa"/>
                  <w:tcBorders>
                    <w:tl2br w:val="nil"/>
                    <w:tr2bl w:val="nil"/>
                  </w:tcBorders>
                  <w:shd w:val="clear" w:color="auto" w:fill="auto"/>
                  <w:noWrap w:val="0"/>
                  <w:vAlign w:val="center"/>
                </w:tcPr>
                <w:p w14:paraId="4F597294">
                  <w:pPr>
                    <w:keepNext w:val="0"/>
                    <w:keepLines w:val="0"/>
                    <w:suppressLineNumbers w:val="0"/>
                    <w:adjustRightInd w:val="0"/>
                    <w:snapToGrid w:val="0"/>
                    <w:spacing w:before="0" w:beforeAutospacing="0" w:after="0" w:afterAutospacing="0"/>
                    <w:ind w:left="0" w:leftChars="0" w:right="0" w:rightChars="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.调整能源利用结构，控制煤炭消费量，实现减量化，鼓励使用清洁能源、新能源和可再生能源。</w:t>
                  </w:r>
                </w:p>
              </w:tc>
              <w:tc>
                <w:tcPr>
                  <w:tcW w:w="1697" w:type="dxa"/>
                  <w:tcBorders>
                    <w:tl2br w:val="nil"/>
                    <w:tr2bl w:val="nil"/>
                  </w:tcBorders>
                  <w:shd w:val="clear" w:color="auto" w:fill="auto"/>
                  <w:noWrap w:val="0"/>
                  <w:vAlign w:val="center"/>
                </w:tcPr>
                <w:p w14:paraId="64F97A31">
                  <w:pPr>
                    <w:keepNext w:val="0"/>
                    <w:keepLines w:val="0"/>
                    <w:suppressLineNumbers w:val="0"/>
                    <w:adjustRightInd w:val="0"/>
                    <w:snapToGrid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本项目不涉及</w:t>
                  </w:r>
                  <w:r>
                    <w:rPr>
                      <w:rFonts w:hint="default" w:ascii="Times New Roman" w:hAnsi="Times New Roman" w:eastAsia="宋体" w:cs="Times New Roman"/>
                      <w:i w:val="0"/>
                      <w:iCs w:val="0"/>
                      <w:color w:val="auto"/>
                      <w:kern w:val="0"/>
                      <w:sz w:val="21"/>
                      <w:szCs w:val="21"/>
                      <w:u w:val="none"/>
                      <w:lang w:val="en-US" w:eastAsia="zh-CN" w:bidi="ar"/>
                    </w:rPr>
                    <w:t>煤炭使用。</w:t>
                  </w:r>
                </w:p>
              </w:tc>
              <w:tc>
                <w:tcPr>
                  <w:tcW w:w="1178" w:type="dxa"/>
                  <w:vMerge w:val="continue"/>
                  <w:tcBorders>
                    <w:tl2br w:val="nil"/>
                    <w:tr2bl w:val="nil"/>
                  </w:tcBorders>
                  <w:noWrap w:val="0"/>
                  <w:vAlign w:val="center"/>
                </w:tcPr>
                <w:p w14:paraId="332FD1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r>
          </w:tbl>
          <w:p w14:paraId="5CEF969D">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与《山东省大气污染防治条例》第三章大气污染防治措施第二节工业符合性分析</w:t>
            </w:r>
          </w:p>
          <w:p w14:paraId="400E582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color w:val="auto"/>
                <w:kern w:val="0"/>
              </w:rPr>
              <w:t>表</w:t>
            </w:r>
            <w:r>
              <w:rPr>
                <w:rFonts w:hint="default" w:ascii="Times New Roman" w:hAnsi="Times New Roman" w:cs="Times New Roman"/>
                <w:b/>
                <w:bCs/>
                <w:color w:val="auto"/>
                <w:kern w:val="0"/>
                <w:lang w:val="en-US" w:eastAsia="zh-CN"/>
              </w:rPr>
              <w:t>1-</w:t>
            </w:r>
            <w:r>
              <w:rPr>
                <w:rFonts w:hint="eastAsia" w:cs="Times New Roman"/>
                <w:b/>
                <w:bCs/>
                <w:color w:val="auto"/>
                <w:kern w:val="0"/>
                <w:lang w:val="en-US" w:eastAsia="zh-CN"/>
              </w:rPr>
              <w:t>3</w:t>
            </w:r>
            <w:r>
              <w:rPr>
                <w:rFonts w:hint="default" w:ascii="Times New Roman" w:hAnsi="Times New Roman" w:cs="Times New Roman"/>
                <w:b/>
                <w:color w:val="auto"/>
                <w:sz w:val="21"/>
                <w:szCs w:val="21"/>
              </w:rPr>
              <w:t>符合性分析</w:t>
            </w:r>
            <w:r>
              <w:rPr>
                <w:rFonts w:hint="default" w:ascii="Times New Roman" w:hAnsi="Times New Roman" w:cs="Times New Roman"/>
                <w:b/>
                <w:color w:val="auto"/>
                <w:sz w:val="21"/>
                <w:szCs w:val="21"/>
                <w:lang w:eastAsia="zh-CN"/>
              </w:rPr>
              <w:t>一览表</w:t>
            </w:r>
          </w:p>
          <w:tbl>
            <w:tblPr>
              <w:tblStyle w:val="36"/>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831"/>
              <w:gridCol w:w="1638"/>
            </w:tblGrid>
            <w:tr w14:paraId="32C1F7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6DC058A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文件要求</w:t>
                  </w:r>
                </w:p>
              </w:tc>
              <w:tc>
                <w:tcPr>
                  <w:tcW w:w="1638" w:type="dxa"/>
                  <w:tcBorders>
                    <w:tl2br w:val="nil"/>
                    <w:tr2bl w:val="nil"/>
                  </w:tcBorders>
                  <w:noWrap w:val="0"/>
                  <w:vAlign w:val="center"/>
                </w:tcPr>
                <w:p w14:paraId="3BB03E7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r>
            <w:tr w14:paraId="72D9B2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48D40812">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县级以上人民政府应当合理确定产业布局和发展规模，制定产业投资项目负面清单，严格控制新建、扩建钢铁、石化、化工、有色金属冶炼、水泥、平板玻璃、建筑陶瓷等工业项目，鼓励、支持现有的工业企业进行技术升级改造。</w:t>
                  </w:r>
                </w:p>
                <w:p w14:paraId="4214631E">
                  <w:pPr>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在城市建成区及其周边的重污染企业，应当逐步进行搬迁改造或者转型退出</w:t>
                  </w:r>
                  <w:r>
                    <w:rPr>
                      <w:rFonts w:hint="eastAsia" w:cs="Times New Roman"/>
                      <w:color w:val="auto"/>
                      <w:szCs w:val="21"/>
                      <w:lang w:eastAsia="zh-CN"/>
                    </w:rPr>
                    <w:t>。</w:t>
                  </w:r>
                </w:p>
              </w:tc>
              <w:tc>
                <w:tcPr>
                  <w:tcW w:w="1638" w:type="dxa"/>
                  <w:tcBorders>
                    <w:tl2br w:val="nil"/>
                    <w:tr2bl w:val="nil"/>
                  </w:tcBorders>
                  <w:noWrap w:val="0"/>
                  <w:vAlign w:val="center"/>
                </w:tcPr>
                <w:p w14:paraId="191E556A">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eastAsia="zh-CN"/>
                    </w:rPr>
                    <w:t>本项目</w:t>
                  </w:r>
                  <w:r>
                    <w:rPr>
                      <w:rFonts w:hint="eastAsia" w:cs="Times New Roman"/>
                      <w:color w:val="auto"/>
                      <w:szCs w:val="21"/>
                      <w:lang w:val="en-US" w:eastAsia="zh-CN"/>
                    </w:rPr>
                    <w:t>不属于</w:t>
                  </w:r>
                  <w:r>
                    <w:rPr>
                      <w:rFonts w:hint="default" w:ascii="Times New Roman" w:hAnsi="Times New Roman" w:cs="Times New Roman"/>
                      <w:color w:val="auto"/>
                      <w:szCs w:val="21"/>
                      <w:lang w:eastAsia="zh-CN"/>
                    </w:rPr>
                    <w:t>左列企业。</w:t>
                  </w:r>
                </w:p>
              </w:tc>
            </w:tr>
            <w:tr w14:paraId="73BEF5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29C6E2F1">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石化、重点有机化工等工业企业应当建立泄漏检测与修复体系，对管道、设备等进行日常检修、维护，及时收集处理泄漏物料。</w:t>
                  </w:r>
                </w:p>
              </w:tc>
              <w:tc>
                <w:tcPr>
                  <w:tcW w:w="1638" w:type="dxa"/>
                  <w:tcBorders>
                    <w:tl2br w:val="nil"/>
                    <w:tr2bl w:val="nil"/>
                  </w:tcBorders>
                  <w:noWrap w:val="0"/>
                  <w:vAlign w:val="center"/>
                </w:tcPr>
                <w:p w14:paraId="024737FB">
                  <w:pPr>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本项目不属于</w:t>
                  </w:r>
                  <w:r>
                    <w:rPr>
                      <w:rFonts w:hint="default" w:ascii="Times New Roman" w:hAnsi="Times New Roman" w:eastAsia="宋体" w:cs="Times New Roman"/>
                      <w:color w:val="auto"/>
                      <w:szCs w:val="21"/>
                      <w:lang w:val="en-US" w:eastAsia="zh-CN"/>
                    </w:rPr>
                    <w:t>石化、重点有机化工等工业企业。</w:t>
                  </w:r>
                </w:p>
              </w:tc>
            </w:tr>
            <w:tr w14:paraId="2CB8E6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7A55FFF7">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生产、销售、使用含挥发性有机物的原材料和产品的，其挥发性有机物含量应当符合质量标准或者要求。</w:t>
                  </w:r>
                </w:p>
                <w:p w14:paraId="3E001944">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省人民政府市场监管部门应当会同生态环境等部门，定期制定、调整低挥发性有机物含量产品目录和高挥发性有机物含量产品目录并向社会公布。</w:t>
                  </w:r>
                </w:p>
                <w:p w14:paraId="475DBE2F">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列入高挥发性有机物含量产品目录的产品，应当在其包装或者说明中予以标注。</w:t>
                  </w:r>
                </w:p>
              </w:tc>
              <w:tc>
                <w:tcPr>
                  <w:tcW w:w="1638" w:type="dxa"/>
                  <w:tcBorders>
                    <w:tl2br w:val="nil"/>
                    <w:tr2bl w:val="nil"/>
                  </w:tcBorders>
                  <w:noWrap w:val="0"/>
                  <w:vAlign w:val="center"/>
                </w:tcPr>
                <w:p w14:paraId="5E9E6BB8">
                  <w:pPr>
                    <w:keepNext w:val="0"/>
                    <w:keepLines w:val="0"/>
                    <w:suppressLineNumbers w:val="0"/>
                    <w:spacing w:before="0" w:beforeAutospacing="0" w:after="0" w:afterAutospacing="0"/>
                    <w:ind w:left="0" w:right="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本项目不涉及</w:t>
                  </w:r>
                  <w:r>
                    <w:rPr>
                      <w:rFonts w:hint="default" w:ascii="Times New Roman" w:hAnsi="Times New Roman" w:cs="Times New Roman"/>
                      <w:color w:val="auto"/>
                      <w:szCs w:val="21"/>
                      <w:lang w:val="en-US" w:eastAsia="zh-CN"/>
                    </w:rPr>
                    <w:t>。</w:t>
                  </w:r>
                </w:p>
              </w:tc>
            </w:tr>
            <w:tr w14:paraId="033B96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69AFAF3B">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下列产生含挥发性有机物废气的活动，应当使用低挥发性有机物含量的原料和工艺，按照规定在密闭空间或者设备中进行并安装、使用污染防治设施；无法密闭的，应当采取措施减少废气排放：</w:t>
                  </w:r>
                </w:p>
                <w:p w14:paraId="1C30B001">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（一）石化、煤化工等含挥发性有机物原料的生产；</w:t>
                  </w:r>
                </w:p>
                <w:p w14:paraId="6D257D5A">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（二）燃油、溶剂的储存、运输和销售；</w:t>
                  </w:r>
                </w:p>
                <w:p w14:paraId="0B73E162">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（三）涂料、油墨、胶粘剂、农药等以挥发性有机物为原料的生产；</w:t>
                  </w:r>
                </w:p>
                <w:p w14:paraId="3CE55CFA">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（四）涂装、印刷、粘合、工业清洗等含挥发性有机物的产品使用；</w:t>
                  </w:r>
                </w:p>
                <w:p w14:paraId="7E1579F2">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（五）其他产生挥发性有机物的生产和服务活动</w:t>
                  </w:r>
                  <w:r>
                    <w:rPr>
                      <w:rFonts w:hint="eastAsia" w:cs="Times New Roman"/>
                      <w:color w:val="auto"/>
                      <w:szCs w:val="21"/>
                      <w:lang w:val="en-US" w:eastAsia="zh-CN"/>
                    </w:rPr>
                    <w:t>。</w:t>
                  </w:r>
                </w:p>
              </w:tc>
              <w:tc>
                <w:tcPr>
                  <w:tcW w:w="1638" w:type="dxa"/>
                  <w:tcBorders>
                    <w:tl2br w:val="nil"/>
                    <w:tr2bl w:val="nil"/>
                  </w:tcBorders>
                  <w:noWrap w:val="0"/>
                  <w:vAlign w:val="center"/>
                </w:tcPr>
                <w:p w14:paraId="2E60116F">
                  <w:pPr>
                    <w:keepNext w:val="0"/>
                    <w:keepLines w:val="0"/>
                    <w:suppressLineNumbers w:val="0"/>
                    <w:spacing w:before="0" w:beforeAutospacing="0" w:after="0" w:afterAutospacing="0"/>
                    <w:ind w:left="0" w:right="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本项目不涉及</w:t>
                  </w:r>
                  <w:r>
                    <w:rPr>
                      <w:rFonts w:hint="default" w:ascii="Times New Roman" w:hAnsi="Times New Roman" w:cs="Times New Roman"/>
                      <w:color w:val="auto"/>
                      <w:szCs w:val="21"/>
                      <w:lang w:val="en-US" w:eastAsia="zh-CN"/>
                    </w:rPr>
                    <w:t>。</w:t>
                  </w:r>
                </w:p>
              </w:tc>
            </w:tr>
            <w:tr w14:paraId="56C1FA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0AF3F274">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产生挥发性有机物的工业企业应当建立台账，如实记录生产原料、辅料的使用量、废弃量、去向以及挥发性有机物含量。台账保存期限不得少于三年</w:t>
                  </w:r>
                </w:p>
              </w:tc>
              <w:tc>
                <w:tcPr>
                  <w:tcW w:w="1638" w:type="dxa"/>
                  <w:tcBorders>
                    <w:tl2br w:val="nil"/>
                    <w:tr2bl w:val="nil"/>
                  </w:tcBorders>
                  <w:noWrap w:val="0"/>
                  <w:vAlign w:val="center"/>
                </w:tcPr>
                <w:p w14:paraId="0B193B6B">
                  <w:pPr>
                    <w:keepNext w:val="0"/>
                    <w:keepLines w:val="0"/>
                    <w:suppressLineNumbers w:val="0"/>
                    <w:spacing w:before="0" w:beforeAutospacing="0" w:after="0" w:afterAutospacing="0"/>
                    <w:ind w:left="0" w:right="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本项目不涉及</w:t>
                  </w:r>
                  <w:r>
                    <w:rPr>
                      <w:rFonts w:hint="default" w:ascii="Times New Roman" w:hAnsi="Times New Roman" w:cs="Times New Roman"/>
                      <w:color w:val="auto"/>
                      <w:szCs w:val="21"/>
                      <w:lang w:val="en-US" w:eastAsia="zh-CN"/>
                    </w:rPr>
                    <w:t>。</w:t>
                  </w:r>
                </w:p>
              </w:tc>
            </w:tr>
            <w:tr w14:paraId="3DCD32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59A13393">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向大气排放恶臭气体的排污单位以及垃圾处置场、污水处理厂，应当按照规定设置合理的防护距离，安装净化装置或者采取其他措施减少恶臭气体排放</w:t>
                  </w:r>
                  <w:r>
                    <w:rPr>
                      <w:rFonts w:hint="eastAsia" w:cs="Times New Roman"/>
                      <w:color w:val="auto"/>
                      <w:szCs w:val="21"/>
                      <w:lang w:val="en-US" w:eastAsia="zh-CN"/>
                    </w:rPr>
                    <w:t>。</w:t>
                  </w:r>
                </w:p>
                <w:p w14:paraId="52216AD7">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在居民住宅区等人口密集区域和医院、学校、幼儿园、养老院等其他需要特殊保护的区域及其周边，不得新建、改建和扩建石化、焦化、制药、油漆、塑料、橡胶、造纸、饲料等产生恶臭气体的生产项目或者从事其他产生恶臭气体的生产经营活动</w:t>
                  </w:r>
                  <w:r>
                    <w:rPr>
                      <w:rFonts w:hint="eastAsia" w:cs="Times New Roman"/>
                      <w:color w:val="auto"/>
                      <w:szCs w:val="21"/>
                      <w:lang w:val="en-US" w:eastAsia="zh-CN"/>
                    </w:rPr>
                    <w:t>。</w:t>
                  </w:r>
                </w:p>
              </w:tc>
              <w:tc>
                <w:tcPr>
                  <w:tcW w:w="1638" w:type="dxa"/>
                  <w:tcBorders>
                    <w:tl2br w:val="nil"/>
                    <w:tr2bl w:val="nil"/>
                  </w:tcBorders>
                  <w:noWrap w:val="0"/>
                  <w:vAlign w:val="center"/>
                </w:tcPr>
                <w:p w14:paraId="4B248172">
                  <w:pPr>
                    <w:keepNext w:val="0"/>
                    <w:keepLines w:val="0"/>
                    <w:suppressLineNumbers w:val="0"/>
                    <w:spacing w:before="0" w:beforeAutospacing="0" w:after="0" w:afterAutospacing="0"/>
                    <w:ind w:left="0" w:right="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本项目不涉及</w:t>
                  </w:r>
                  <w:r>
                    <w:rPr>
                      <w:rFonts w:hint="default" w:ascii="Times New Roman" w:hAnsi="Times New Roman" w:cs="Times New Roman"/>
                      <w:color w:val="auto"/>
                      <w:szCs w:val="21"/>
                      <w:lang w:val="en-US" w:eastAsia="zh-CN"/>
                    </w:rPr>
                    <w:t>。</w:t>
                  </w:r>
                </w:p>
              </w:tc>
            </w:tr>
            <w:tr w14:paraId="7DB8E1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7C936C6A">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向大气排放有毒有害污染物和持久性有机污染物的排污单位，应当按照国家规定采取有利于减少污染物排放的技术方法和工艺，配备有效的净化装置并保持正常运行，实现达标排放</w:t>
                  </w:r>
                  <w:r>
                    <w:rPr>
                      <w:rFonts w:hint="eastAsia" w:cs="Times New Roman"/>
                      <w:color w:val="auto"/>
                      <w:szCs w:val="21"/>
                      <w:lang w:val="en-US" w:eastAsia="zh-CN"/>
                    </w:rPr>
                    <w:t>。</w:t>
                  </w:r>
                </w:p>
              </w:tc>
              <w:tc>
                <w:tcPr>
                  <w:tcW w:w="1638" w:type="dxa"/>
                  <w:tcBorders>
                    <w:tl2br w:val="nil"/>
                    <w:tr2bl w:val="nil"/>
                  </w:tcBorders>
                  <w:noWrap w:val="0"/>
                  <w:vAlign w:val="center"/>
                </w:tcPr>
                <w:p w14:paraId="679589F5">
                  <w:pPr>
                    <w:keepNext w:val="0"/>
                    <w:keepLines w:val="0"/>
                    <w:suppressLineNumbers w:val="0"/>
                    <w:spacing w:before="0" w:beforeAutospacing="0" w:after="0" w:afterAutospacing="0"/>
                    <w:ind w:left="0" w:right="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本项目不涉及</w:t>
                  </w:r>
                  <w:r>
                    <w:rPr>
                      <w:rFonts w:hint="default" w:ascii="Times New Roman" w:hAnsi="Times New Roman" w:cs="Times New Roman"/>
                      <w:color w:val="auto"/>
                      <w:szCs w:val="21"/>
                      <w:lang w:val="en-US" w:eastAsia="zh-CN"/>
                    </w:rPr>
                    <w:t>。</w:t>
                  </w:r>
                </w:p>
              </w:tc>
            </w:tr>
            <w:tr w14:paraId="558BE0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833" w:type="dxa"/>
                  <w:tcBorders>
                    <w:tl2br w:val="nil"/>
                    <w:tr2bl w:val="nil"/>
                  </w:tcBorders>
                  <w:noWrap w:val="0"/>
                  <w:vAlign w:val="center"/>
                </w:tcPr>
                <w:p w14:paraId="5D4F9D23">
                  <w:pPr>
                    <w:keepNext w:val="0"/>
                    <w:keepLines w:val="0"/>
                    <w:suppressLineNumbers w:val="0"/>
                    <w:spacing w:before="0" w:beforeAutospacing="0" w:after="0" w:afterAutospacing="0"/>
                    <w:ind w:left="0" w:right="0"/>
                    <w:rPr>
                      <w:rFonts w:hint="default" w:ascii="Times New Roman" w:hAnsi="Times New Roman" w:eastAsia="仿宋_GB2312" w:cs="Times New Roman"/>
                      <w:color w:val="auto"/>
                      <w:kern w:val="0"/>
                      <w:sz w:val="32"/>
                      <w:szCs w:val="32"/>
                    </w:rPr>
                  </w:pPr>
                  <w:r>
                    <w:rPr>
                      <w:rFonts w:hint="default" w:ascii="Times New Roman" w:hAnsi="Times New Roman" w:eastAsia="宋体" w:cs="Times New Roman"/>
                      <w:color w:val="auto"/>
                      <w:szCs w:val="21"/>
                      <w:lang w:val="en-US" w:eastAsia="zh-CN"/>
                    </w:rPr>
                    <w:t>企业事业单位和其他生产经营者应当严格执行国家有关消耗臭氧层物质的生产、销售、使用和进出口管理规定，建立科学有效的回收利用和安全处置制度，不得随意排放、抛洒或者丢弃</w:t>
                  </w:r>
                  <w:r>
                    <w:rPr>
                      <w:rFonts w:hint="eastAsia" w:cs="Times New Roman"/>
                      <w:color w:val="auto"/>
                      <w:szCs w:val="21"/>
                      <w:lang w:val="en-US" w:eastAsia="zh-CN"/>
                    </w:rPr>
                    <w:t>。</w:t>
                  </w:r>
                </w:p>
              </w:tc>
              <w:tc>
                <w:tcPr>
                  <w:tcW w:w="1638" w:type="dxa"/>
                  <w:tcBorders>
                    <w:tl2br w:val="nil"/>
                    <w:tr2bl w:val="nil"/>
                  </w:tcBorders>
                  <w:noWrap w:val="0"/>
                  <w:vAlign w:val="center"/>
                </w:tcPr>
                <w:p w14:paraId="639BF17D">
                  <w:pPr>
                    <w:keepNext w:val="0"/>
                    <w:keepLines w:val="0"/>
                    <w:suppressLineNumbers w:val="0"/>
                    <w:spacing w:before="0" w:beforeAutospacing="0" w:after="0" w:afterAutospacing="0"/>
                    <w:ind w:left="0" w:right="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本项目不涉及</w:t>
                  </w:r>
                  <w:r>
                    <w:rPr>
                      <w:rFonts w:hint="default" w:ascii="Times New Roman" w:hAnsi="Times New Roman" w:eastAsia="宋体" w:cs="Times New Roman"/>
                      <w:color w:val="auto"/>
                      <w:szCs w:val="21"/>
                      <w:lang w:val="en-US" w:eastAsia="zh-CN"/>
                    </w:rPr>
                    <w:t>消耗臭氧层物质。</w:t>
                  </w:r>
                </w:p>
              </w:tc>
            </w:tr>
          </w:tbl>
          <w:p w14:paraId="6ACCAA4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highlight w:val="none"/>
              </w:rPr>
            </w:pPr>
            <w:r>
              <w:rPr>
                <w:rFonts w:hint="default" w:ascii="Times New Roman" w:hAnsi="Times New Roman" w:eastAsia="宋体" w:cs="Times New Roman"/>
                <w:snapToGrid w:val="0"/>
                <w:color w:val="auto"/>
                <w:kern w:val="0"/>
                <w:sz w:val="24"/>
                <w:szCs w:val="32"/>
                <w:highlight w:val="none"/>
                <w:lang w:val="en-US" w:eastAsia="zh-CN"/>
              </w:rPr>
              <w:t>本</w:t>
            </w:r>
            <w:r>
              <w:rPr>
                <w:rFonts w:hint="default" w:ascii="Times New Roman" w:hAnsi="Times New Roman" w:eastAsia="宋体" w:cs="Times New Roman"/>
                <w:snapToGrid w:val="0"/>
                <w:color w:val="auto"/>
                <w:kern w:val="0"/>
                <w:sz w:val="24"/>
                <w:szCs w:val="32"/>
                <w:highlight w:val="none"/>
              </w:rPr>
              <w:t>项目的建设符合《山东省大气污染防治条例》第三章大气污染防治措施第二节工业要求。</w:t>
            </w:r>
          </w:p>
          <w:p w14:paraId="3A2074B4">
            <w:pPr>
              <w:keepNext w:val="0"/>
              <w:keepLines w:val="0"/>
              <w:suppressLineNumbers w:val="0"/>
              <w:spacing w:before="0" w:beforeAutospacing="0" w:after="0" w:afterAutospacing="0"/>
              <w:ind w:left="0" w:right="0" w:firstLine="482" w:firstLineChars="200"/>
              <w:rPr>
                <w:rFonts w:hint="default" w:ascii="Times New Roman" w:hAnsi="Times New Roman" w:cs="Times New Roman"/>
                <w:b/>
                <w:color w:val="auto"/>
                <w:sz w:val="24"/>
                <w:highlight w:val="none"/>
              </w:rPr>
            </w:pPr>
            <w:r>
              <w:rPr>
                <w:rFonts w:hint="default" w:ascii="Times New Roman" w:hAnsi="Times New Roman" w:cs="Times New Roman"/>
                <w:b/>
                <w:bCs/>
                <w:color w:val="auto"/>
                <w:sz w:val="24"/>
                <w:highlight w:val="none"/>
                <w:lang w:val="en-US" w:eastAsia="zh-CN"/>
              </w:rPr>
              <w:t>5</w:t>
            </w:r>
            <w:r>
              <w:rPr>
                <w:rFonts w:hint="default" w:ascii="Times New Roman" w:hAnsi="Times New Roman" w:cs="Times New Roman"/>
                <w:b/>
                <w:bCs/>
                <w:color w:val="auto"/>
                <w:sz w:val="24"/>
                <w:highlight w:val="none"/>
              </w:rPr>
              <w:t>、与《山东省环境保护条例》（2018.11.30修订）符合性分析</w:t>
            </w:r>
          </w:p>
          <w:p w14:paraId="759C0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表1-</w:t>
            </w:r>
            <w:r>
              <w:rPr>
                <w:rFonts w:hint="eastAsia" w:cs="Times New Roman"/>
                <w:b/>
                <w:color w:val="auto"/>
                <w:szCs w:val="21"/>
                <w:highlight w:val="none"/>
                <w:lang w:val="en-US" w:eastAsia="zh-CN"/>
              </w:rPr>
              <w:t>4</w:t>
            </w:r>
            <w:r>
              <w:rPr>
                <w:rFonts w:hint="default" w:ascii="Times New Roman" w:hAnsi="Times New Roman" w:eastAsia="宋体" w:cs="Times New Roman"/>
                <w:b/>
                <w:color w:val="auto"/>
                <w:szCs w:val="21"/>
                <w:highlight w:val="none"/>
                <w:lang w:val="en-US" w:eastAsia="zh-CN"/>
              </w:rPr>
              <w:t>符合性分析一览表</w:t>
            </w:r>
          </w:p>
          <w:tbl>
            <w:tblPr>
              <w:tblStyle w:val="36"/>
              <w:tblW w:w="4992" w:type="pct"/>
              <w:tblInd w:w="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64"/>
              <w:gridCol w:w="4459"/>
              <w:gridCol w:w="2240"/>
            </w:tblGrid>
            <w:tr w14:paraId="3B7853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764" w:type="dxa"/>
                  <w:noWrap w:val="0"/>
                  <w:vAlign w:val="center"/>
                </w:tcPr>
                <w:p w14:paraId="43914B7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c>
                <w:tcPr>
                  <w:tcW w:w="4461" w:type="dxa"/>
                  <w:noWrap w:val="0"/>
                  <w:vAlign w:val="center"/>
                </w:tcPr>
                <w:p w14:paraId="0BC1BF9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《山东省环境保护条例》具体规定</w:t>
                  </w:r>
                </w:p>
              </w:tc>
              <w:tc>
                <w:tcPr>
                  <w:tcW w:w="2241" w:type="dxa"/>
                  <w:noWrap w:val="0"/>
                  <w:vAlign w:val="center"/>
                </w:tcPr>
                <w:p w14:paraId="30FFA3C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r>
            <w:tr w14:paraId="1DF8B7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764" w:type="dxa"/>
                  <w:vMerge w:val="restart"/>
                  <w:noWrap w:val="0"/>
                  <w:vAlign w:val="center"/>
                </w:tcPr>
                <w:p w14:paraId="3D401AC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防治污染和其他公害</w:t>
                  </w:r>
                </w:p>
              </w:tc>
              <w:tc>
                <w:tcPr>
                  <w:tcW w:w="4461" w:type="dxa"/>
                  <w:noWrap w:val="0"/>
                  <w:vAlign w:val="center"/>
                </w:tcPr>
                <w:p w14:paraId="6ACCC33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污单位应采取措施，防治在生产建设或者其他活动中产生的废气、废水、废渣、医疗废物、颗粒物、恶臭气体、放射性物质以及噪声、振动、光辐射、电磁辐射等对环境的污染和危害，其污染排放不得超过排放标准和重点污染物排放总量控制指标。</w:t>
                  </w:r>
                </w:p>
              </w:tc>
              <w:tc>
                <w:tcPr>
                  <w:tcW w:w="2241" w:type="dxa"/>
                  <w:noWrap w:val="0"/>
                  <w:vAlign w:val="center"/>
                </w:tcPr>
                <w:p w14:paraId="1D217ED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投料、筛分、包装过程产生的颗粒物一同经管道送入布袋除尘器处理后，由15m高排气筒有组织排放</w:t>
                  </w:r>
                  <w:r>
                    <w:rPr>
                      <w:rFonts w:hint="default" w:ascii="Times New Roman" w:hAnsi="Times New Roman" w:eastAsia="宋体" w:cs="Times New Roman"/>
                      <w:color w:val="auto"/>
                      <w:sz w:val="21"/>
                      <w:szCs w:val="21"/>
                      <w:highlight w:val="none"/>
                      <w:lang w:val="en-US" w:eastAsia="zh-CN"/>
                    </w:rPr>
                    <w:t>，能够实现达标排放。</w:t>
                  </w:r>
                </w:p>
              </w:tc>
            </w:tr>
            <w:tr w14:paraId="6D598E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764" w:type="dxa"/>
                  <w:vMerge w:val="continue"/>
                  <w:noWrap w:val="0"/>
                  <w:vAlign w:val="center"/>
                </w:tcPr>
                <w:p w14:paraId="5352ED96">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4461" w:type="dxa"/>
                  <w:noWrap w:val="0"/>
                  <w:vAlign w:val="center"/>
                </w:tcPr>
                <w:p w14:paraId="61B8F336">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排污单位应当按照规定安装污染物排放自动监测设备，并保障其正常运行，不得擅自拆除、停用、改变或者损毁。自动监测设备应当与生态环境主管部门的监控设备联网。重点排污单位由设区的市生态环境主管部门确定，并向社会公布。</w:t>
                  </w:r>
                </w:p>
              </w:tc>
              <w:tc>
                <w:tcPr>
                  <w:tcW w:w="2241" w:type="dxa"/>
                  <w:noWrap w:val="0"/>
                  <w:vAlign w:val="center"/>
                </w:tcPr>
                <w:p w14:paraId="16048B7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企业不属于重点排污单位，符合。</w:t>
                  </w:r>
                </w:p>
              </w:tc>
            </w:tr>
            <w:tr w14:paraId="3C0302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764" w:type="dxa"/>
                  <w:vMerge w:val="continue"/>
                  <w:noWrap w:val="0"/>
                  <w:vAlign w:val="center"/>
                </w:tcPr>
                <w:p w14:paraId="7177FF71">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4461" w:type="dxa"/>
                  <w:noWrap w:val="0"/>
                  <w:vAlign w:val="center"/>
                </w:tcPr>
                <w:p w14:paraId="4D8683BF">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各级人民政府及其有关部门应当加强重金属污染防治，确定重点防控的重金属污染地区、行业和企业，加强对涉铅、镉、汞、铬和类金属砷等加工企业的环境监管，推进涉重金属企业的技术改造和集中治理，实现重金属深度处理和循环利用，减少污染排放。禁止在重点防控区域内新建、改建、扩建增加重金属污染物排放总量的建设项目。</w:t>
                  </w:r>
                </w:p>
              </w:tc>
              <w:tc>
                <w:tcPr>
                  <w:tcW w:w="2241" w:type="dxa"/>
                  <w:noWrap w:val="0"/>
                  <w:vAlign w:val="center"/>
                </w:tcPr>
                <w:p w14:paraId="6977F98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本项目不涉及重金属产生及排放；符合。</w:t>
                  </w:r>
                </w:p>
              </w:tc>
            </w:tr>
            <w:tr w14:paraId="5A9476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764" w:type="dxa"/>
                  <w:vMerge w:val="continue"/>
                  <w:noWrap w:val="0"/>
                  <w:vAlign w:val="center"/>
                </w:tcPr>
                <w:p w14:paraId="6128779B">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4461" w:type="dxa"/>
                  <w:noWrap w:val="0"/>
                  <w:vAlign w:val="center"/>
                </w:tcPr>
                <w:p w14:paraId="01B636B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新建有污染物排放的工业项目，除在安全生产等方面有特殊要求的以外，应当进入工业园区或者工业集聚区</w:t>
                  </w:r>
                </w:p>
              </w:tc>
              <w:tc>
                <w:tcPr>
                  <w:tcW w:w="2241" w:type="dxa"/>
                  <w:noWrap w:val="0"/>
                  <w:vAlign w:val="center"/>
                </w:tcPr>
                <w:p w14:paraId="62143B06">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本项目位于工业聚集区</w:t>
                  </w:r>
                  <w:r>
                    <w:rPr>
                      <w:rFonts w:hint="eastAsia" w:cs="Times New Roman"/>
                      <w:color w:val="000000" w:themeColor="text1"/>
                      <w:szCs w:val="21"/>
                      <w:highlight w:val="none"/>
                      <w:lang w:val="en-US" w:eastAsia="zh-CN"/>
                      <w14:textFill>
                        <w14:solidFill>
                          <w14:schemeClr w14:val="tx1"/>
                        </w14:solidFill>
                      </w14:textFill>
                    </w:rPr>
                    <w:t>（证明文件见附件）</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r>
          </w:tbl>
          <w:p w14:paraId="1601EE9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综上，本项目建设符合《山东省环境保护条例》（2018年11月30日修订）要求。</w:t>
            </w:r>
          </w:p>
          <w:p w14:paraId="297549F4">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6、与《关于做好环境影响评价制度与排污许可制衔接相关工作的通知》（环办环评〔2017〕84号）符合性分析</w:t>
            </w:r>
          </w:p>
          <w:p w14:paraId="364FA3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w:t>
            </w:r>
            <w:r>
              <w:rPr>
                <w:rFonts w:hint="eastAsia" w:cs="Times New Roman"/>
                <w:b/>
                <w:color w:val="auto"/>
                <w:szCs w:val="21"/>
                <w:lang w:val="en-US" w:eastAsia="zh-CN"/>
              </w:rPr>
              <w:t>5</w:t>
            </w:r>
            <w:r>
              <w:rPr>
                <w:rFonts w:hint="default" w:ascii="Times New Roman" w:hAnsi="Times New Roman" w:cs="Times New Roman"/>
                <w:b/>
                <w:color w:val="auto"/>
                <w:szCs w:val="21"/>
              </w:rPr>
              <w:t>符合性分析一览表</w:t>
            </w:r>
          </w:p>
          <w:tbl>
            <w:tblPr>
              <w:tblStyle w:val="36"/>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833"/>
              <w:gridCol w:w="1638"/>
            </w:tblGrid>
            <w:tr w14:paraId="278726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283" w:type="dxa"/>
                  <w:noWrap w:val="0"/>
                  <w:vAlign w:val="center"/>
                </w:tcPr>
                <w:p w14:paraId="27341E9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文件要求</w:t>
                  </w:r>
                </w:p>
              </w:tc>
              <w:tc>
                <w:tcPr>
                  <w:tcW w:w="1483" w:type="dxa"/>
                  <w:noWrap w:val="0"/>
                  <w:vAlign w:val="center"/>
                </w:tcPr>
                <w:p w14:paraId="0D73C1F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r>
            <w:tr w14:paraId="1A8D27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9" w:hRule="atLeast"/>
                <w:jc w:val="center"/>
              </w:trPr>
              <w:tc>
                <w:tcPr>
                  <w:tcW w:w="5283" w:type="dxa"/>
                  <w:noWrap w:val="0"/>
                  <w:vAlign w:val="center"/>
                </w:tcPr>
                <w:p w14:paraId="3E19801F">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改扩建项目的环境影响评价，应当将排污许可证执行情况作为现有工程回顾评价的主要依据。现有工程应按照相关法律、法规、规章关于排污许可实施范围和步骤的规定，按时申请并获取排污许可证，并在申请改扩建项目环境影响报告书（表）时，依法提交相关排污许可证执行报告。</w:t>
                  </w:r>
                </w:p>
              </w:tc>
              <w:tc>
                <w:tcPr>
                  <w:tcW w:w="1483" w:type="dxa"/>
                  <w:noWrap w:val="0"/>
                  <w:vAlign w:val="center"/>
                </w:tcPr>
                <w:p w14:paraId="521462B5">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企业实行排污许可证登记管理；符合。</w:t>
                  </w:r>
                </w:p>
              </w:tc>
            </w:tr>
            <w:tr w14:paraId="50B30E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9" w:hRule="atLeast"/>
                <w:jc w:val="center"/>
              </w:trPr>
              <w:tc>
                <w:tcPr>
                  <w:tcW w:w="5283" w:type="dxa"/>
                  <w:noWrap w:val="0"/>
                  <w:vAlign w:val="center"/>
                </w:tcPr>
                <w:p w14:paraId="5F3361B0">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国家将分行业制定建设项目重大变动清单。建设项目的环境影响报告书（表）经批准后，建设项目的性质、规模、地点、采用的生产工艺或者防治污染、防止生态破坏的措施发生重大变动的，建设单位应当依法重新报批环境影响评价文件，并在申请排污许可时提交重新报批的环评批复（文号）。发生变动但不属于重大变动情形的建设项目，环境影响报告书（表）2015年1月1日（含）后获得批准的，排污许可证核发部门按照污染物排放标准、总量控制要求、环境影响报告书（表）以及审批文件从严核发，其他建设项目由排污许可证核发部门按照排污许可证申请与核发技术规范要求核发。</w:t>
                  </w:r>
                </w:p>
              </w:tc>
              <w:tc>
                <w:tcPr>
                  <w:tcW w:w="1483" w:type="dxa"/>
                  <w:noWrap w:val="0"/>
                  <w:vAlign w:val="center"/>
                </w:tcPr>
                <w:p w14:paraId="6FD106A7">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 xml:space="preserve">严格按文件要求执行。 </w:t>
                  </w:r>
                </w:p>
              </w:tc>
            </w:tr>
            <w:tr w14:paraId="294AEF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9" w:hRule="atLeast"/>
                <w:jc w:val="center"/>
              </w:trPr>
              <w:tc>
                <w:tcPr>
                  <w:tcW w:w="5283" w:type="dxa"/>
                  <w:noWrap w:val="0"/>
                  <w:vAlign w:val="center"/>
                </w:tcPr>
                <w:p w14:paraId="05B9A362">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做好《建设项目环境影响评价分类管理名录》和《固定污染源排污许可分类管理名录》的衔接，按照建设项目对环境的影响程度、污染物产生量和排放量，实行统一分类管理。纳入排污许可管理的建设项目，可能造成重大环境影响、应当编制环境影响报告书的，原则上实行排污许可重点管理；可能造成轻度环境影响、应当编制环境影响报告表的，原则上实行排污许可简化管理。</w:t>
                  </w:r>
                </w:p>
              </w:tc>
              <w:tc>
                <w:tcPr>
                  <w:tcW w:w="1483" w:type="dxa"/>
                  <w:noWrap w:val="0"/>
                  <w:vAlign w:val="center"/>
                </w:tcPr>
                <w:p w14:paraId="00587291">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企业实行排污许可证登记管理，按时申请并获取排污许可</w:t>
                  </w:r>
                  <w:r>
                    <w:rPr>
                      <w:rFonts w:hint="eastAsia" w:ascii="Times New Roman" w:hAnsi="Times New Roman" w:cs="Times New Roman"/>
                      <w:color w:val="auto"/>
                      <w:szCs w:val="21"/>
                      <w:lang w:val="en-US" w:eastAsia="zh-CN"/>
                    </w:rPr>
                    <w:t>回执</w:t>
                  </w:r>
                  <w:r>
                    <w:rPr>
                      <w:rFonts w:hint="default" w:ascii="Times New Roman" w:hAnsi="Times New Roman" w:cs="Times New Roman"/>
                      <w:color w:val="auto"/>
                      <w:szCs w:val="21"/>
                    </w:rPr>
                    <w:t>；符合。</w:t>
                  </w:r>
                </w:p>
              </w:tc>
            </w:tr>
          </w:tbl>
          <w:p w14:paraId="7BB6DA48">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b/>
                <w:bCs/>
                <w:color w:val="auto"/>
                <w:sz w:val="24"/>
                <w:szCs w:val="32"/>
                <w:highlight w:val="none"/>
                <w:lang w:val="en-US" w:eastAsia="zh-CN"/>
              </w:rPr>
            </w:pPr>
            <w:r>
              <w:rPr>
                <w:rFonts w:hint="default" w:ascii="Times New Roman" w:hAnsi="Times New Roman" w:cs="Times New Roman"/>
                <w:snapToGrid w:val="0"/>
                <w:color w:val="auto"/>
                <w:kern w:val="0"/>
              </w:rPr>
              <w:t>综上，本项目建设符合《关于做好环境影响评价制度与排污许可制衔接相关工作的通知》（环办环评〔2017〕84号）要求。</w:t>
            </w:r>
          </w:p>
          <w:p w14:paraId="147C86D9">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Cs w:val="21"/>
                <w:highlight w:val="none"/>
              </w:rPr>
            </w:pPr>
            <w:r>
              <w:rPr>
                <w:rFonts w:hint="default" w:ascii="Times New Roman" w:hAnsi="Times New Roman" w:cs="Times New Roman"/>
                <w:b/>
                <w:bCs/>
                <w:color w:val="auto"/>
                <w:sz w:val="24"/>
                <w:szCs w:val="32"/>
                <w:highlight w:val="none"/>
                <w:lang w:val="en-US" w:eastAsia="zh-CN"/>
              </w:rPr>
              <w:t>7</w:t>
            </w:r>
            <w:r>
              <w:rPr>
                <w:rFonts w:hint="default" w:ascii="Times New Roman" w:hAnsi="Times New Roman" w:cs="Times New Roman"/>
                <w:b/>
                <w:bCs/>
                <w:color w:val="auto"/>
                <w:sz w:val="24"/>
                <w:szCs w:val="32"/>
                <w:highlight w:val="none"/>
              </w:rPr>
              <w:t>、</w:t>
            </w:r>
            <w:r>
              <w:rPr>
                <w:rFonts w:hint="default" w:ascii="Times New Roman" w:hAnsi="Times New Roman" w:cs="Times New Roman"/>
                <w:b/>
                <w:bCs/>
                <w:color w:val="auto"/>
                <w:sz w:val="24"/>
                <w:highlight w:val="none"/>
              </w:rPr>
              <w:t>与《山东省生态环境厅关于印发山东省工业企业无组织排放分行业管控指导意见的通知》（鲁环发〔2020〕30号）符合性分析</w:t>
            </w:r>
          </w:p>
          <w:p w14:paraId="4734BE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表1-</w:t>
            </w:r>
            <w:r>
              <w:rPr>
                <w:rFonts w:hint="eastAsia" w:cs="Times New Roman"/>
                <w:b/>
                <w:color w:val="auto"/>
                <w:szCs w:val="21"/>
                <w:highlight w:val="none"/>
                <w:lang w:val="en-US" w:eastAsia="zh-CN"/>
              </w:rPr>
              <w:t>6</w:t>
            </w:r>
            <w:r>
              <w:rPr>
                <w:rFonts w:hint="default" w:ascii="Times New Roman" w:hAnsi="Times New Roman" w:eastAsia="宋体" w:cs="Times New Roman"/>
                <w:b/>
                <w:color w:val="auto"/>
                <w:szCs w:val="21"/>
                <w:highlight w:val="none"/>
                <w:lang w:val="en-US" w:eastAsia="zh-CN"/>
              </w:rPr>
              <w:t>建设项目与鲁环发〔2020〕30号符合性分析</w:t>
            </w:r>
          </w:p>
          <w:tbl>
            <w:tblPr>
              <w:tblStyle w:val="36"/>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80"/>
              <w:gridCol w:w="4257"/>
              <w:gridCol w:w="1748"/>
              <w:gridCol w:w="687"/>
            </w:tblGrid>
            <w:tr w14:paraId="1475E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1" w:type="dxa"/>
                  <w:noWrap w:val="0"/>
                  <w:tcMar>
                    <w:top w:w="0" w:type="dxa"/>
                    <w:left w:w="45" w:type="dxa"/>
                    <w:bottom w:w="0" w:type="dxa"/>
                    <w:right w:w="45" w:type="dxa"/>
                  </w:tcMar>
                  <w:vAlign w:val="center"/>
                </w:tcPr>
                <w:p w14:paraId="4A25861F">
                  <w:pPr>
                    <w:keepNext w:val="0"/>
                    <w:keepLines w:val="0"/>
                    <w:suppressLineNumbers w:val="0"/>
                    <w:spacing w:before="0" w:beforeAutospacing="0" w:after="0" w:afterAutospacing="0"/>
                    <w:ind w:left="0" w:right="0"/>
                    <w:jc w:val="center"/>
                    <w:rPr>
                      <w:rFonts w:hint="default"/>
                      <w:b/>
                      <w:bCs/>
                    </w:rPr>
                  </w:pPr>
                  <w:r>
                    <w:rPr>
                      <w:rFonts w:hint="default"/>
                      <w:b/>
                      <w:bCs/>
                    </w:rPr>
                    <w:t>文件要求</w:t>
                  </w:r>
                </w:p>
              </w:tc>
              <w:tc>
                <w:tcPr>
                  <w:tcW w:w="4206" w:type="dxa"/>
                  <w:noWrap w:val="0"/>
                  <w:tcMar>
                    <w:top w:w="0" w:type="dxa"/>
                    <w:left w:w="45" w:type="dxa"/>
                    <w:bottom w:w="0" w:type="dxa"/>
                    <w:right w:w="45" w:type="dxa"/>
                  </w:tcMar>
                  <w:vAlign w:val="center"/>
                </w:tcPr>
                <w:p w14:paraId="0A0186E0">
                  <w:pPr>
                    <w:keepNext w:val="0"/>
                    <w:keepLines w:val="0"/>
                    <w:suppressLineNumbers w:val="0"/>
                    <w:spacing w:before="0" w:beforeAutospacing="0" w:after="0" w:afterAutospacing="0"/>
                    <w:ind w:left="0" w:right="0"/>
                    <w:jc w:val="center"/>
                    <w:rPr>
                      <w:rFonts w:hint="default"/>
                      <w:b/>
                      <w:bCs/>
                    </w:rPr>
                  </w:pPr>
                  <w:r>
                    <w:rPr>
                      <w:rFonts w:hint="default"/>
                      <w:b/>
                      <w:bCs/>
                    </w:rPr>
                    <w:t>具体规定</w:t>
                  </w:r>
                </w:p>
              </w:tc>
              <w:tc>
                <w:tcPr>
                  <w:tcW w:w="1727" w:type="dxa"/>
                  <w:noWrap w:val="0"/>
                  <w:tcMar>
                    <w:top w:w="0" w:type="dxa"/>
                    <w:left w:w="45" w:type="dxa"/>
                    <w:bottom w:w="0" w:type="dxa"/>
                    <w:right w:w="45" w:type="dxa"/>
                  </w:tcMar>
                  <w:vAlign w:val="center"/>
                </w:tcPr>
                <w:p w14:paraId="61E6A9F8">
                  <w:pPr>
                    <w:keepNext w:val="0"/>
                    <w:keepLines w:val="0"/>
                    <w:suppressLineNumbers w:val="0"/>
                    <w:spacing w:before="0" w:beforeAutospacing="0" w:after="0" w:afterAutospacing="0"/>
                    <w:ind w:left="0" w:right="0"/>
                    <w:jc w:val="center"/>
                    <w:rPr>
                      <w:rFonts w:hint="default"/>
                      <w:b/>
                      <w:bCs/>
                    </w:rPr>
                  </w:pPr>
                  <w:r>
                    <w:rPr>
                      <w:rFonts w:hint="default"/>
                      <w:b/>
                      <w:bCs/>
                    </w:rPr>
                    <w:t>本项目情况</w:t>
                  </w:r>
                </w:p>
              </w:tc>
              <w:tc>
                <w:tcPr>
                  <w:tcW w:w="678" w:type="dxa"/>
                  <w:noWrap w:val="0"/>
                  <w:tcMar>
                    <w:top w:w="0" w:type="dxa"/>
                    <w:left w:w="45" w:type="dxa"/>
                    <w:bottom w:w="0" w:type="dxa"/>
                    <w:right w:w="45" w:type="dxa"/>
                  </w:tcMar>
                  <w:vAlign w:val="center"/>
                </w:tcPr>
                <w:p w14:paraId="7A4271BA">
                  <w:pPr>
                    <w:keepNext w:val="0"/>
                    <w:keepLines w:val="0"/>
                    <w:suppressLineNumbers w:val="0"/>
                    <w:spacing w:before="0" w:beforeAutospacing="0" w:after="0" w:afterAutospacing="0"/>
                    <w:ind w:left="0" w:right="0"/>
                    <w:jc w:val="center"/>
                    <w:rPr>
                      <w:rFonts w:hint="default"/>
                      <w:b/>
                      <w:bCs/>
                    </w:rPr>
                  </w:pPr>
                  <w:r>
                    <w:rPr>
                      <w:rFonts w:hint="default"/>
                      <w:b/>
                      <w:bCs/>
                    </w:rPr>
                    <w:t>符合</w:t>
                  </w:r>
                </w:p>
                <w:p w14:paraId="379F44D0">
                  <w:pPr>
                    <w:keepNext w:val="0"/>
                    <w:keepLines w:val="0"/>
                    <w:suppressLineNumbers w:val="0"/>
                    <w:spacing w:before="0" w:beforeAutospacing="0" w:after="0" w:afterAutospacing="0"/>
                    <w:ind w:left="0" w:right="0"/>
                    <w:jc w:val="center"/>
                    <w:rPr>
                      <w:rFonts w:hint="default"/>
                      <w:b/>
                      <w:bCs/>
                    </w:rPr>
                  </w:pPr>
                  <w:r>
                    <w:rPr>
                      <w:rFonts w:hint="default"/>
                      <w:b/>
                      <w:bCs/>
                    </w:rPr>
                    <w:t>情况</w:t>
                  </w:r>
                </w:p>
              </w:tc>
            </w:tr>
            <w:tr w14:paraId="56727E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1" w:type="dxa"/>
                  <w:noWrap w:val="0"/>
                  <w:tcMar>
                    <w:top w:w="0" w:type="dxa"/>
                    <w:left w:w="45" w:type="dxa"/>
                    <w:bottom w:w="0" w:type="dxa"/>
                    <w:right w:w="45" w:type="dxa"/>
                  </w:tcMar>
                  <w:vAlign w:val="center"/>
                </w:tcPr>
                <w:p w14:paraId="4701FC97">
                  <w:pPr>
                    <w:keepNext w:val="0"/>
                    <w:keepLines w:val="0"/>
                    <w:suppressLineNumbers w:val="0"/>
                    <w:spacing w:before="0" w:beforeAutospacing="0" w:after="0" w:afterAutospacing="0"/>
                    <w:ind w:left="0" w:right="0"/>
                    <w:jc w:val="center"/>
                    <w:rPr>
                      <w:rFonts w:hint="default"/>
                    </w:rPr>
                  </w:pPr>
                  <w:r>
                    <w:rPr>
                      <w:rFonts w:hint="default"/>
                    </w:rPr>
                    <w:t>加强物料运输、装卸环节管控</w:t>
                  </w:r>
                </w:p>
              </w:tc>
              <w:tc>
                <w:tcPr>
                  <w:tcW w:w="4206" w:type="dxa"/>
                  <w:noWrap w:val="0"/>
                  <w:tcMar>
                    <w:top w:w="0" w:type="dxa"/>
                    <w:left w:w="45" w:type="dxa"/>
                    <w:bottom w:w="0" w:type="dxa"/>
                    <w:right w:w="45" w:type="dxa"/>
                  </w:tcMar>
                  <w:vAlign w:val="center"/>
                </w:tcPr>
                <w:p w14:paraId="1086991D">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煤粉、粉煤灰、石灰、除尘灰、脱硫</w:t>
                  </w:r>
                  <w:r>
                    <w:rPr>
                      <w:rFonts w:hint="eastAsia" w:ascii="Times New Roman" w:hAnsi="Times New Roman" w:eastAsia="宋体" w:cs="Times New Roman"/>
                    </w:rPr>
                    <w:t>灰、原料药等粉状物料采用管状带式输送机、气力输送、真空罐车、密闭车厢等密闭方式运输；砂石、矿石、煤、铁精矿、脱硫石膏等块状、粒状或粘湿物料采用皮带通廊、封闭车厢等封闭方式运输或苫盖严密，防止沿途抛洒和飞扬。料场或厂区出入口配备车辆清洗装置或采取其他控制措施，确保出场车辆清洁、运输不起尘。厂区道路硬化，平整无破损、无积尘，厂区无裸露空地，闲置裸露空地及时绿化或硬化，厂区道路定期洒水清扫。块状、粒状或粘湿物料直接卸落至储存料场，装卸过程配备有效抑尘、集尘除尘设施，粉状物料装卸口配备密封防尘装置且不得直接卸落到地面。挥发性有机液体装车采用顶部浸没式或底部装载，严禁喷溅，运输相关产品的车辆具备油气回收接口</w:t>
                  </w:r>
                  <w:r>
                    <w:rPr>
                      <w:rFonts w:hint="default" w:ascii="Times New Roman" w:hAnsi="Times New Roman" w:eastAsia="宋体" w:cs="Times New Roman"/>
                    </w:rPr>
                    <w:t>。</w:t>
                  </w:r>
                </w:p>
              </w:tc>
              <w:tc>
                <w:tcPr>
                  <w:tcW w:w="1727" w:type="dxa"/>
                  <w:noWrap w:val="0"/>
                  <w:tcMar>
                    <w:top w:w="0" w:type="dxa"/>
                    <w:left w:w="45" w:type="dxa"/>
                    <w:bottom w:w="0" w:type="dxa"/>
                    <w:right w:w="45" w:type="dxa"/>
                  </w:tcMar>
                  <w:vAlign w:val="center"/>
                </w:tcPr>
                <w:p w14:paraId="23DDC39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lang w:val="en-US" w:eastAsia="zh-CN"/>
                    </w:rPr>
                    <w:t>氧化铝微粉用吨包包装，通过</w:t>
                  </w:r>
                  <w:r>
                    <w:rPr>
                      <w:rFonts w:hint="eastAsia" w:ascii="Times New Roman" w:hAnsi="Times New Roman" w:eastAsia="宋体" w:cs="Times New Roman"/>
                    </w:rPr>
                    <w:t>苫盖严密</w:t>
                  </w:r>
                  <w:r>
                    <w:rPr>
                      <w:rFonts w:hint="eastAsia" w:ascii="Times New Roman" w:hAnsi="Times New Roman" w:eastAsia="宋体" w:cs="Times New Roman"/>
                      <w:lang w:val="en-US" w:eastAsia="zh-CN"/>
                    </w:rPr>
                    <w:t>的车辆运输进场，厂区采用洒水降尘，</w:t>
                  </w:r>
                  <w:r>
                    <w:rPr>
                      <w:rFonts w:hint="eastAsia" w:ascii="Times New Roman" w:hAnsi="Times New Roman" w:eastAsia="宋体" w:cs="Times New Roman"/>
                    </w:rPr>
                    <w:t>所在厂区道路已硬化，无裸露土地。</w:t>
                  </w:r>
                </w:p>
              </w:tc>
              <w:tc>
                <w:tcPr>
                  <w:tcW w:w="678" w:type="dxa"/>
                  <w:noWrap w:val="0"/>
                  <w:tcMar>
                    <w:top w:w="0" w:type="dxa"/>
                    <w:left w:w="45" w:type="dxa"/>
                    <w:bottom w:w="0" w:type="dxa"/>
                    <w:right w:w="45" w:type="dxa"/>
                  </w:tcMar>
                  <w:vAlign w:val="center"/>
                </w:tcPr>
                <w:p w14:paraId="524D7F2B">
                  <w:pPr>
                    <w:keepNext w:val="0"/>
                    <w:keepLines w:val="0"/>
                    <w:suppressLineNumbers w:val="0"/>
                    <w:spacing w:before="0" w:beforeAutospacing="0" w:after="0" w:afterAutospacing="0"/>
                    <w:ind w:left="0" w:right="0"/>
                    <w:jc w:val="center"/>
                    <w:rPr>
                      <w:rFonts w:hint="default"/>
                    </w:rPr>
                  </w:pPr>
                  <w:r>
                    <w:rPr>
                      <w:rFonts w:hint="default"/>
                    </w:rPr>
                    <w:t>符合</w:t>
                  </w:r>
                </w:p>
              </w:tc>
            </w:tr>
            <w:tr w14:paraId="78FE59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1" w:type="dxa"/>
                  <w:noWrap w:val="0"/>
                  <w:tcMar>
                    <w:top w:w="0" w:type="dxa"/>
                    <w:left w:w="45" w:type="dxa"/>
                    <w:bottom w:w="0" w:type="dxa"/>
                    <w:right w:w="45" w:type="dxa"/>
                  </w:tcMar>
                  <w:vAlign w:val="center"/>
                </w:tcPr>
                <w:p w14:paraId="6595D730">
                  <w:pPr>
                    <w:keepNext w:val="0"/>
                    <w:keepLines w:val="0"/>
                    <w:suppressLineNumbers w:val="0"/>
                    <w:spacing w:before="0" w:beforeAutospacing="0" w:after="0" w:afterAutospacing="0"/>
                    <w:ind w:left="0" w:right="0"/>
                    <w:jc w:val="center"/>
                    <w:rPr>
                      <w:rFonts w:hint="default"/>
                    </w:rPr>
                  </w:pPr>
                  <w:r>
                    <w:rPr>
                      <w:rFonts w:hint="default"/>
                    </w:rPr>
                    <w:t>加强物料储存、输送环节管控。</w:t>
                  </w:r>
                </w:p>
              </w:tc>
              <w:tc>
                <w:tcPr>
                  <w:tcW w:w="4206" w:type="dxa"/>
                  <w:noWrap w:val="0"/>
                  <w:tcMar>
                    <w:top w:w="0" w:type="dxa"/>
                    <w:left w:w="45" w:type="dxa"/>
                    <w:bottom w:w="0" w:type="dxa"/>
                    <w:right w:w="45" w:type="dxa"/>
                  </w:tcMar>
                  <w:vAlign w:val="center"/>
                </w:tcPr>
                <w:p w14:paraId="5051C59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煤粉、粉煤灰、石灰、除尘灰、脱硫</w:t>
                  </w:r>
                  <w:r>
                    <w:rPr>
                      <w:rFonts w:hint="eastAsia" w:ascii="Times New Roman" w:hAnsi="Times New Roman" w:eastAsia="宋体" w:cs="Times New Roman"/>
                    </w:rPr>
                    <w:t>灰、原料药等粉状物料采用料仓、储罐、容器、包装袋等方式密闭储存，料仓、储罐配置高效除尘设施；采用管状带式输送机、气力输送、真空罐车、密闭车辆等方式输送。砂石、矿石、煤、铁精矿、脱硫石膏等块状、粒状或粘湿物料采用密闭料仓、封闭料棚或建设防风抑尘网等方式进行规范储存，封闭料棚和露天料场内设有喷淋装置，喷淋范围覆盖整个料堆。所储存物料对含水率有严格要求或遇水发生变化的，在料场内安装有效集尘除尘设施。封闭料棚进出口安装封闭性良好且便于开关的卷帘门、推拉门或自动感应门等，无车辆通过时将门关闭。防风抑尘网高度高于料场堆存高度，并对堆存物料进行严密苫盖。块状、粒状或粘湿物料上料口设置在封闭料棚内，采用管状带式输送机、皮带通廊、封闭车辆等方式输送。物料上料、输送、转接、出料和扒渣等过程中的产尘点采取有效抑尘、集尘除尘措施。含挥发性有机物（VOCs）物料储存于密闭容器、包装袋，高效密封储罐，封闭式储库、料仓等；封闭式储库、料仓设置VOCs有效收集治理设施。含VOCs物料输送，采用密闭管道或密闭容器、罐车等</w:t>
                  </w:r>
                  <w:r>
                    <w:rPr>
                      <w:rFonts w:hint="default" w:ascii="Times New Roman" w:hAnsi="Times New Roman" w:eastAsia="宋体" w:cs="Times New Roman"/>
                    </w:rPr>
                    <w:t>。</w:t>
                  </w:r>
                </w:p>
              </w:tc>
              <w:tc>
                <w:tcPr>
                  <w:tcW w:w="1727" w:type="dxa"/>
                  <w:noWrap w:val="0"/>
                  <w:tcMar>
                    <w:top w:w="0" w:type="dxa"/>
                    <w:left w:w="45" w:type="dxa"/>
                    <w:bottom w:w="0" w:type="dxa"/>
                    <w:right w:w="45" w:type="dxa"/>
                  </w:tcMar>
                  <w:vAlign w:val="center"/>
                </w:tcPr>
                <w:p w14:paraId="7CD79824">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lang w:val="en-US" w:eastAsia="zh-CN"/>
                    </w:rPr>
                    <w:t>氧化铝微粉用吨包包装，通过</w:t>
                  </w:r>
                  <w:r>
                    <w:rPr>
                      <w:rFonts w:hint="eastAsia" w:ascii="Times New Roman" w:hAnsi="Times New Roman" w:eastAsia="宋体" w:cs="Times New Roman"/>
                    </w:rPr>
                    <w:t>苫盖严密</w:t>
                  </w:r>
                  <w:r>
                    <w:rPr>
                      <w:rFonts w:hint="eastAsia" w:ascii="Times New Roman" w:hAnsi="Times New Roman" w:eastAsia="宋体" w:cs="Times New Roman"/>
                      <w:lang w:val="en-US" w:eastAsia="zh-CN"/>
                    </w:rPr>
                    <w:t>的车辆运输进场，厂区采用洒水降尘，投料、筛分、包装过程产生的颗粒物一同经管道送入布袋除尘器处理后，由15m高排气筒有组织排放。</w:t>
                  </w:r>
                </w:p>
              </w:tc>
              <w:tc>
                <w:tcPr>
                  <w:tcW w:w="678" w:type="dxa"/>
                  <w:noWrap w:val="0"/>
                  <w:tcMar>
                    <w:top w:w="0" w:type="dxa"/>
                    <w:left w:w="45" w:type="dxa"/>
                    <w:bottom w:w="0" w:type="dxa"/>
                    <w:right w:w="45" w:type="dxa"/>
                  </w:tcMar>
                  <w:vAlign w:val="center"/>
                </w:tcPr>
                <w:p w14:paraId="0DFA6271">
                  <w:pPr>
                    <w:keepNext w:val="0"/>
                    <w:keepLines w:val="0"/>
                    <w:suppressLineNumbers w:val="0"/>
                    <w:spacing w:before="0" w:beforeAutospacing="0" w:after="0" w:afterAutospacing="0"/>
                    <w:ind w:left="0" w:right="0"/>
                    <w:jc w:val="center"/>
                    <w:rPr>
                      <w:rFonts w:hint="default"/>
                    </w:rPr>
                  </w:pPr>
                  <w:r>
                    <w:rPr>
                      <w:rFonts w:hint="default"/>
                    </w:rPr>
                    <w:t>符合</w:t>
                  </w:r>
                </w:p>
              </w:tc>
            </w:tr>
            <w:tr w14:paraId="18A795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1" w:type="dxa"/>
                  <w:noWrap w:val="0"/>
                  <w:tcMar>
                    <w:top w:w="0" w:type="dxa"/>
                    <w:left w:w="45" w:type="dxa"/>
                    <w:bottom w:w="0" w:type="dxa"/>
                    <w:right w:w="45" w:type="dxa"/>
                  </w:tcMar>
                  <w:vAlign w:val="center"/>
                </w:tcPr>
                <w:p w14:paraId="15706EE2">
                  <w:pPr>
                    <w:keepNext w:val="0"/>
                    <w:keepLines w:val="0"/>
                    <w:suppressLineNumbers w:val="0"/>
                    <w:spacing w:before="0" w:beforeAutospacing="0" w:after="0" w:afterAutospacing="0"/>
                    <w:ind w:left="0" w:right="0"/>
                    <w:jc w:val="center"/>
                    <w:rPr>
                      <w:rFonts w:hint="default"/>
                    </w:rPr>
                  </w:pPr>
                  <w:r>
                    <w:rPr>
                      <w:rFonts w:hint="default"/>
                    </w:rPr>
                    <w:t>加强生产环节管控。</w:t>
                  </w:r>
                </w:p>
              </w:tc>
              <w:tc>
                <w:tcPr>
                  <w:tcW w:w="4206" w:type="dxa"/>
                  <w:noWrap w:val="0"/>
                  <w:tcMar>
                    <w:top w:w="0" w:type="dxa"/>
                    <w:left w:w="45" w:type="dxa"/>
                    <w:bottom w:w="0" w:type="dxa"/>
                    <w:right w:w="45" w:type="dxa"/>
                  </w:tcMar>
                  <w:vAlign w:val="center"/>
                </w:tcPr>
                <w:p w14:paraId="1E5932D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通过提高工艺自动化和设备密闭化水平，减少生</w:t>
                  </w:r>
                  <w:r>
                    <w:rPr>
                      <w:rFonts w:hint="eastAsia" w:ascii="Times New Roman" w:hAnsi="Times New Roman" w:eastAsia="宋体" w:cs="Times New Roman"/>
                    </w:rPr>
                    <w:t>产过程中的无组织排放。生产过程中的产尘点和VOCs产生点密闭、封闭或采取有效收集处理措施。生产设备和废气收集处理设施同步运行，废气收集处理设施发生故障或检修时，停止运行对应的生产设备，待检修完毕后投入使用。生产设备不能停止或不能及时停止运行的，设置废气应急处理设施或采取其他替代措施。生产车间地面及生产设备表面保持清洁，除电子、电气原件外，不得采用压缩空气吹扫等易产生扬尘的清理措施。厂内污水收集、输送、处理，污泥产生、暂存、处置，危险废物暂存等产生VOCs或恶臭气体的区域加罩或加盖封闭并进行收集处理。涉VOCs化（试）验室实验平台设置负压集气系统，对化（试）验室中产生的废气进行集中收集治理</w:t>
                  </w:r>
                  <w:r>
                    <w:rPr>
                      <w:rFonts w:hint="default" w:ascii="Times New Roman" w:hAnsi="Times New Roman" w:eastAsia="宋体" w:cs="Times New Roman"/>
                    </w:rPr>
                    <w:t>。</w:t>
                  </w:r>
                </w:p>
              </w:tc>
              <w:tc>
                <w:tcPr>
                  <w:tcW w:w="1727" w:type="dxa"/>
                  <w:noWrap w:val="0"/>
                  <w:tcMar>
                    <w:top w:w="0" w:type="dxa"/>
                    <w:left w:w="45" w:type="dxa"/>
                    <w:bottom w:w="0" w:type="dxa"/>
                    <w:right w:w="45" w:type="dxa"/>
                  </w:tcMar>
                  <w:vAlign w:val="center"/>
                </w:tcPr>
                <w:p w14:paraId="3E974E06">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lang w:val="en-US" w:eastAsia="zh-CN"/>
                    </w:rPr>
                    <w:t>投料、筛分、包装过程产生的颗粒物一同经管道送入布袋除尘器处理后，由15m高排气筒有组织排放。</w:t>
                  </w:r>
                  <w:r>
                    <w:rPr>
                      <w:rFonts w:hint="eastAsia" w:ascii="Times New Roman" w:hAnsi="Times New Roman" w:eastAsia="宋体" w:cs="Times New Roman"/>
                    </w:rPr>
                    <w:t>。</w:t>
                  </w:r>
                </w:p>
              </w:tc>
              <w:tc>
                <w:tcPr>
                  <w:tcW w:w="678" w:type="dxa"/>
                  <w:noWrap w:val="0"/>
                  <w:tcMar>
                    <w:top w:w="0" w:type="dxa"/>
                    <w:left w:w="45" w:type="dxa"/>
                    <w:bottom w:w="0" w:type="dxa"/>
                    <w:right w:w="45" w:type="dxa"/>
                  </w:tcMar>
                  <w:vAlign w:val="center"/>
                </w:tcPr>
                <w:p w14:paraId="21FF3C9B">
                  <w:pPr>
                    <w:keepNext w:val="0"/>
                    <w:keepLines w:val="0"/>
                    <w:suppressLineNumbers w:val="0"/>
                    <w:spacing w:before="0" w:beforeAutospacing="0" w:after="0" w:afterAutospacing="0"/>
                    <w:ind w:left="0" w:right="0"/>
                    <w:jc w:val="center"/>
                    <w:rPr>
                      <w:rFonts w:hint="eastAsia"/>
                    </w:rPr>
                  </w:pPr>
                  <w:r>
                    <w:rPr>
                      <w:rFonts w:hint="eastAsia"/>
                    </w:rPr>
                    <w:t>符合</w:t>
                  </w:r>
                </w:p>
              </w:tc>
            </w:tr>
            <w:tr w14:paraId="0927C3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1" w:type="dxa"/>
                  <w:noWrap w:val="0"/>
                  <w:tcMar>
                    <w:top w:w="0" w:type="dxa"/>
                    <w:left w:w="45" w:type="dxa"/>
                    <w:bottom w:w="0" w:type="dxa"/>
                    <w:right w:w="45" w:type="dxa"/>
                  </w:tcMar>
                  <w:vAlign w:val="center"/>
                </w:tcPr>
                <w:p w14:paraId="0B0D69A7">
                  <w:pPr>
                    <w:keepNext w:val="0"/>
                    <w:keepLines w:val="0"/>
                    <w:suppressLineNumbers w:val="0"/>
                    <w:spacing w:before="0" w:beforeAutospacing="0" w:after="0" w:afterAutospacing="0"/>
                    <w:ind w:left="0" w:right="0"/>
                    <w:jc w:val="center"/>
                    <w:rPr>
                      <w:rFonts w:hint="default"/>
                    </w:rPr>
                  </w:pPr>
                  <w:r>
                    <w:rPr>
                      <w:rFonts w:hint="eastAsia"/>
                    </w:rPr>
                    <w:t>加强精细化管控。</w:t>
                  </w:r>
                </w:p>
              </w:tc>
              <w:tc>
                <w:tcPr>
                  <w:tcW w:w="4206" w:type="dxa"/>
                  <w:noWrap w:val="0"/>
                  <w:tcMar>
                    <w:top w:w="0" w:type="dxa"/>
                    <w:left w:w="45" w:type="dxa"/>
                    <w:bottom w:w="0" w:type="dxa"/>
                    <w:right w:w="45" w:type="dxa"/>
                  </w:tcMar>
                  <w:vAlign w:val="center"/>
                </w:tcPr>
                <w:p w14:paraId="523B4612">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default" w:ascii="Times New Roman" w:hAnsi="Times New Roman" w:eastAsia="宋体" w:cs="Times New Roman"/>
                    </w:rPr>
                    <w:t>针对各无组织排放环节，制定“一厂一策”深度治</w:t>
                  </w:r>
                  <w:r>
                    <w:rPr>
                      <w:rFonts w:hint="eastAsia" w:ascii="Times New Roman" w:hAnsi="Times New Roman" w:eastAsia="宋体" w:cs="Times New Roman"/>
                    </w:rPr>
                    <w:t>理方案。制定无组织排放治理设施操作规程，并建立管理台账，记录操作人员操作内容、运行、维护、检修和含VOCs物料使用回收等情况，记录保存期限不得少于三年。鼓励安装视频、空气微站等监控设施和综合监控信息平台，用于企业日常自我监督，逐步实现无组织排放向精细化和可量化管理方式转变</w:t>
                  </w:r>
                  <w:r>
                    <w:rPr>
                      <w:rFonts w:hint="eastAsia" w:ascii="Times New Roman" w:hAnsi="Times New Roman" w:eastAsia="宋体" w:cs="Times New Roman"/>
                      <w:lang w:eastAsia="zh-CN"/>
                    </w:rPr>
                    <w:t>。</w:t>
                  </w:r>
                </w:p>
              </w:tc>
              <w:tc>
                <w:tcPr>
                  <w:tcW w:w="1727" w:type="dxa"/>
                  <w:noWrap w:val="0"/>
                  <w:tcMar>
                    <w:top w:w="0" w:type="dxa"/>
                    <w:left w:w="45" w:type="dxa"/>
                    <w:bottom w:w="0" w:type="dxa"/>
                    <w:right w:w="45" w:type="dxa"/>
                  </w:tcMar>
                  <w:vAlign w:val="center"/>
                </w:tcPr>
                <w:p w14:paraId="342A044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rPr>
                    <w:t>该企业需制定“一厂一策”深度治理方案，并保存记录期限。</w:t>
                  </w:r>
                </w:p>
              </w:tc>
              <w:tc>
                <w:tcPr>
                  <w:tcW w:w="678" w:type="dxa"/>
                  <w:noWrap w:val="0"/>
                  <w:tcMar>
                    <w:top w:w="0" w:type="dxa"/>
                    <w:left w:w="45" w:type="dxa"/>
                    <w:bottom w:w="0" w:type="dxa"/>
                    <w:right w:w="45" w:type="dxa"/>
                  </w:tcMar>
                  <w:vAlign w:val="center"/>
                </w:tcPr>
                <w:p w14:paraId="4DF04610">
                  <w:pPr>
                    <w:keepNext w:val="0"/>
                    <w:keepLines w:val="0"/>
                    <w:suppressLineNumbers w:val="0"/>
                    <w:spacing w:before="0" w:beforeAutospacing="0" w:after="0" w:afterAutospacing="0"/>
                    <w:ind w:left="0" w:right="0"/>
                    <w:jc w:val="center"/>
                    <w:rPr>
                      <w:rFonts w:hint="eastAsia"/>
                    </w:rPr>
                  </w:pPr>
                  <w:r>
                    <w:rPr>
                      <w:rFonts w:hint="eastAsia"/>
                    </w:rPr>
                    <w:t>符合</w:t>
                  </w:r>
                </w:p>
              </w:tc>
            </w:tr>
            <w:tr w14:paraId="6B24DA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1" w:type="dxa"/>
                  <w:noWrap w:val="0"/>
                  <w:tcMar>
                    <w:top w:w="0" w:type="dxa"/>
                    <w:left w:w="45" w:type="dxa"/>
                    <w:bottom w:w="0" w:type="dxa"/>
                    <w:right w:w="45" w:type="dxa"/>
                  </w:tcMar>
                  <w:vAlign w:val="center"/>
                </w:tcPr>
                <w:p w14:paraId="3DE71470">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val="en-US" w:eastAsia="zh-CN"/>
                    </w:rPr>
                    <w:t>行业指导意见</w:t>
                  </w:r>
                </w:p>
              </w:tc>
              <w:tc>
                <w:tcPr>
                  <w:tcW w:w="4206" w:type="dxa"/>
                  <w:noWrap w:val="0"/>
                  <w:tcMar>
                    <w:top w:w="0" w:type="dxa"/>
                    <w:left w:w="45" w:type="dxa"/>
                    <w:bottom w:w="0" w:type="dxa"/>
                    <w:right w:w="45" w:type="dxa"/>
                  </w:tcMar>
                  <w:vAlign w:val="center"/>
                </w:tcPr>
                <w:p w14:paraId="2ED2D568">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default" w:ascii="Times New Roman" w:hAnsi="Times New Roman" w:eastAsia="宋体" w:cs="Times New Roman"/>
                    </w:rPr>
                    <w:t>建材行业。矿石料场设置防风抑尘网或封闭。石子、页岩、煤矸石、</w:t>
                  </w:r>
                  <w:r>
                    <w:rPr>
                      <w:rFonts w:hint="eastAsia" w:ascii="Times New Roman" w:hAnsi="Times New Roman" w:eastAsia="宋体" w:cs="Times New Roman"/>
                    </w:rPr>
                    <w:t>煤、粘土、矿渣、石膏、炉渣等封闭储存。熟料、粉煤灰、矿粉和除尘灰等密闭储存。石子、页岩、煤等物料破碎、筛分、搅拌、粉磨等设备采取密闭措施，并</w:t>
                  </w:r>
                  <w:r>
                    <w:rPr>
                      <w:rFonts w:hint="default" w:ascii="Times New Roman" w:hAnsi="Times New Roman" w:eastAsia="宋体" w:cs="Times New Roman"/>
                    </w:rPr>
                    <w:t>配备有效集尘除尘设施。袋装水泥包装下料口、装车点位和散装水泥装车配备有</w:t>
                  </w:r>
                  <w:r>
                    <w:rPr>
                      <w:rFonts w:hint="eastAsia" w:ascii="Times New Roman" w:hAnsi="Times New Roman" w:eastAsia="宋体" w:cs="Times New Roman"/>
                    </w:rPr>
                    <w:t>效集尘除尘设施。</w:t>
                  </w:r>
                </w:p>
              </w:tc>
              <w:tc>
                <w:tcPr>
                  <w:tcW w:w="1727" w:type="dxa"/>
                  <w:noWrap w:val="0"/>
                  <w:tcMar>
                    <w:top w:w="0" w:type="dxa"/>
                    <w:left w:w="45" w:type="dxa"/>
                    <w:bottom w:w="0" w:type="dxa"/>
                    <w:right w:w="45" w:type="dxa"/>
                  </w:tcMar>
                  <w:vAlign w:val="center"/>
                </w:tcPr>
                <w:p w14:paraId="10F003DD">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氧化铝微粉用吨包包装，在车间内密闭储存，配备袋式除尘器，且</w:t>
                  </w:r>
                  <w:r>
                    <w:rPr>
                      <w:rFonts w:hint="eastAsia" w:ascii="Times New Roman" w:hAnsi="Times New Roman" w:eastAsia="宋体" w:cs="Times New Roman"/>
                      <w:lang w:val="en-US" w:eastAsia="zh-CN"/>
                    </w:rPr>
                    <w:t>厂区</w:t>
                  </w:r>
                  <w:r>
                    <w:rPr>
                      <w:rFonts w:hint="default" w:ascii="Times New Roman" w:hAnsi="Times New Roman" w:eastAsia="宋体" w:cs="Times New Roman"/>
                      <w:lang w:val="en-US" w:eastAsia="zh-CN"/>
                    </w:rPr>
                    <w:t>内设置洒水降尘。</w:t>
                  </w:r>
                </w:p>
              </w:tc>
              <w:tc>
                <w:tcPr>
                  <w:tcW w:w="678" w:type="dxa"/>
                  <w:noWrap w:val="0"/>
                  <w:tcMar>
                    <w:top w:w="0" w:type="dxa"/>
                    <w:left w:w="45" w:type="dxa"/>
                    <w:bottom w:w="0" w:type="dxa"/>
                    <w:right w:w="45" w:type="dxa"/>
                  </w:tcMar>
                  <w:vAlign w:val="center"/>
                </w:tcPr>
                <w:p w14:paraId="51BE37CF">
                  <w:pPr>
                    <w:keepNext w:val="0"/>
                    <w:keepLines w:val="0"/>
                    <w:suppressLineNumbers w:val="0"/>
                    <w:spacing w:before="0" w:beforeAutospacing="0" w:after="0" w:afterAutospacing="0"/>
                    <w:ind w:left="0" w:right="0"/>
                    <w:jc w:val="center"/>
                    <w:rPr>
                      <w:rFonts w:hint="eastAsia"/>
                    </w:rPr>
                  </w:pPr>
                </w:p>
              </w:tc>
            </w:tr>
          </w:tbl>
          <w:p w14:paraId="753D2430">
            <w:pPr>
              <w:keepNext w:val="0"/>
              <w:keepLines w:val="0"/>
              <w:suppressLineNumbers w:val="0"/>
              <w:spacing w:before="0" w:beforeAutospacing="0" w:after="0" w:afterAutospacing="0" w:line="360" w:lineRule="auto"/>
              <w:ind w:left="0" w:right="0" w:firstLine="456" w:firstLineChars="200"/>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综上，</w:t>
            </w:r>
            <w:r>
              <w:rPr>
                <w:rFonts w:hint="eastAsia" w:cs="Times New Roman"/>
                <w:color w:val="auto"/>
                <w:spacing w:val="-6"/>
                <w:sz w:val="24"/>
                <w:highlight w:val="none"/>
                <w:lang w:eastAsia="zh-CN"/>
              </w:rPr>
              <w:t>本项目</w:t>
            </w:r>
            <w:r>
              <w:rPr>
                <w:rFonts w:hint="default" w:ascii="Times New Roman" w:hAnsi="Times New Roman" w:cs="Times New Roman"/>
                <w:color w:val="auto"/>
                <w:spacing w:val="-6"/>
                <w:sz w:val="24"/>
                <w:highlight w:val="none"/>
              </w:rPr>
              <w:t>符合《山东省生态环境厅关于印发山东省工业企业无组织排放分行业管控指导意见的通知》（鲁环发〔2020〕30号）相关要求。</w:t>
            </w:r>
          </w:p>
          <w:p w14:paraId="1F9AD5F0">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snapToGrid w:val="0"/>
                <w:color w:val="auto"/>
                <w:kern w:val="0"/>
              </w:rPr>
            </w:pPr>
            <w:r>
              <w:rPr>
                <w:rFonts w:hint="eastAsia" w:ascii="Times New Roman" w:hAnsi="Times New Roman" w:eastAsia="宋体"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rPr>
              <w:t>、</w:t>
            </w:r>
            <w:r>
              <w:rPr>
                <w:rFonts w:hint="default" w:ascii="Times New Roman" w:hAnsi="Times New Roman" w:cs="Times New Roman"/>
                <w:b/>
                <w:bCs/>
                <w:snapToGrid w:val="0"/>
                <w:color w:val="auto"/>
                <w:kern w:val="0"/>
              </w:rPr>
              <w:t>与《关于严格项目审批工作坚决防止新上“散乱污”项目的通知》（鲁环字〔2021〕58号）符合性分析</w:t>
            </w:r>
          </w:p>
          <w:p w14:paraId="56C197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napToGrid w:val="0"/>
                <w:color w:val="auto"/>
                <w:kern w:val="0"/>
              </w:rPr>
            </w:pPr>
            <w:r>
              <w:rPr>
                <w:rFonts w:hint="default" w:ascii="Times New Roman" w:hAnsi="Times New Roman" w:cs="Times New Roman"/>
                <w:b/>
                <w:bCs/>
                <w:color w:val="auto"/>
                <w:kern w:val="0"/>
              </w:rPr>
              <w:t>表1-</w:t>
            </w:r>
            <w:r>
              <w:rPr>
                <w:rFonts w:hint="eastAsia" w:cs="Times New Roman"/>
                <w:b/>
                <w:bCs/>
                <w:color w:val="auto"/>
                <w:kern w:val="0"/>
                <w:lang w:val="en-US" w:eastAsia="zh-CN"/>
              </w:rPr>
              <w:t>7</w:t>
            </w:r>
            <w:r>
              <w:rPr>
                <w:rFonts w:hint="default" w:ascii="Times New Roman" w:hAnsi="Times New Roman" w:cs="Times New Roman"/>
                <w:b/>
                <w:color w:val="auto"/>
                <w:szCs w:val="21"/>
              </w:rPr>
              <w:t>符合性分析一览表</w:t>
            </w:r>
          </w:p>
          <w:tbl>
            <w:tblPr>
              <w:tblStyle w:val="36"/>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823"/>
              <w:gridCol w:w="4778"/>
              <w:gridCol w:w="1060"/>
            </w:tblGrid>
            <w:tr w14:paraId="4A4A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1C1F381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5606" w:type="dxa"/>
                  <w:gridSpan w:val="2"/>
                  <w:tcBorders>
                    <w:top w:val="single" w:color="auto" w:sz="2" w:space="0"/>
                    <w:left w:val="single" w:color="auto" w:sz="2" w:space="0"/>
                    <w:bottom w:val="single" w:color="auto" w:sz="2" w:space="0"/>
                    <w:right w:val="single" w:color="auto" w:sz="2" w:space="0"/>
                  </w:tcBorders>
                  <w:noWrap w:val="0"/>
                  <w:vAlign w:val="center"/>
                </w:tcPr>
                <w:p w14:paraId="28D2E3E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snapToGrid w:val="0"/>
                      <w:color w:val="auto"/>
                      <w:kern w:val="0"/>
                    </w:rPr>
                    <w:t>关于严格项目审批工作坚决防止新上“散乱污”项目的通知</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28F530E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项目符合情况</w:t>
                  </w:r>
                </w:p>
              </w:tc>
            </w:tr>
            <w:tr w14:paraId="644B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2D134EE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824" w:type="dxa"/>
                  <w:tcBorders>
                    <w:top w:val="single" w:color="auto" w:sz="2" w:space="0"/>
                    <w:left w:val="single" w:color="auto" w:sz="2" w:space="0"/>
                    <w:bottom w:val="single" w:color="auto" w:sz="2" w:space="0"/>
                    <w:right w:val="single" w:color="auto" w:sz="2" w:space="0"/>
                  </w:tcBorders>
                  <w:noWrap w:val="0"/>
                  <w:vAlign w:val="center"/>
                </w:tcPr>
                <w:p w14:paraId="4132180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认真贯彻执行产业政策 </w:t>
                  </w:r>
                </w:p>
              </w:tc>
              <w:tc>
                <w:tcPr>
                  <w:tcW w:w="4782" w:type="dxa"/>
                  <w:tcBorders>
                    <w:top w:val="single" w:color="auto" w:sz="2" w:space="0"/>
                    <w:left w:val="single" w:color="auto" w:sz="2" w:space="0"/>
                    <w:bottom w:val="single" w:color="auto" w:sz="2" w:space="0"/>
                    <w:right w:val="single" w:color="auto" w:sz="2" w:space="0"/>
                  </w:tcBorders>
                  <w:noWrap w:val="0"/>
                  <w:vAlign w:val="center"/>
                </w:tcPr>
                <w:p w14:paraId="671C827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新上项目必须符合国家产业政策要求，禁止采用国家公布的淘汰工艺和落后设备，不得引进耗能高、污染大、生产粗放、不符合国家产业政策的项目。各级立项部门在为企业办理手续时，要认真对照《产业结构调整指导目录</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24</w:t>
                  </w:r>
                  <w:r>
                    <w:rPr>
                      <w:rFonts w:hint="default" w:ascii="Times New Roman" w:hAnsi="Times New Roman" w:cs="Times New Roman"/>
                      <w:color w:val="auto"/>
                      <w:szCs w:val="21"/>
                    </w:rPr>
                    <w:t>年本</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如有更新，以更新后文件为准</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对鼓励类项目，按照有关规定审批、核准或备案；对限制类项目，禁止新建，现有生产能力允许在一定期限内改造升级；对淘汰类项目，市场主体不得进入，行政机关不予审批。</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5D66116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E2E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2FDE9D8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824" w:type="dxa"/>
                  <w:tcBorders>
                    <w:top w:val="single" w:color="auto" w:sz="2" w:space="0"/>
                    <w:left w:val="single" w:color="auto" w:sz="2" w:space="0"/>
                    <w:bottom w:val="single" w:color="auto" w:sz="2" w:space="0"/>
                    <w:right w:val="single" w:color="auto" w:sz="2" w:space="0"/>
                  </w:tcBorders>
                  <w:noWrap w:val="0"/>
                  <w:vAlign w:val="center"/>
                </w:tcPr>
                <w:p w14:paraId="6611F2B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强化规划刚性约束</w:t>
                  </w:r>
                </w:p>
              </w:tc>
              <w:tc>
                <w:tcPr>
                  <w:tcW w:w="4782" w:type="dxa"/>
                  <w:tcBorders>
                    <w:top w:val="single" w:color="auto" w:sz="2" w:space="0"/>
                    <w:left w:val="single" w:color="auto" w:sz="2" w:space="0"/>
                    <w:bottom w:val="single" w:color="auto" w:sz="2" w:space="0"/>
                    <w:right w:val="single" w:color="auto" w:sz="2" w:space="0"/>
                  </w:tcBorders>
                  <w:noWrap w:val="0"/>
                  <w:vAlign w:val="center"/>
                </w:tcPr>
                <w:p w14:paraId="38F4AA2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新上项目必须符合国土空间规划、 产业发展规划等要求，积极引导产业园区外“散乱污”整治搬迁改造企业进入产业园区或工业集聚区，并鼓励租赁标准厂房。按照 “布局集中、用地集约、产业集聚、空间优化”的原则，高标准制 定产业发展规划，明确主导产业、布局和产业发展方向，引导企业规范化、规模化、集约化发展。</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2D8A8D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本项目位于工业聚集区</w:t>
                  </w:r>
                  <w:r>
                    <w:rPr>
                      <w:rFonts w:hint="eastAsia" w:cs="Times New Roman"/>
                      <w:color w:val="000000" w:themeColor="text1"/>
                      <w:szCs w:val="21"/>
                      <w:highlight w:val="none"/>
                      <w:lang w:val="en-US" w:eastAsia="zh-CN"/>
                      <w14:textFill>
                        <w14:solidFill>
                          <w14:schemeClr w14:val="tx1"/>
                        </w14:solidFill>
                      </w14:textFill>
                    </w:rPr>
                    <w:t>（证明文件见附件）</w:t>
                  </w:r>
                </w:p>
              </w:tc>
            </w:tr>
            <w:tr w14:paraId="4FE4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0F241D2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824" w:type="dxa"/>
                  <w:tcBorders>
                    <w:top w:val="single" w:color="auto" w:sz="2" w:space="0"/>
                    <w:left w:val="single" w:color="auto" w:sz="2" w:space="0"/>
                    <w:bottom w:val="single" w:color="auto" w:sz="2" w:space="0"/>
                    <w:right w:val="single" w:color="auto" w:sz="2" w:space="0"/>
                  </w:tcBorders>
                  <w:noWrap w:val="0"/>
                  <w:vAlign w:val="center"/>
                </w:tcPr>
                <w:p w14:paraId="4011F06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科学把好项目选址关</w:t>
                  </w:r>
                </w:p>
              </w:tc>
              <w:tc>
                <w:tcPr>
                  <w:tcW w:w="4782" w:type="dxa"/>
                  <w:tcBorders>
                    <w:top w:val="single" w:color="auto" w:sz="2" w:space="0"/>
                    <w:left w:val="single" w:color="auto" w:sz="2" w:space="0"/>
                    <w:bottom w:val="single" w:color="auto" w:sz="2" w:space="0"/>
                    <w:right w:val="single" w:color="auto" w:sz="2" w:space="0"/>
                  </w:tcBorders>
                  <w:noWrap w:val="0"/>
                  <w:vAlign w:val="center"/>
                </w:tcPr>
                <w:p w14:paraId="50CB3F9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新建有污染物排放的工业项目，除在安全生产等方面有特殊要求的以外，应当进入工业园区或工业集聚区。各市要本着节约利用土地的原则，充分考虑项目周边环境、资金投入、推进速度等关键要素，合理选址，科学布局，切实做到符合用地政策，确保规划建设的项目有利于长远发展。</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4AB75BD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本项目位于工业聚集区</w:t>
                  </w:r>
                  <w:r>
                    <w:rPr>
                      <w:rFonts w:hint="eastAsia" w:cs="Times New Roman"/>
                      <w:color w:val="000000" w:themeColor="text1"/>
                      <w:szCs w:val="21"/>
                      <w:highlight w:val="none"/>
                      <w:lang w:val="en-US" w:eastAsia="zh-CN"/>
                      <w14:textFill>
                        <w14:solidFill>
                          <w14:schemeClr w14:val="tx1"/>
                        </w14:solidFill>
                      </w14:textFill>
                    </w:rPr>
                    <w:t>（证明文件见附件）</w:t>
                  </w:r>
                </w:p>
              </w:tc>
            </w:tr>
            <w:tr w14:paraId="0241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654A95A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824" w:type="dxa"/>
                  <w:tcBorders>
                    <w:top w:val="single" w:color="auto" w:sz="2" w:space="0"/>
                    <w:left w:val="single" w:color="auto" w:sz="2" w:space="0"/>
                    <w:bottom w:val="single" w:color="auto" w:sz="2" w:space="0"/>
                    <w:right w:val="single" w:color="auto" w:sz="2" w:space="0"/>
                  </w:tcBorders>
                  <w:noWrap w:val="0"/>
                  <w:vAlign w:val="center"/>
                </w:tcPr>
                <w:p w14:paraId="27FA6B2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严把项目环评审批关</w:t>
                  </w:r>
                </w:p>
              </w:tc>
              <w:tc>
                <w:tcPr>
                  <w:tcW w:w="4782" w:type="dxa"/>
                  <w:tcBorders>
                    <w:top w:val="single" w:color="auto" w:sz="2" w:space="0"/>
                    <w:left w:val="single" w:color="auto" w:sz="2" w:space="0"/>
                    <w:bottom w:val="single" w:color="auto" w:sz="2" w:space="0"/>
                    <w:right w:val="single" w:color="auto" w:sz="2" w:space="0"/>
                  </w:tcBorders>
                  <w:noWrap w:val="0"/>
                  <w:vAlign w:val="center"/>
                </w:tcPr>
                <w:p w14:paraId="053242A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新上项目必须严格执行环评审批“三挂钩”机制和“五个不批”要求，落实“三线一单”生态环境分区管控要求。强化替代约束，涉及主要污染物排放的，必须落实区域污染物排放替代，确保增产减污；涉及煤炭消耗的，必须落实煤炭消费减量替代，否则各级环评审批部门一律不予审批通过。</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5576121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按要求执行</w:t>
                  </w:r>
                </w:p>
              </w:tc>
            </w:tr>
            <w:tr w14:paraId="42B6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5659CFB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824" w:type="dxa"/>
                  <w:tcBorders>
                    <w:top w:val="single" w:color="auto" w:sz="2" w:space="0"/>
                    <w:left w:val="single" w:color="auto" w:sz="2" w:space="0"/>
                    <w:bottom w:val="single" w:color="auto" w:sz="2" w:space="0"/>
                    <w:right w:val="single" w:color="auto" w:sz="2" w:space="0"/>
                  </w:tcBorders>
                  <w:noWrap w:val="0"/>
                  <w:vAlign w:val="center"/>
                </w:tcPr>
                <w:p w14:paraId="279DE93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建立部门联动协调机制</w:t>
                  </w:r>
                </w:p>
              </w:tc>
              <w:tc>
                <w:tcPr>
                  <w:tcW w:w="4782" w:type="dxa"/>
                  <w:tcBorders>
                    <w:top w:val="single" w:color="auto" w:sz="2" w:space="0"/>
                    <w:left w:val="single" w:color="auto" w:sz="2" w:space="0"/>
                    <w:bottom w:val="single" w:color="auto" w:sz="2" w:space="0"/>
                    <w:right w:val="single" w:color="auto" w:sz="2" w:space="0"/>
                  </w:tcBorders>
                  <w:noWrap w:val="0"/>
                  <w:vAlign w:val="center"/>
                </w:tcPr>
                <w:p w14:paraId="44DCCE31">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 xml:space="preserve">各级发展改革、工业和信息化、自然资源、生态环境等部门要按照职责分工，建立长效工作机制，密切配合，强化对项目产业政策、固定资产投资、能耗、用地标准、环境等的论证，对不符合要求的，一律不得办理立项、规划、土地、环评等手续。 </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2F30201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按要求执行</w:t>
                  </w:r>
                </w:p>
              </w:tc>
            </w:tr>
            <w:tr w14:paraId="1137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op w:val="single" w:color="auto" w:sz="2" w:space="0"/>
                    <w:left w:val="single" w:color="auto" w:sz="2" w:space="0"/>
                    <w:bottom w:val="single" w:color="auto" w:sz="2" w:space="0"/>
                    <w:right w:val="single" w:color="auto" w:sz="2" w:space="0"/>
                  </w:tcBorders>
                  <w:noWrap w:val="0"/>
                  <w:vAlign w:val="center"/>
                </w:tcPr>
                <w:p w14:paraId="7C54C4B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824" w:type="dxa"/>
                  <w:tcBorders>
                    <w:top w:val="single" w:color="auto" w:sz="2" w:space="0"/>
                    <w:left w:val="single" w:color="auto" w:sz="2" w:space="0"/>
                    <w:bottom w:val="single" w:color="auto" w:sz="2" w:space="0"/>
                    <w:right w:val="single" w:color="auto" w:sz="2" w:space="0"/>
                  </w:tcBorders>
                  <w:noWrap w:val="0"/>
                  <w:vAlign w:val="center"/>
                </w:tcPr>
                <w:p w14:paraId="03F2D1F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强化日常监管执法</w:t>
                  </w:r>
                </w:p>
              </w:tc>
              <w:tc>
                <w:tcPr>
                  <w:tcW w:w="4782" w:type="dxa"/>
                  <w:tcBorders>
                    <w:top w:val="single" w:color="auto" w:sz="2" w:space="0"/>
                    <w:left w:val="single" w:color="auto" w:sz="2" w:space="0"/>
                    <w:bottom w:val="single" w:color="auto" w:sz="2" w:space="0"/>
                    <w:right w:val="single" w:color="auto" w:sz="2" w:space="0"/>
                  </w:tcBorders>
                  <w:noWrap w:val="0"/>
                  <w:vAlign w:val="center"/>
                </w:tcPr>
                <w:p w14:paraId="0212748E">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持续加大对违反产业政策、规划、准入规定等违法违规建设行为的查处力度，坚决遏制“未批先建”等违法行为。畅通群众举报投诉渠道，对“散乱污”项目做到早发现、早应对、早处置，严防死灰复燃。</w:t>
                  </w:r>
                </w:p>
              </w:tc>
              <w:tc>
                <w:tcPr>
                  <w:tcW w:w="1061" w:type="dxa"/>
                  <w:tcBorders>
                    <w:top w:val="single" w:color="auto" w:sz="2" w:space="0"/>
                    <w:left w:val="single" w:color="auto" w:sz="2" w:space="0"/>
                    <w:bottom w:val="single" w:color="auto" w:sz="2" w:space="0"/>
                    <w:right w:val="single" w:color="auto" w:sz="2" w:space="0"/>
                  </w:tcBorders>
                  <w:noWrap w:val="0"/>
                  <w:vAlign w:val="center"/>
                </w:tcPr>
                <w:p w14:paraId="296338E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按要求执行</w:t>
                  </w:r>
                </w:p>
              </w:tc>
            </w:tr>
          </w:tbl>
          <w:p w14:paraId="14895751">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 w:val="24"/>
                <w:highlight w:val="none"/>
              </w:rPr>
            </w:pPr>
            <w:r>
              <w:rPr>
                <w:rFonts w:hint="default" w:ascii="Times New Roman" w:hAnsi="Times New Roman" w:cs="Times New Roman"/>
                <w:snapToGrid w:val="0"/>
                <w:color w:val="auto"/>
                <w:kern w:val="0"/>
              </w:rPr>
              <w:t>由上表可知，项目的建设符合《关于严格项目审批工作坚决防止新上“散乱污”项目的通知》（鲁环字〔2021〕58号）要求。</w:t>
            </w:r>
          </w:p>
          <w:p w14:paraId="54AF837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Cs w:val="21"/>
                <w:highlight w:val="none"/>
                <w:lang w:val="en-US" w:eastAsia="zh-CN"/>
              </w:rPr>
            </w:pPr>
            <w:r>
              <w:rPr>
                <w:rFonts w:hint="eastAsia" w:cs="Times New Roman"/>
                <w:b/>
                <w:bCs/>
                <w:color w:val="auto"/>
                <w:sz w:val="24"/>
                <w:highlight w:val="none"/>
                <w:lang w:val="en-US" w:eastAsia="zh-CN"/>
              </w:rPr>
              <w:t>9</w:t>
            </w:r>
            <w:r>
              <w:rPr>
                <w:rFonts w:hint="default" w:ascii="Times New Roman" w:hAnsi="Times New Roman"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与《山东省“十四五”生态环境保护规划》符合性分析</w:t>
            </w:r>
          </w:p>
          <w:p w14:paraId="34E1070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表1-</w:t>
            </w:r>
            <w:r>
              <w:rPr>
                <w:rFonts w:hint="eastAsia" w:cs="Times New Roman"/>
                <w:b/>
                <w:color w:val="auto"/>
                <w:szCs w:val="21"/>
                <w:highlight w:val="none"/>
                <w:lang w:val="en-US" w:eastAsia="zh-CN"/>
              </w:rPr>
              <w:t>8</w:t>
            </w:r>
            <w:r>
              <w:rPr>
                <w:rFonts w:hint="default" w:ascii="Times New Roman" w:hAnsi="Times New Roman" w:eastAsia="宋体" w:cs="Times New Roman"/>
                <w:b/>
                <w:color w:val="auto"/>
                <w:szCs w:val="21"/>
                <w:highlight w:val="none"/>
                <w:lang w:val="en-US" w:eastAsia="zh-CN"/>
              </w:rPr>
              <w:t>符合性分析一览表</w:t>
            </w:r>
          </w:p>
          <w:tbl>
            <w:tblPr>
              <w:tblStyle w:val="36"/>
              <w:tblW w:w="4994" w:type="pct"/>
              <w:tblInd w:w="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825"/>
              <w:gridCol w:w="1641"/>
            </w:tblGrid>
            <w:tr w14:paraId="142A6E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277" w:type="dxa"/>
                  <w:noWrap w:val="0"/>
                  <w:vAlign w:val="center"/>
                </w:tcPr>
                <w:p w14:paraId="7698952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文件要求</w:t>
                  </w:r>
                </w:p>
              </w:tc>
              <w:tc>
                <w:tcPr>
                  <w:tcW w:w="1487" w:type="dxa"/>
                  <w:noWrap w:val="0"/>
                  <w:vAlign w:val="center"/>
                </w:tcPr>
                <w:p w14:paraId="67C2C37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本项目情况</w:t>
                  </w:r>
                </w:p>
              </w:tc>
            </w:tr>
            <w:tr w14:paraId="210362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277" w:type="dxa"/>
                  <w:noWrap w:val="0"/>
                  <w:vAlign w:val="center"/>
                </w:tcPr>
                <w:p w14:paraId="5A746ACA">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坚决淘汰落后动能。严格落实《产业结构调整指导目录》加快推动“淘汰类”生产工艺和产品退出。精准聚焦钢铁、地炼、焦化、煤电、水泥、轮胎、煤炭、化工等8个重点行业，加快淘汰低效落后动能。进一步健全并严格落实环保、安全、技术、能耗、效益标准，各市制定具体措施，重点围绕再生橡胶、废旧塑料再生、砖瓦、石灰、石膏等行业，分类组织实施转移、压减、整合、关停任务，推动低效落后产能退出。</w:t>
                  </w:r>
                </w:p>
              </w:tc>
              <w:tc>
                <w:tcPr>
                  <w:tcW w:w="1487" w:type="dxa"/>
                  <w:noWrap w:val="0"/>
                  <w:vAlign w:val="center"/>
                </w:tcPr>
                <w:p w14:paraId="6A560A76">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本项目不属于《产业结构调整指导目录</w:t>
                  </w:r>
                  <w:r>
                    <w:rPr>
                      <w:rFonts w:hint="default" w:ascii="Times New Roman" w:hAnsi="Times New Roman" w:cs="Times New Roman"/>
                      <w:color w:val="auto"/>
                      <w:szCs w:val="21"/>
                      <w:lang w:val="en-US" w:eastAsia="zh-CN"/>
                    </w:rPr>
                    <w:t>（2024年本）</w:t>
                  </w:r>
                  <w:r>
                    <w:rPr>
                      <w:rFonts w:hint="default" w:ascii="Times New Roman" w:hAnsi="Times New Roman" w:cs="Times New Roman"/>
                      <w:color w:val="auto"/>
                      <w:szCs w:val="21"/>
                    </w:rPr>
                    <w:t>》中的“淘汰类”，不属于8个重点行业；符合。</w:t>
                  </w:r>
                </w:p>
              </w:tc>
            </w:tr>
            <w:tr w14:paraId="1872B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277" w:type="dxa"/>
                  <w:noWrap w:val="0"/>
                  <w:vAlign w:val="center"/>
                </w:tcPr>
                <w:p w14:paraId="4F031802">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着力提高工业园区绿色化水平。提高铸造、有色、化工、砖瓦、玻璃、耐火材料、陶瓷、制革、印染等行业的园区集聚水平，深入推进园区循环化改造。</w:t>
                  </w:r>
                </w:p>
              </w:tc>
              <w:tc>
                <w:tcPr>
                  <w:tcW w:w="1487" w:type="dxa"/>
                  <w:noWrap w:val="0"/>
                  <w:vAlign w:val="center"/>
                </w:tcPr>
                <w:p w14:paraId="639782BD">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本项目不属于所列行业；符合。</w:t>
                  </w:r>
                </w:p>
              </w:tc>
            </w:tr>
            <w:tr w14:paraId="3C4C08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277" w:type="dxa"/>
                  <w:noWrap w:val="0"/>
                  <w:vAlign w:val="center"/>
                </w:tcPr>
                <w:p w14:paraId="6D39D238">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bCs/>
                      <w:color w:val="auto"/>
                      <w:spacing w:val="-6"/>
                      <w:sz w:val="21"/>
                      <w:szCs w:val="21"/>
                    </w:rPr>
                  </w:pPr>
                  <w:r>
                    <w:rPr>
                      <w:rFonts w:hint="default" w:ascii="Times New Roman" w:hAnsi="Times New Roman" w:cs="Times New Roman"/>
                      <w:bCs/>
                      <w:color w:val="auto"/>
                      <w:spacing w:val="-6"/>
                      <w:sz w:val="21"/>
                      <w:szCs w:val="21"/>
                    </w:rPr>
                    <w:t>优化能源供给结构。积极推进能源生产和消费革命，加快构建清洁低碳安全高效能源体系，推进能源低碳化转型。严控化石能源消费总量，推动煤炭等化石能源清洁高效利用。实施可再生能源替代行动，加快推进风电、光伏、生物质等可再生能源发展。</w:t>
                  </w:r>
                </w:p>
              </w:tc>
              <w:tc>
                <w:tcPr>
                  <w:tcW w:w="1487" w:type="dxa"/>
                  <w:noWrap w:val="0"/>
                  <w:vAlign w:val="center"/>
                </w:tcPr>
                <w:p w14:paraId="19C2BADB">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本项目使用的能源为电</w:t>
                  </w:r>
                  <w:r>
                    <w:rPr>
                      <w:rFonts w:hint="default" w:ascii="Times New Roman" w:hAnsi="Times New Roman" w:eastAsia="宋体" w:cs="Times New Roman"/>
                      <w:color w:val="auto"/>
                      <w:szCs w:val="21"/>
                      <w:lang w:val="en-US" w:eastAsia="zh-CN"/>
                    </w:rPr>
                    <w:t>能</w:t>
                  </w:r>
                  <w:r>
                    <w:rPr>
                      <w:rFonts w:hint="default" w:ascii="Times New Roman" w:hAnsi="Times New Roman" w:eastAsia="宋体" w:cs="Times New Roman"/>
                      <w:color w:val="auto"/>
                      <w:szCs w:val="21"/>
                    </w:rPr>
                    <w:t>；符合。</w:t>
                  </w:r>
                </w:p>
              </w:tc>
            </w:tr>
          </w:tbl>
          <w:p w14:paraId="7E21F61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32"/>
                <w:highlight w:val="none"/>
              </w:rPr>
            </w:pPr>
            <w:r>
              <w:rPr>
                <w:rFonts w:hint="default" w:ascii="Times New Roman" w:hAnsi="Times New Roman" w:eastAsia="宋体" w:cs="Times New Roman"/>
                <w:snapToGrid w:val="0"/>
                <w:color w:val="auto"/>
                <w:kern w:val="0"/>
                <w:sz w:val="24"/>
                <w:szCs w:val="32"/>
                <w:highlight w:val="none"/>
              </w:rPr>
              <w:t>综上，本项目建设符合《山东省“十四五”生态环境保护规划》要求。</w:t>
            </w:r>
          </w:p>
          <w:p w14:paraId="4C35E9DF">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0</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与《山东省空气</w:t>
            </w:r>
            <w:r>
              <w:rPr>
                <w:rFonts w:hint="default" w:ascii="Times New Roman" w:hAnsi="Times New Roman" w:eastAsia="宋体" w:cs="Times New Roman"/>
                <w:b/>
                <w:bCs/>
                <w:color w:val="auto"/>
                <w:sz w:val="24"/>
                <w:highlight w:val="none"/>
                <w:lang w:val="en-US" w:eastAsia="zh-CN"/>
              </w:rPr>
              <w:t>质量</w:t>
            </w:r>
            <w:r>
              <w:rPr>
                <w:rFonts w:hint="default" w:ascii="Times New Roman" w:hAnsi="Times New Roman" w:eastAsia="宋体" w:cs="Times New Roman"/>
                <w:b/>
                <w:bCs/>
                <w:color w:val="auto"/>
                <w:sz w:val="24"/>
                <w:highlight w:val="none"/>
              </w:rPr>
              <w:t>持续改善暨第三轮“四减四增”行动实施方案》符合性分析</w:t>
            </w:r>
          </w:p>
          <w:p w14:paraId="2B881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Cs w:val="21"/>
                <w:highlight w:val="none"/>
                <w:lang w:val="en-US" w:eastAsia="zh-CN"/>
              </w:rPr>
              <w:t>表1-</w:t>
            </w:r>
            <w:r>
              <w:rPr>
                <w:rFonts w:hint="eastAsia" w:cs="Times New Roman"/>
                <w:b/>
                <w:color w:val="auto"/>
                <w:szCs w:val="21"/>
                <w:highlight w:val="none"/>
                <w:lang w:val="en-US" w:eastAsia="zh-CN"/>
              </w:rPr>
              <w:t>9</w:t>
            </w:r>
            <w:r>
              <w:rPr>
                <w:rFonts w:hint="default" w:ascii="Times New Roman" w:hAnsi="Times New Roman" w:eastAsia="宋体" w:cs="Times New Roman"/>
                <w:b/>
                <w:color w:val="auto"/>
                <w:szCs w:val="21"/>
                <w:highlight w:val="none"/>
                <w:lang w:val="en-US" w:eastAsia="zh-CN"/>
              </w:rPr>
              <w:t>与《山东省空气质量持续改善暨第三轮“四减四增”行动实施方案》的符合性分析</w:t>
            </w:r>
          </w:p>
          <w:tbl>
            <w:tblPr>
              <w:tblStyle w:val="3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4743"/>
              <w:gridCol w:w="1325"/>
              <w:gridCol w:w="826"/>
            </w:tblGrid>
            <w:tr w14:paraId="2DDE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dxa"/>
                  <w:noWrap w:val="0"/>
                  <w:vAlign w:val="center"/>
                </w:tcPr>
                <w:p w14:paraId="356C943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lang w:val="zh-CN"/>
                    </w:rPr>
                    <w:t>序号</w:t>
                  </w:r>
                </w:p>
              </w:tc>
              <w:tc>
                <w:tcPr>
                  <w:tcW w:w="5220" w:type="dxa"/>
                  <w:noWrap w:val="0"/>
                  <w:vAlign w:val="center"/>
                </w:tcPr>
                <w:p w14:paraId="204E062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文件要求</w:t>
                  </w:r>
                </w:p>
              </w:tc>
              <w:tc>
                <w:tcPr>
                  <w:tcW w:w="1458" w:type="dxa"/>
                  <w:noWrap w:val="0"/>
                  <w:vAlign w:val="center"/>
                </w:tcPr>
                <w:p w14:paraId="71609F8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lang w:val="zh-CN"/>
                    </w:rPr>
                    <w:t>项目情况</w:t>
                  </w:r>
                </w:p>
              </w:tc>
              <w:tc>
                <w:tcPr>
                  <w:tcW w:w="908" w:type="dxa"/>
                  <w:noWrap w:val="0"/>
                  <w:vAlign w:val="center"/>
                </w:tcPr>
                <w:p w14:paraId="59F7E94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lang w:val="zh-CN"/>
                    </w:rPr>
                    <w:t>符合性</w:t>
                  </w:r>
                </w:p>
              </w:tc>
            </w:tr>
            <w:tr w14:paraId="5E9A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dxa"/>
                  <w:noWrap w:val="0"/>
                  <w:vAlign w:val="center"/>
                </w:tcPr>
                <w:p w14:paraId="304E51B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220" w:type="dxa"/>
                  <w:noWrap w:val="0"/>
                  <w:vAlign w:val="center"/>
                </w:tcPr>
                <w:p w14:paraId="69804A37">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t>（一）严格环境准入。坚决遏制高耗能、高排放、低水平项目盲目上马，新、改、扩建项目严格落实国家和省产业规划、产业政策、生态环境分区管控方案、规划环评、项目环评、规划水土保持审查、节能审查、产能置换、重点污染物总量控制、污染物排放区域削减、碳排放达峰目标等相关要求，原则上采用清洁运输方式。涉及产能置换的项目，被置换产能及其配套设施关停后，新建项目方可投产。严格落实国家粗钢产量调控目标。推行钢铁、焦化、烧结一体化布局，有序引导高炉—转炉长流程炼钢转型为电炉短流程炼钢，到2025年，电炉钢占比达到7%左右。多措并举治理环保领域低价低质中标乱象，营造公平竞争环境，推动产业健康有序发展。</w:t>
                  </w:r>
                </w:p>
              </w:tc>
              <w:tc>
                <w:tcPr>
                  <w:tcW w:w="1458" w:type="dxa"/>
                  <w:noWrap w:val="0"/>
                  <w:vAlign w:val="center"/>
                </w:tcPr>
                <w:p w14:paraId="3477E1F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本项目不属于高耗能、高排放、低水平项目，项目建设符合国家及地方产业政策，项目不涉及产能置换，不涉及钢铁、焦化等行业。</w:t>
                  </w:r>
                </w:p>
              </w:tc>
              <w:tc>
                <w:tcPr>
                  <w:tcW w:w="908" w:type="dxa"/>
                  <w:noWrap w:val="0"/>
                  <w:vAlign w:val="center"/>
                </w:tcPr>
                <w:p w14:paraId="552A47C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176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dxa"/>
                  <w:noWrap w:val="0"/>
                  <w:vAlign w:val="center"/>
                </w:tcPr>
                <w:p w14:paraId="5C01E1E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5220" w:type="dxa"/>
                  <w:noWrap w:val="0"/>
                  <w:vAlign w:val="center"/>
                </w:tcPr>
                <w:p w14:paraId="0D58DCEF">
                  <w:pPr>
                    <w:keepNext w:val="0"/>
                    <w:keepLines w:val="0"/>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t>优化调整重点行业结构。重点区域进一步提高落后产能能耗、环保、质量、安全、技术等要求，逐步退出限制类涉气行业工艺和装备；逐步淘汰步进式烧结机和球团竖炉以及半封闭式硅锰合金、镍铁、高碳铬铁、高碳锰铁电炉。引导钢铁、水泥、焦化、电解铝等产业有序调整优化。到2025年，2500吨/日水泥熟料生产线（特种水泥熟料和化工配套水泥熟料生产线除外）全部整合退出。2024年年底前，济宁、滨州、菏泽3市完成焦化退出装置关停；2025年6月底前，济南、枣庄、潍坊、泰安、日照、德州6市完成焦化退出装置关停，全省焦化装置产能压减至3300万吨左右</w:t>
                  </w:r>
                </w:p>
              </w:tc>
              <w:tc>
                <w:tcPr>
                  <w:tcW w:w="1458" w:type="dxa"/>
                  <w:noWrap w:val="0"/>
                  <w:vAlign w:val="center"/>
                </w:tcPr>
                <w:p w14:paraId="66BE49C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本项目不属于落后产能项目，不属于钢铁、水泥、焦化、电解铝等产业项目。</w:t>
                  </w:r>
                </w:p>
              </w:tc>
              <w:tc>
                <w:tcPr>
                  <w:tcW w:w="908" w:type="dxa"/>
                  <w:noWrap w:val="0"/>
                  <w:vAlign w:val="center"/>
                </w:tcPr>
                <w:p w14:paraId="46FEB26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1C83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dxa"/>
                  <w:noWrap w:val="0"/>
                  <w:vAlign w:val="center"/>
                </w:tcPr>
                <w:p w14:paraId="6839BD5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5220" w:type="dxa"/>
                  <w:noWrap w:val="0"/>
                  <w:vAlign w:val="center"/>
                </w:tcPr>
                <w:p w14:paraId="2B3FA0CD">
                  <w:pPr>
                    <w:keepNext w:val="0"/>
                    <w:keepLines w:val="0"/>
                    <w:suppressLineNumbers w:val="0"/>
                    <w:spacing w:before="0" w:beforeAutospacing="0" w:after="0" w:afterAutospacing="0"/>
                    <w:ind w:left="0" w:right="0"/>
                    <w:jc w:val="left"/>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开展传统产业集群升级改造。中小型传统制造企业集中的市要制定涉气产业集群发展规划，严格项目审批，严防污染下乡。针对现有产业集群制定专项整治方案，依法淘汰关停一批、搬迁入园一批、就地改造一批、做优做强一批。各市要结合产业集群特点，因地制宜建设集中供热中心、集中喷涂中心、有机溶剂集中回收处置中心、活性炭集中再生中心。</w:t>
                  </w:r>
                </w:p>
              </w:tc>
              <w:tc>
                <w:tcPr>
                  <w:tcW w:w="1458" w:type="dxa"/>
                  <w:noWrap w:val="0"/>
                  <w:vAlign w:val="center"/>
                </w:tcPr>
                <w:p w14:paraId="36D7280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本项目选址符合区域要求，废气处置措施合理有效。</w:t>
                  </w:r>
                </w:p>
              </w:tc>
              <w:tc>
                <w:tcPr>
                  <w:tcW w:w="908" w:type="dxa"/>
                  <w:noWrap w:val="0"/>
                  <w:vAlign w:val="center"/>
                </w:tcPr>
                <w:p w14:paraId="47890FD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503D37A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32"/>
                <w:highlight w:val="none"/>
              </w:rPr>
            </w:pPr>
          </w:p>
          <w:p w14:paraId="64721EB1">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snapToGrid w:val="0"/>
                <w:color w:val="auto"/>
                <w:kern w:val="0"/>
                <w:sz w:val="24"/>
                <w:szCs w:val="32"/>
                <w:highlight w:val="none"/>
                <w:lang w:val="en-US" w:eastAsia="zh-CN"/>
              </w:rPr>
            </w:pPr>
          </w:p>
          <w:p w14:paraId="173D2406">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snapToGrid w:val="0"/>
                <w:color w:val="auto"/>
                <w:kern w:val="0"/>
                <w:sz w:val="24"/>
                <w:szCs w:val="32"/>
                <w:highlight w:val="none"/>
                <w:lang w:val="en-US" w:eastAsia="zh-CN"/>
              </w:rPr>
            </w:pPr>
          </w:p>
        </w:tc>
      </w:tr>
    </w:tbl>
    <w:p w14:paraId="6ED23E1C">
      <w:pPr>
        <w:spacing w:line="360" w:lineRule="auto"/>
        <w:rPr>
          <w:rFonts w:hint="default" w:ascii="Times New Roman" w:hAnsi="Times New Roman" w:eastAsia="黑体" w:cs="Times New Roman"/>
          <w:color w:val="auto"/>
          <w:sz w:val="30"/>
          <w:highlight w:val="none"/>
        </w:rPr>
        <w:sectPr>
          <w:footerReference r:id="rId5" w:type="default"/>
          <w:pgSz w:w="11906" w:h="16838"/>
          <w:pgMar w:top="1417" w:right="1134" w:bottom="1417" w:left="1134"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715E8769">
      <w:pPr>
        <w:pStyle w:val="3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jc w:val="center"/>
        <w:textAlignment w:val="auto"/>
        <w:outlineLvl w:val="0"/>
        <w:rPr>
          <w:rFonts w:hint="default" w:ascii="Times New Roman" w:hAnsi="Times New Roman" w:eastAsia="黑体" w:cs="Times New Roman"/>
          <w:snapToGrid w:val="0"/>
          <w:color w:val="auto"/>
          <w:sz w:val="30"/>
          <w:szCs w:val="30"/>
          <w:highlight w:val="none"/>
        </w:rPr>
      </w:pPr>
      <w:bookmarkStart w:id="8" w:name="_Toc21987"/>
      <w:bookmarkStart w:id="9" w:name="_Toc3780"/>
      <w:bookmarkStart w:id="10" w:name="_Toc14989"/>
      <w:r>
        <w:rPr>
          <w:rFonts w:hint="default" w:ascii="Times New Roman" w:hAnsi="Times New Roman" w:eastAsia="黑体" w:cs="Times New Roman"/>
          <w:snapToGrid w:val="0"/>
          <w:color w:val="auto"/>
          <w:sz w:val="30"/>
          <w:szCs w:val="30"/>
          <w:highlight w:val="none"/>
        </w:rPr>
        <w:t>二、建设项目工程分析</w:t>
      </w:r>
      <w:bookmarkEnd w:id="8"/>
      <w:bookmarkEnd w:id="9"/>
      <w:bookmarkEnd w:id="10"/>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3"/>
        <w:gridCol w:w="8951"/>
      </w:tblGrid>
      <w:tr w14:paraId="2B04D1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4126A6BB">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4"/>
                <w:highlight w:val="none"/>
              </w:rPr>
              <w:t>建设内容</w:t>
            </w:r>
          </w:p>
        </w:tc>
        <w:tc>
          <w:tcPr>
            <w:tcW w:w="8161" w:type="dxa"/>
            <w:noWrap w:val="0"/>
            <w:vAlign w:val="top"/>
          </w:tcPr>
          <w:p w14:paraId="064C53A6">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一、项目由来</w:t>
            </w:r>
          </w:p>
          <w:p w14:paraId="2BBB6D38">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lang w:eastAsia="zh-CN"/>
              </w:rPr>
            </w:pPr>
            <w:r>
              <w:rPr>
                <w:rFonts w:hint="default" w:ascii="Times New Roman" w:hAnsi="Times New Roman" w:cs="Times New Roman"/>
                <w:color w:val="auto"/>
                <w:sz w:val="24"/>
                <w:szCs w:val="32"/>
                <w:highlight w:val="none"/>
                <w:lang w:eastAsia="zh-CN"/>
              </w:rPr>
              <w:t>山东鑫瓷新材料有限公司成立于2025年09月17日，注册地位于山东省淄博市淄川区罗村镇大王庄村村委西500米，法定代表人为杜猛。经营范围包括一般项目：新材料技术推广服务；非金属矿物制品制造；非金属矿及制品销售；金属基复合材料和陶瓷基复合材料销售；耐火材料销售；新型膜材料制造；新型膜材料销售；高性能纤维及复合材料制造；高性能纤维及复合材料销售；新型陶瓷材料销售；电子专用材料研发；电子专用材料制造；电子专用材料销售；技术服务、技术开发、技术咨询、技术交流、技术转让、技术推广；新材料技术研发；技术进出口；货物进出口。（除依法须经批准的项目外，凭营业执照依法自主开展经营活动）</w:t>
            </w:r>
          </w:p>
          <w:p w14:paraId="275D9E7B">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eastAsia" w:cs="Times New Roman"/>
                <w:color w:val="auto"/>
                <w:sz w:val="24"/>
                <w:szCs w:val="32"/>
                <w:highlight w:val="none"/>
                <w:lang w:eastAsia="zh-CN"/>
              </w:rPr>
              <w:t>山东鑫瓷新材料有限公司</w:t>
            </w:r>
            <w:r>
              <w:rPr>
                <w:rFonts w:hint="default" w:ascii="Times New Roman" w:hAnsi="Times New Roman" w:eastAsia="宋体" w:cs="Times New Roman"/>
                <w:color w:val="auto"/>
                <w:sz w:val="24"/>
                <w:szCs w:val="32"/>
                <w:highlight w:val="none"/>
                <w:lang w:eastAsia="zh-CN"/>
              </w:rPr>
              <w:t>租</w:t>
            </w:r>
            <w:r>
              <w:rPr>
                <w:rFonts w:hint="default" w:ascii="Times New Roman" w:hAnsi="Times New Roman" w:cs="Times New Roman"/>
                <w:color w:val="auto"/>
                <w:sz w:val="24"/>
                <w:szCs w:val="32"/>
                <w:highlight w:val="none"/>
              </w:rPr>
              <w:t>赁</w:t>
            </w:r>
            <w:r>
              <w:rPr>
                <w:rFonts w:hint="eastAsia" w:cs="Times New Roman"/>
                <w:color w:val="auto"/>
                <w:sz w:val="24"/>
                <w:szCs w:val="32"/>
                <w:highlight w:val="none"/>
                <w:lang w:val="en-US" w:eastAsia="zh-CN"/>
              </w:rPr>
              <w:t>淄川区罗村镇大王庄村村委西500米院内</w:t>
            </w:r>
            <w:r>
              <w:rPr>
                <w:rFonts w:hint="eastAsia" w:ascii="Times New Roman" w:hAnsi="Times New Roman" w:eastAsia="宋体" w:cs="Times New Roman"/>
                <w:color w:val="auto"/>
                <w:sz w:val="24"/>
                <w:szCs w:val="32"/>
                <w:highlight w:val="none"/>
                <w:lang w:val="en-US" w:eastAsia="zh-CN"/>
              </w:rPr>
              <w:t>现有厂房</w:t>
            </w:r>
            <w:r>
              <w:rPr>
                <w:rFonts w:hint="default" w:ascii="Times New Roman" w:hAnsi="Times New Roman" w:eastAsia="宋体" w:cs="Times New Roman"/>
                <w:color w:val="auto"/>
                <w:sz w:val="24"/>
                <w:szCs w:val="32"/>
                <w:highlight w:val="none"/>
                <w:lang w:val="en-US" w:eastAsia="zh-CN"/>
              </w:rPr>
              <w:t>，利用</w:t>
            </w:r>
            <w:r>
              <w:rPr>
                <w:rFonts w:hint="eastAsia" w:ascii="Times New Roman" w:hAnsi="Times New Roman" w:eastAsia="宋体" w:cs="Times New Roman"/>
                <w:color w:val="auto"/>
                <w:sz w:val="24"/>
                <w:szCs w:val="32"/>
                <w:highlight w:val="none"/>
                <w:lang w:val="en-US" w:eastAsia="zh-CN"/>
              </w:rPr>
              <w:t>现有</w:t>
            </w:r>
            <w:r>
              <w:rPr>
                <w:rFonts w:hint="eastAsia" w:cs="Times New Roman"/>
                <w:color w:val="auto"/>
                <w:sz w:val="24"/>
                <w:szCs w:val="32"/>
                <w:highlight w:val="none"/>
                <w:lang w:val="en-US" w:eastAsia="zh-CN"/>
              </w:rPr>
              <w:t>厂区</w:t>
            </w:r>
            <w:r>
              <w:rPr>
                <w:rFonts w:hint="default" w:ascii="Times New Roman" w:hAnsi="Times New Roman" w:eastAsia="宋体" w:cs="Times New Roman"/>
                <w:color w:val="auto"/>
                <w:sz w:val="24"/>
                <w:szCs w:val="32"/>
                <w:highlight w:val="none"/>
                <w:lang w:val="en-US" w:eastAsia="zh-CN"/>
              </w:rPr>
              <w:t>约</w:t>
            </w:r>
            <w:r>
              <w:rPr>
                <w:rFonts w:hint="eastAsia" w:cs="Times New Roman"/>
                <w:color w:val="auto"/>
                <w:sz w:val="24"/>
                <w:szCs w:val="32"/>
                <w:highlight w:val="none"/>
                <w:lang w:val="en-US" w:eastAsia="zh-CN"/>
              </w:rPr>
              <w:t>5000</w:t>
            </w:r>
            <w:r>
              <w:rPr>
                <w:rFonts w:hint="default" w:ascii="Times New Roman" w:hAnsi="Times New Roman" w:eastAsia="宋体" w:cs="Times New Roman"/>
                <w:color w:val="auto"/>
                <w:sz w:val="24"/>
                <w:szCs w:val="32"/>
                <w:highlight w:val="none"/>
                <w:lang w:val="en-US" w:eastAsia="zh-CN"/>
              </w:rPr>
              <w:t>平方米，</w:t>
            </w:r>
            <w:r>
              <w:rPr>
                <w:rFonts w:hint="eastAsia" w:cs="Times New Roman"/>
                <w:color w:val="auto"/>
                <w:sz w:val="24"/>
                <w:szCs w:val="32"/>
                <w:highlight w:val="none"/>
                <w:lang w:val="en-US" w:eastAsia="zh-CN"/>
              </w:rPr>
              <w:t>对现有车间进行改建，</w:t>
            </w:r>
            <w:r>
              <w:rPr>
                <w:rFonts w:hint="default" w:ascii="Times New Roman" w:hAnsi="Times New Roman" w:eastAsia="宋体" w:cs="Times New Roman"/>
                <w:color w:val="auto"/>
                <w:sz w:val="24"/>
                <w:szCs w:val="32"/>
                <w:highlight w:val="none"/>
                <w:lang w:val="en-US" w:eastAsia="zh-CN"/>
              </w:rPr>
              <w:t>购置</w:t>
            </w:r>
            <w:r>
              <w:rPr>
                <w:rFonts w:hint="eastAsia" w:cs="Times New Roman"/>
                <w:color w:val="auto"/>
                <w:sz w:val="24"/>
                <w:szCs w:val="32"/>
                <w:highlight w:val="none"/>
                <w:lang w:val="en-US" w:eastAsia="zh-CN"/>
              </w:rPr>
              <w:t>解聚均化搅拌机6套、磁选机2套、球磨机12套、气流筛分机2套</w:t>
            </w:r>
            <w:r>
              <w:rPr>
                <w:rFonts w:hint="default" w:ascii="Times New Roman" w:hAnsi="Times New Roman" w:eastAsia="宋体" w:cs="Times New Roman"/>
                <w:color w:val="auto"/>
                <w:sz w:val="24"/>
                <w:szCs w:val="32"/>
                <w:highlight w:val="none"/>
                <w:lang w:val="en-US" w:eastAsia="zh-CN"/>
              </w:rPr>
              <w:t>及配套设备。项目建完成后，具备</w:t>
            </w:r>
            <w:r>
              <w:rPr>
                <w:rFonts w:hint="eastAsia" w:cs="Times New Roman"/>
                <w:color w:val="auto"/>
                <w:sz w:val="24"/>
                <w:szCs w:val="32"/>
                <w:highlight w:val="none"/>
                <w:lang w:val="en-US" w:eastAsia="zh-CN"/>
              </w:rPr>
              <w:t>年产2万吨新能源电池用高纯晶体纳米新材料</w:t>
            </w:r>
            <w:r>
              <w:rPr>
                <w:rFonts w:hint="default" w:ascii="Times New Roman" w:hAnsi="Times New Roman" w:cs="Times New Roman"/>
                <w:color w:val="auto"/>
                <w:sz w:val="24"/>
                <w:highlight w:val="none"/>
                <w:lang w:val="en-US" w:eastAsia="zh-CN"/>
              </w:rPr>
              <w:t>产能。</w:t>
            </w:r>
          </w:p>
          <w:p w14:paraId="48A37281">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根据《产业结构调整指导目录（2024年本）》，本项目不属于鼓励类、限制类和禁止类项目，属于允许类。</w:t>
            </w:r>
          </w:p>
          <w:p w14:paraId="5796751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cs="Times New Roman"/>
                <w:bCs/>
                <w:color w:val="auto"/>
                <w:sz w:val="24"/>
                <w:highlight w:val="none"/>
              </w:rPr>
              <w:t>根据《中华人民共和国环境保护法</w:t>
            </w:r>
            <w:r>
              <w:rPr>
                <w:rFonts w:hint="default" w:ascii="Times New Roman" w:hAnsi="Times New Roman" w:eastAsia="宋体" w:cs="Times New Roman"/>
                <w:bCs/>
                <w:color w:val="auto"/>
                <w:sz w:val="24"/>
                <w:highlight w:val="none"/>
              </w:rPr>
              <w:t>》、《中华人民共和国环境影响评价法》以及《建设项目环境保护管理条例》，本项目应进行环境影响评价，从环保角度论证该项目的环境可行性。根据《建设项目环境影响评价分类管理名录》（2021年版），本项目属于</w:t>
            </w:r>
            <w:r>
              <w:rPr>
                <w:rFonts w:hint="default" w:ascii="Times New Roman" w:hAnsi="Times New Roman" w:eastAsia="宋体" w:cs="Times New Roman"/>
                <w:bCs/>
                <w:color w:val="auto"/>
                <w:sz w:val="24"/>
                <w:highlight w:val="none"/>
                <w:lang w:eastAsia="zh-CN"/>
              </w:rPr>
              <w:t>“</w:t>
            </w:r>
            <w:r>
              <w:rPr>
                <w:rFonts w:hint="eastAsia" w:cs="Times New Roman"/>
                <w:bCs/>
                <w:color w:val="auto"/>
                <w:sz w:val="24"/>
                <w:highlight w:val="none"/>
                <w:lang w:val="en-US" w:eastAsia="zh-CN"/>
              </w:rPr>
              <w:t>二十七、非金属矿物制品业30、60石墨及其他非金属矿物制品制造309、其他</w:t>
            </w:r>
            <w:r>
              <w:rPr>
                <w:rFonts w:hint="default"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rPr>
              <w:t>应编制环境影响报告表。</w:t>
            </w:r>
          </w:p>
          <w:p w14:paraId="6A2E81D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本项目属于</w:t>
            </w:r>
            <w:r>
              <w:rPr>
                <w:rFonts w:hint="eastAsia" w:cs="Times New Roman"/>
                <w:bCs/>
                <w:color w:val="auto"/>
                <w:sz w:val="24"/>
                <w:highlight w:val="none"/>
                <w:lang w:val="en-US" w:eastAsia="zh-CN"/>
              </w:rPr>
              <w:t>C3099其他非金属矿物制品制造</w:t>
            </w:r>
            <w:r>
              <w:rPr>
                <w:rFonts w:hint="default" w:ascii="Times New Roman" w:hAnsi="Times New Roman" w:eastAsia="宋体" w:cs="Times New Roman"/>
                <w:bCs/>
                <w:color w:val="auto"/>
                <w:sz w:val="24"/>
                <w:highlight w:val="none"/>
                <w:lang w:val="en-US" w:eastAsia="zh-CN"/>
              </w:rPr>
              <w:t>，依据《危险化学品目录（2022调整版）》（应急部等十部门公告2022年第8号）本项目不属于危险化学品生产企业。</w:t>
            </w:r>
          </w:p>
          <w:p w14:paraId="5F8D778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cs="Times New Roman"/>
                <w:bCs/>
                <w:color w:val="auto"/>
                <w:sz w:val="24"/>
                <w:highlight w:val="none"/>
                <w:lang w:eastAsia="zh-CN"/>
              </w:rPr>
              <w:t>山东鑫瓷新材料有限公司</w:t>
            </w:r>
            <w:r>
              <w:rPr>
                <w:rFonts w:hint="default" w:ascii="Times New Roman" w:hAnsi="Times New Roman" w:eastAsia="宋体" w:cs="Times New Roman"/>
                <w:bCs/>
                <w:color w:val="auto"/>
                <w:sz w:val="24"/>
                <w:highlight w:val="none"/>
              </w:rPr>
              <w:t>委托我单位进行本</w:t>
            </w:r>
            <w:r>
              <w:rPr>
                <w:rFonts w:hint="default" w:ascii="Times New Roman" w:hAnsi="Times New Roman" w:cs="Times New Roman"/>
                <w:bCs/>
                <w:color w:val="auto"/>
                <w:sz w:val="24"/>
                <w:highlight w:val="none"/>
              </w:rPr>
              <w:t>项目环境影响报告表编制工作。接受委托后，我公司立即组织有关人员进行现场踏勘，详细了解与收集了该项目的有关资料，按照国家有关环评技术规范要求，结合该项目的特点，编制、完成了本项目环境影响报告表</w:t>
            </w:r>
            <w:r>
              <w:rPr>
                <w:rFonts w:hint="default" w:ascii="Times New Roman" w:hAnsi="Times New Roman" w:cs="Times New Roman"/>
                <w:color w:val="auto"/>
                <w:sz w:val="24"/>
                <w:highlight w:val="none"/>
              </w:rPr>
              <w:t>。</w:t>
            </w:r>
          </w:p>
          <w:p w14:paraId="7A8EA653">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二、工程概况</w:t>
            </w:r>
          </w:p>
          <w:p w14:paraId="77724C1E">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cs="Times New Roman"/>
                <w:color w:val="auto"/>
                <w:sz w:val="24"/>
                <w:szCs w:val="32"/>
                <w:highlight w:val="none"/>
              </w:rPr>
              <w:t>1、项目名称：</w:t>
            </w:r>
            <w:r>
              <w:rPr>
                <w:rFonts w:hint="eastAsia" w:cs="Times New Roman"/>
                <w:color w:val="auto"/>
                <w:sz w:val="24"/>
                <w:szCs w:val="32"/>
                <w:highlight w:val="none"/>
                <w:lang w:eastAsia="zh-CN"/>
              </w:rPr>
              <w:t>山东鑫瓷新材料有限公司年产2万吨新能源电池用高纯晶体纳米新材料项目</w:t>
            </w:r>
          </w:p>
          <w:p w14:paraId="6286DF7D">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2、建设性质：新建</w:t>
            </w:r>
          </w:p>
          <w:p w14:paraId="60F2066B">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cs="Times New Roman"/>
                <w:color w:val="auto"/>
                <w:sz w:val="24"/>
                <w:szCs w:val="32"/>
                <w:highlight w:val="none"/>
              </w:rPr>
              <w:t>3、建设地点：项目位于</w:t>
            </w:r>
            <w:r>
              <w:rPr>
                <w:rFonts w:hint="eastAsia" w:cs="Times New Roman"/>
                <w:color w:val="auto"/>
                <w:sz w:val="24"/>
                <w:highlight w:val="none"/>
                <w:lang w:val="en-US" w:eastAsia="zh-CN"/>
              </w:rPr>
              <w:t>淄川区罗村镇大王庄村村委西500米厂房</w:t>
            </w:r>
            <w:r>
              <w:rPr>
                <w:rFonts w:hint="default" w:ascii="Times New Roman" w:hAnsi="Times New Roman" w:eastAsia="宋体" w:cs="Times New Roman"/>
                <w:color w:val="auto"/>
                <w:sz w:val="24"/>
                <w:szCs w:val="32"/>
                <w:highlight w:val="none"/>
                <w:lang w:val="en-US" w:eastAsia="zh-CN"/>
              </w:rPr>
              <w:t>。</w:t>
            </w:r>
            <w:r>
              <w:rPr>
                <w:rFonts w:hint="default" w:ascii="Times New Roman" w:hAnsi="Times New Roman" w:cs="Times New Roman"/>
                <w:color w:val="auto"/>
                <w:sz w:val="24"/>
                <w:szCs w:val="32"/>
                <w:highlight w:val="none"/>
              </w:rPr>
              <w:t>项目具体地理位置见附图1。</w:t>
            </w:r>
          </w:p>
          <w:p w14:paraId="3DA2A920">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4、工作制度：本项目劳动定员</w:t>
            </w:r>
            <w:r>
              <w:rPr>
                <w:rFonts w:hint="eastAsia" w:cs="Times New Roman"/>
                <w:color w:val="auto"/>
                <w:sz w:val="24"/>
                <w:szCs w:val="32"/>
                <w:highlight w:val="none"/>
                <w:lang w:val="en-US" w:eastAsia="zh-CN"/>
              </w:rPr>
              <w:t>15</w:t>
            </w:r>
            <w:r>
              <w:rPr>
                <w:rFonts w:hint="default" w:ascii="Times New Roman" w:hAnsi="Times New Roman" w:cs="Times New Roman"/>
                <w:color w:val="auto"/>
                <w:sz w:val="24"/>
                <w:szCs w:val="32"/>
                <w:highlight w:val="none"/>
              </w:rPr>
              <w:t>人，</w:t>
            </w:r>
            <w:r>
              <w:rPr>
                <w:rFonts w:hint="eastAsia" w:ascii="Times New Roman" w:hAnsi="Times New Roman" w:cs="Times New Roman"/>
                <w:color w:val="auto"/>
                <w:sz w:val="24"/>
                <w:szCs w:val="32"/>
                <w:highlight w:val="none"/>
                <w:lang w:val="en-US" w:eastAsia="zh-CN"/>
              </w:rPr>
              <w:t>一</w:t>
            </w:r>
            <w:r>
              <w:rPr>
                <w:rFonts w:hint="default" w:ascii="Times New Roman" w:hAnsi="Times New Roman" w:cs="Times New Roman"/>
                <w:color w:val="auto"/>
                <w:sz w:val="24"/>
                <w:szCs w:val="32"/>
                <w:highlight w:val="none"/>
                <w:lang w:val="en-US" w:eastAsia="zh-CN"/>
              </w:rPr>
              <w:t>班</w:t>
            </w:r>
            <w:r>
              <w:rPr>
                <w:rFonts w:hint="default" w:ascii="Times New Roman" w:hAnsi="Times New Roman" w:cs="Times New Roman"/>
                <w:color w:val="auto"/>
                <w:sz w:val="24"/>
                <w:szCs w:val="32"/>
                <w:highlight w:val="none"/>
              </w:rPr>
              <w:t>工作制，</w:t>
            </w:r>
            <w:r>
              <w:rPr>
                <w:rFonts w:hint="eastAsia" w:ascii="Times New Roman" w:hAnsi="Times New Roman" w:cs="Times New Roman"/>
                <w:color w:val="auto"/>
                <w:sz w:val="24"/>
                <w:szCs w:val="32"/>
                <w:highlight w:val="none"/>
                <w:lang w:val="en-US" w:eastAsia="zh-CN"/>
              </w:rPr>
              <w:t>每班8h，</w:t>
            </w:r>
            <w:r>
              <w:rPr>
                <w:rFonts w:hint="default" w:ascii="Times New Roman" w:hAnsi="Times New Roman" w:cs="Times New Roman"/>
                <w:color w:val="auto"/>
                <w:sz w:val="24"/>
                <w:szCs w:val="32"/>
                <w:highlight w:val="none"/>
              </w:rPr>
              <w:t>年工作300天，折合</w:t>
            </w:r>
            <w:r>
              <w:rPr>
                <w:rFonts w:hint="eastAsia" w:ascii="Times New Roman" w:hAnsi="Times New Roman" w:cs="Times New Roman"/>
                <w:color w:val="auto"/>
                <w:sz w:val="24"/>
                <w:szCs w:val="32"/>
                <w:highlight w:val="none"/>
                <w:lang w:val="en-US" w:eastAsia="zh-CN"/>
              </w:rPr>
              <w:t>24</w:t>
            </w:r>
            <w:r>
              <w:rPr>
                <w:rFonts w:hint="default" w:ascii="Times New Roman" w:hAnsi="Times New Roman" w:cs="Times New Roman"/>
                <w:color w:val="auto"/>
                <w:sz w:val="24"/>
                <w:szCs w:val="32"/>
                <w:highlight w:val="none"/>
              </w:rPr>
              <w:t>00h/a。</w:t>
            </w:r>
          </w:p>
          <w:p w14:paraId="46566418">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三、项目组成见下表</w:t>
            </w:r>
          </w:p>
          <w:p w14:paraId="3DAD590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表2-1 项目</w:t>
            </w:r>
            <w:r>
              <w:rPr>
                <w:rFonts w:hint="default" w:ascii="Times New Roman" w:hAnsi="Times New Roman" w:eastAsia="宋体" w:cs="Times New Roman"/>
                <w:b/>
                <w:color w:val="auto"/>
                <w:szCs w:val="21"/>
                <w:highlight w:val="none"/>
                <w:lang w:val="en-US" w:eastAsia="zh-CN"/>
              </w:rPr>
              <w:t>组成</w:t>
            </w:r>
            <w:r>
              <w:rPr>
                <w:rFonts w:hint="default" w:ascii="Times New Roman" w:hAnsi="Times New Roman" w:cs="Times New Roman"/>
                <w:b/>
                <w:bCs/>
                <w:color w:val="auto"/>
                <w:highlight w:val="none"/>
              </w:rPr>
              <w:t>情况一览表</w:t>
            </w:r>
          </w:p>
          <w:tbl>
            <w:tblPr>
              <w:tblStyle w:val="36"/>
              <w:tblW w:w="496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5"/>
              <w:gridCol w:w="1150"/>
              <w:gridCol w:w="5613"/>
              <w:gridCol w:w="773"/>
            </w:tblGrid>
            <w:tr w14:paraId="180BDF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135" w:type="dxa"/>
                  <w:tcBorders>
                    <w:tl2br w:val="nil"/>
                    <w:tr2bl w:val="nil"/>
                  </w:tcBorders>
                  <w:noWrap w:val="0"/>
                  <w:vAlign w:val="center"/>
                </w:tcPr>
                <w:p w14:paraId="48C817C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类别</w:t>
                  </w:r>
                </w:p>
              </w:tc>
              <w:tc>
                <w:tcPr>
                  <w:tcW w:w="1150" w:type="dxa"/>
                  <w:tcBorders>
                    <w:tl2br w:val="nil"/>
                    <w:tr2bl w:val="nil"/>
                  </w:tcBorders>
                  <w:noWrap w:val="0"/>
                  <w:vAlign w:val="center"/>
                </w:tcPr>
                <w:p w14:paraId="1A4F7E2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建设工程</w:t>
                  </w:r>
                </w:p>
              </w:tc>
              <w:tc>
                <w:tcPr>
                  <w:tcW w:w="5615" w:type="dxa"/>
                  <w:tcBorders>
                    <w:tl2br w:val="nil"/>
                    <w:tr2bl w:val="nil"/>
                  </w:tcBorders>
                  <w:noWrap w:val="0"/>
                  <w:vAlign w:val="center"/>
                </w:tcPr>
                <w:p w14:paraId="5FD8B51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建设内容</w:t>
                  </w:r>
                </w:p>
              </w:tc>
              <w:tc>
                <w:tcPr>
                  <w:tcW w:w="773" w:type="dxa"/>
                  <w:tcBorders>
                    <w:tl2br w:val="nil"/>
                    <w:tr2bl w:val="nil"/>
                  </w:tcBorders>
                  <w:noWrap w:val="0"/>
                  <w:vAlign w:val="center"/>
                </w:tcPr>
                <w:p w14:paraId="2D37E99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备注</w:t>
                  </w:r>
                </w:p>
              </w:tc>
            </w:tr>
            <w:tr w14:paraId="449763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tcBorders>
                    <w:tl2br w:val="nil"/>
                    <w:tr2bl w:val="nil"/>
                  </w:tcBorders>
                  <w:noWrap w:val="0"/>
                  <w:vAlign w:val="center"/>
                </w:tcPr>
                <w:p w14:paraId="4E15E0E8">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主体工程</w:t>
                  </w:r>
                </w:p>
              </w:tc>
              <w:tc>
                <w:tcPr>
                  <w:tcW w:w="1150" w:type="dxa"/>
                  <w:tcBorders>
                    <w:tl2br w:val="nil"/>
                    <w:tr2bl w:val="nil"/>
                  </w:tcBorders>
                  <w:noWrap w:val="0"/>
                  <w:vAlign w:val="center"/>
                </w:tcPr>
                <w:p w14:paraId="25D66DB5">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生产车间</w:t>
                  </w:r>
                </w:p>
              </w:tc>
              <w:tc>
                <w:tcPr>
                  <w:tcW w:w="5615" w:type="dxa"/>
                  <w:tcBorders>
                    <w:tl2br w:val="nil"/>
                    <w:tr2bl w:val="nil"/>
                  </w:tcBorders>
                  <w:noWrap w:val="0"/>
                  <w:vAlign w:val="center"/>
                </w:tcPr>
                <w:p w14:paraId="1BC7AF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占地</w:t>
                  </w:r>
                  <w:r>
                    <w:rPr>
                      <w:rFonts w:hint="eastAsia" w:cs="Times New Roman"/>
                      <w:color w:val="auto"/>
                      <w:highlight w:val="none"/>
                      <w:lang w:val="en-US" w:eastAsia="zh-CN"/>
                    </w:rPr>
                    <w:t>25</w:t>
                  </w:r>
                  <w:r>
                    <w:rPr>
                      <w:rFonts w:hint="default" w:ascii="Times New Roman" w:hAnsi="Times New Roman" w:eastAsia="宋体" w:cs="Times New Roman"/>
                      <w:color w:val="auto"/>
                      <w:highlight w:val="none"/>
                    </w:rPr>
                    <w:t>00m</w:t>
                  </w:r>
                  <w:r>
                    <w:rPr>
                      <w:rFonts w:hint="default" w:ascii="Times New Roman" w:hAnsi="Times New Roman" w:eastAsia="宋体" w:cs="Times New Roman"/>
                      <w:color w:val="auto"/>
                      <w:highlight w:val="none"/>
                      <w:vertAlign w:val="superscript"/>
                    </w:rPr>
                    <w:t>2</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高度约10m</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位于</w:t>
                  </w:r>
                  <w:r>
                    <w:rPr>
                      <w:rFonts w:hint="eastAsia" w:cs="Times New Roman"/>
                      <w:color w:val="auto"/>
                      <w:highlight w:val="none"/>
                      <w:lang w:val="en-US" w:eastAsia="zh-CN"/>
                    </w:rPr>
                    <w:t>厂区内西</w:t>
                  </w:r>
                  <w:r>
                    <w:rPr>
                      <w:rFonts w:hint="eastAsia" w:ascii="Times New Roman" w:hAnsi="Times New Roman" w:eastAsia="宋体" w:cs="Times New Roman"/>
                      <w:color w:val="auto"/>
                      <w:highlight w:val="none"/>
                      <w:lang w:val="en-US" w:eastAsia="zh-CN"/>
                    </w:rPr>
                    <w:t>侧，内置</w:t>
                  </w:r>
                  <w:r>
                    <w:rPr>
                      <w:rFonts w:hint="eastAsia" w:cs="Times New Roman"/>
                      <w:color w:val="auto"/>
                      <w:highlight w:val="none"/>
                      <w:lang w:val="en-US" w:eastAsia="zh-CN"/>
                    </w:rPr>
                    <w:t>解聚均化搅拌机6套、磁选机2套、球磨机12套、气流筛分机2套</w:t>
                  </w:r>
                  <w:r>
                    <w:rPr>
                      <w:rFonts w:hint="default" w:ascii="Times New Roman" w:hAnsi="Times New Roman" w:eastAsia="宋体" w:cs="Times New Roman"/>
                      <w:color w:val="auto"/>
                      <w:highlight w:val="none"/>
                      <w:lang w:val="en-US" w:eastAsia="zh-CN"/>
                    </w:rPr>
                    <w:t>及配套设备</w:t>
                  </w:r>
                </w:p>
              </w:tc>
              <w:tc>
                <w:tcPr>
                  <w:tcW w:w="773" w:type="dxa"/>
                  <w:tcBorders>
                    <w:tl2br w:val="nil"/>
                    <w:tr2bl w:val="nil"/>
                  </w:tcBorders>
                  <w:noWrap w:val="0"/>
                  <w:vAlign w:val="center"/>
                </w:tcPr>
                <w:p w14:paraId="0DCEBA5B">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新建</w:t>
                  </w:r>
                </w:p>
              </w:tc>
            </w:tr>
            <w:tr w14:paraId="265082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tcBorders>
                    <w:tl2br w:val="nil"/>
                    <w:tr2bl w:val="nil"/>
                  </w:tcBorders>
                  <w:noWrap w:val="0"/>
                  <w:vAlign w:val="center"/>
                </w:tcPr>
                <w:p w14:paraId="40E979E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储运工程</w:t>
                  </w:r>
                </w:p>
              </w:tc>
              <w:tc>
                <w:tcPr>
                  <w:tcW w:w="1150" w:type="dxa"/>
                  <w:tcBorders>
                    <w:tl2br w:val="nil"/>
                    <w:tr2bl w:val="nil"/>
                  </w:tcBorders>
                  <w:shd w:val="clear" w:color="auto" w:fill="auto"/>
                  <w:noWrap w:val="0"/>
                  <w:vAlign w:val="center"/>
                </w:tcPr>
                <w:p w14:paraId="3F24E9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仓库</w:t>
                  </w:r>
                </w:p>
              </w:tc>
              <w:tc>
                <w:tcPr>
                  <w:tcW w:w="5615" w:type="dxa"/>
                  <w:tcBorders>
                    <w:tl2br w:val="nil"/>
                    <w:tr2bl w:val="nil"/>
                  </w:tcBorders>
                  <w:shd w:val="clear" w:color="auto" w:fill="auto"/>
                  <w:noWrap w:val="0"/>
                  <w:vAlign w:val="center"/>
                </w:tcPr>
                <w:p w14:paraId="40B98B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占地</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00m</w:t>
                  </w:r>
                  <w:r>
                    <w:rPr>
                      <w:rFonts w:hint="default" w:ascii="Times New Roman" w:hAnsi="Times New Roman" w:eastAsia="宋体" w:cs="Times New Roman"/>
                      <w:color w:val="auto"/>
                      <w:sz w:val="21"/>
                      <w:szCs w:val="21"/>
                      <w:highlight w:val="none"/>
                      <w:vertAlign w:val="superscript"/>
                    </w:rPr>
                    <w:t>2</w:t>
                  </w:r>
                  <w:r>
                    <w:rPr>
                      <w:rFonts w:hint="eastAsia"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高度约10m</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highlight w:val="none"/>
                      <w:lang w:val="en-US" w:eastAsia="zh-CN"/>
                    </w:rPr>
                    <w:t>位于</w:t>
                  </w:r>
                  <w:r>
                    <w:rPr>
                      <w:rFonts w:hint="eastAsia" w:cs="Times New Roman"/>
                      <w:color w:val="auto"/>
                      <w:highlight w:val="none"/>
                      <w:lang w:val="en-US" w:eastAsia="zh-CN"/>
                    </w:rPr>
                    <w:t>厂区内东</w:t>
                  </w:r>
                  <w:r>
                    <w:rPr>
                      <w:rFonts w:hint="eastAsia" w:ascii="Times New Roman" w:hAnsi="Times New Roman" w:eastAsia="宋体" w:cs="Times New Roman"/>
                      <w:color w:val="auto"/>
                      <w:highlight w:val="none"/>
                      <w:lang w:val="en-US" w:eastAsia="zh-CN"/>
                    </w:rPr>
                    <w:t>侧，</w:t>
                  </w:r>
                  <w:r>
                    <w:rPr>
                      <w:rFonts w:hint="default" w:ascii="Times New Roman" w:hAnsi="Times New Roman" w:cs="Times New Roman"/>
                      <w:color w:val="auto"/>
                      <w:sz w:val="21"/>
                      <w:szCs w:val="21"/>
                      <w:highlight w:val="none"/>
                    </w:rPr>
                    <w:t>主要存放原料</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成品</w:t>
                  </w:r>
                </w:p>
              </w:tc>
              <w:tc>
                <w:tcPr>
                  <w:tcW w:w="773" w:type="dxa"/>
                  <w:tcBorders>
                    <w:tl2br w:val="nil"/>
                    <w:tr2bl w:val="nil"/>
                  </w:tcBorders>
                  <w:noWrap w:val="0"/>
                  <w:vAlign w:val="center"/>
                </w:tcPr>
                <w:p w14:paraId="635D63AE">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新建</w:t>
                  </w:r>
                </w:p>
              </w:tc>
            </w:tr>
            <w:tr w14:paraId="249E0F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32" w:hRule="atLeast"/>
                <w:jc w:val="center"/>
              </w:trPr>
              <w:tc>
                <w:tcPr>
                  <w:tcW w:w="1135" w:type="dxa"/>
                  <w:tcBorders>
                    <w:tl2br w:val="nil"/>
                    <w:tr2bl w:val="nil"/>
                  </w:tcBorders>
                  <w:noWrap w:val="0"/>
                  <w:vAlign w:val="center"/>
                </w:tcPr>
                <w:p w14:paraId="0ABA95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辅助工程</w:t>
                  </w:r>
                </w:p>
              </w:tc>
              <w:tc>
                <w:tcPr>
                  <w:tcW w:w="1150" w:type="dxa"/>
                  <w:tcBorders>
                    <w:tl2br w:val="nil"/>
                    <w:tr2bl w:val="nil"/>
                  </w:tcBorders>
                  <w:noWrap w:val="0"/>
                  <w:vAlign w:val="center"/>
                </w:tcPr>
                <w:p w14:paraId="0BDB2C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办公室</w:t>
                  </w:r>
                </w:p>
              </w:tc>
              <w:tc>
                <w:tcPr>
                  <w:tcW w:w="5615" w:type="dxa"/>
                  <w:tcBorders>
                    <w:tl2br w:val="nil"/>
                    <w:tr2bl w:val="nil"/>
                  </w:tcBorders>
                  <w:noWrap w:val="0"/>
                  <w:vAlign w:val="center"/>
                </w:tcPr>
                <w:p w14:paraId="314184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rPr>
                    <w:t>占地</w:t>
                  </w:r>
                  <w:r>
                    <w:rPr>
                      <w:rFonts w:hint="eastAsia" w:cs="Times New Roman"/>
                      <w:color w:val="auto"/>
                      <w:highlight w:val="none"/>
                      <w:lang w:val="en-US" w:eastAsia="zh-CN"/>
                    </w:rPr>
                    <w:t>24</w:t>
                  </w:r>
                  <w:r>
                    <w:rPr>
                      <w:rFonts w:hint="default" w:ascii="Times New Roman" w:hAnsi="Times New Roman" w:eastAsia="宋体" w:cs="Times New Roman"/>
                      <w:color w:val="auto"/>
                      <w:highlight w:val="none"/>
                    </w:rPr>
                    <w:t>0m</w:t>
                  </w:r>
                  <w:r>
                    <w:rPr>
                      <w:rFonts w:hint="default" w:ascii="Times New Roman" w:hAnsi="Times New Roman" w:eastAsia="宋体" w:cs="Times New Roman"/>
                      <w:color w:val="auto"/>
                      <w:highlight w:val="none"/>
                      <w:vertAlign w:val="superscript"/>
                    </w:rPr>
                    <w:t>2</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高度约4m</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位于</w:t>
                  </w:r>
                  <w:r>
                    <w:rPr>
                      <w:rFonts w:hint="eastAsia" w:cs="Times New Roman"/>
                      <w:color w:val="auto"/>
                      <w:highlight w:val="none"/>
                      <w:lang w:val="en-US" w:eastAsia="zh-CN"/>
                    </w:rPr>
                    <w:t>厂区内东南</w:t>
                  </w:r>
                  <w:r>
                    <w:rPr>
                      <w:rFonts w:hint="eastAsia" w:ascii="Times New Roman" w:hAnsi="Times New Roman" w:eastAsia="宋体" w:cs="Times New Roman"/>
                      <w:color w:val="auto"/>
                      <w:highlight w:val="none"/>
                      <w:lang w:val="en-US" w:eastAsia="zh-CN"/>
                    </w:rPr>
                    <w:t>侧，用于厂区职工的日常办公和公司管理</w:t>
                  </w:r>
                </w:p>
              </w:tc>
              <w:tc>
                <w:tcPr>
                  <w:tcW w:w="773" w:type="dxa"/>
                  <w:tcBorders>
                    <w:tl2br w:val="nil"/>
                    <w:tr2bl w:val="nil"/>
                  </w:tcBorders>
                  <w:noWrap w:val="0"/>
                  <w:vAlign w:val="center"/>
                </w:tcPr>
                <w:p w14:paraId="52B36C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依托现有</w:t>
                  </w:r>
                </w:p>
              </w:tc>
            </w:tr>
            <w:tr w14:paraId="69BDC5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restart"/>
                  <w:tcBorders>
                    <w:tl2br w:val="nil"/>
                    <w:tr2bl w:val="nil"/>
                  </w:tcBorders>
                  <w:noWrap w:val="0"/>
                  <w:vAlign w:val="center"/>
                </w:tcPr>
                <w:p w14:paraId="767C356F">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公用工程</w:t>
                  </w:r>
                </w:p>
              </w:tc>
              <w:tc>
                <w:tcPr>
                  <w:tcW w:w="1150" w:type="dxa"/>
                  <w:tcBorders>
                    <w:tl2br w:val="nil"/>
                    <w:tr2bl w:val="nil"/>
                  </w:tcBorders>
                  <w:noWrap w:val="0"/>
                  <w:vAlign w:val="center"/>
                </w:tcPr>
                <w:p w14:paraId="6BBFC14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供水</w:t>
                  </w:r>
                </w:p>
              </w:tc>
              <w:tc>
                <w:tcPr>
                  <w:tcW w:w="5615" w:type="dxa"/>
                  <w:tcBorders>
                    <w:tl2br w:val="nil"/>
                    <w:tr2bl w:val="nil"/>
                  </w:tcBorders>
                  <w:noWrap w:val="0"/>
                  <w:vAlign w:val="center"/>
                </w:tcPr>
                <w:p w14:paraId="22B7A0C6">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用水由</w:t>
                  </w:r>
                  <w:r>
                    <w:rPr>
                      <w:rFonts w:hint="default" w:ascii="Times New Roman" w:hAnsi="Times New Roman" w:cs="Times New Roman"/>
                      <w:color w:val="auto"/>
                      <w:highlight w:val="none"/>
                      <w:lang w:val="en-US" w:eastAsia="zh-CN"/>
                    </w:rPr>
                    <w:t>当地</w:t>
                  </w:r>
                  <w:r>
                    <w:rPr>
                      <w:rFonts w:hint="default" w:ascii="Times New Roman" w:hAnsi="Times New Roman" w:cs="Times New Roman"/>
                      <w:color w:val="auto"/>
                      <w:highlight w:val="none"/>
                    </w:rPr>
                    <w:t>自来水管网供给</w:t>
                  </w:r>
                </w:p>
              </w:tc>
              <w:tc>
                <w:tcPr>
                  <w:tcW w:w="773" w:type="dxa"/>
                  <w:tcBorders>
                    <w:tl2br w:val="nil"/>
                    <w:tr2bl w:val="nil"/>
                  </w:tcBorders>
                  <w:noWrap w:val="0"/>
                  <w:vAlign w:val="center"/>
                </w:tcPr>
                <w:p w14:paraId="2B7105FD">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依托现有</w:t>
                  </w:r>
                </w:p>
              </w:tc>
            </w:tr>
            <w:tr w14:paraId="255516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continue"/>
                  <w:tcBorders>
                    <w:tl2br w:val="nil"/>
                    <w:tr2bl w:val="nil"/>
                  </w:tcBorders>
                  <w:noWrap w:val="0"/>
                  <w:vAlign w:val="center"/>
                </w:tcPr>
                <w:p w14:paraId="634B23BB">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150" w:type="dxa"/>
                  <w:tcBorders>
                    <w:tl2br w:val="nil"/>
                    <w:tr2bl w:val="nil"/>
                  </w:tcBorders>
                  <w:noWrap w:val="0"/>
                  <w:vAlign w:val="center"/>
                </w:tcPr>
                <w:p w14:paraId="32B8A67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highlight w:val="none"/>
                    </w:rPr>
                    <w:t>供电</w:t>
                  </w:r>
                </w:p>
              </w:tc>
              <w:tc>
                <w:tcPr>
                  <w:tcW w:w="5615" w:type="dxa"/>
                  <w:tcBorders>
                    <w:tl2br w:val="nil"/>
                    <w:tr2bl w:val="nil"/>
                  </w:tcBorders>
                  <w:noWrap w:val="0"/>
                  <w:vAlign w:val="center"/>
                </w:tcPr>
                <w:p w14:paraId="24E445D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highlight w:val="none"/>
                    </w:rPr>
                    <w:t>用电由</w:t>
                  </w:r>
                  <w:r>
                    <w:rPr>
                      <w:rFonts w:hint="default" w:ascii="Times New Roman" w:hAnsi="Times New Roman" w:cs="Times New Roman"/>
                      <w:color w:val="auto"/>
                      <w:highlight w:val="none"/>
                      <w:lang w:val="en-US" w:eastAsia="zh-CN"/>
                    </w:rPr>
                    <w:t>当地</w:t>
                  </w:r>
                  <w:r>
                    <w:rPr>
                      <w:rFonts w:hint="default" w:ascii="Times New Roman" w:hAnsi="Times New Roman" w:cs="Times New Roman"/>
                      <w:color w:val="auto"/>
                      <w:highlight w:val="none"/>
                    </w:rPr>
                    <w:t>电网供给</w:t>
                  </w:r>
                </w:p>
              </w:tc>
              <w:tc>
                <w:tcPr>
                  <w:tcW w:w="773" w:type="dxa"/>
                  <w:tcBorders>
                    <w:tl2br w:val="nil"/>
                    <w:tr2bl w:val="nil"/>
                  </w:tcBorders>
                  <w:noWrap w:val="0"/>
                  <w:vAlign w:val="center"/>
                </w:tcPr>
                <w:p w14:paraId="395F8B5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依托现有</w:t>
                  </w:r>
                </w:p>
              </w:tc>
            </w:tr>
            <w:tr w14:paraId="1AF03E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restart"/>
                  <w:tcBorders>
                    <w:tl2br w:val="nil"/>
                    <w:tr2bl w:val="nil"/>
                  </w:tcBorders>
                  <w:noWrap w:val="0"/>
                  <w:vAlign w:val="center"/>
                </w:tcPr>
                <w:p w14:paraId="1C63D0F1">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环保工程</w:t>
                  </w:r>
                </w:p>
              </w:tc>
              <w:tc>
                <w:tcPr>
                  <w:tcW w:w="1150" w:type="dxa"/>
                  <w:vMerge w:val="restart"/>
                  <w:tcBorders>
                    <w:tl2br w:val="nil"/>
                    <w:tr2bl w:val="nil"/>
                  </w:tcBorders>
                  <w:noWrap w:val="0"/>
                  <w:vAlign w:val="center"/>
                </w:tcPr>
                <w:p w14:paraId="1A1D2231">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废气治理</w:t>
                  </w:r>
                </w:p>
              </w:tc>
              <w:tc>
                <w:tcPr>
                  <w:tcW w:w="5615" w:type="dxa"/>
                  <w:tcBorders>
                    <w:bottom w:val="single" w:color="auto" w:sz="4" w:space="0"/>
                    <w:tl2br w:val="nil"/>
                    <w:tr2bl w:val="nil"/>
                  </w:tcBorders>
                  <w:noWrap w:val="0"/>
                  <w:vAlign w:val="center"/>
                </w:tcPr>
                <w:p w14:paraId="08A891E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投料、筛分、包装过程产生的颗粒物一同经管道送入布袋除尘器处理后，由15m高排气筒有组织排放</w:t>
                  </w:r>
                  <w:r>
                    <w:rPr>
                      <w:rFonts w:hint="default" w:ascii="Times New Roman" w:hAnsi="Times New Roman" w:eastAsia="宋体" w:cs="Times New Roman"/>
                      <w:color w:val="auto"/>
                      <w:highlight w:val="none"/>
                      <w:lang w:val="en-US" w:eastAsia="zh-CN"/>
                    </w:rPr>
                    <w:t>。</w:t>
                  </w:r>
                </w:p>
              </w:tc>
              <w:tc>
                <w:tcPr>
                  <w:tcW w:w="773" w:type="dxa"/>
                  <w:vMerge w:val="restart"/>
                  <w:tcBorders>
                    <w:tl2br w:val="nil"/>
                    <w:tr2bl w:val="nil"/>
                  </w:tcBorders>
                  <w:noWrap w:val="0"/>
                  <w:vAlign w:val="center"/>
                </w:tcPr>
                <w:p w14:paraId="0541BB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新建</w:t>
                  </w:r>
                </w:p>
              </w:tc>
            </w:tr>
            <w:tr w14:paraId="06E4DE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continue"/>
                  <w:tcBorders>
                    <w:tl2br w:val="nil"/>
                    <w:tr2bl w:val="nil"/>
                  </w:tcBorders>
                  <w:noWrap w:val="0"/>
                  <w:vAlign w:val="center"/>
                </w:tcPr>
                <w:p w14:paraId="2DA4EE7A">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150" w:type="dxa"/>
                  <w:vMerge w:val="continue"/>
                  <w:tcBorders>
                    <w:tl2br w:val="nil"/>
                    <w:tr2bl w:val="nil"/>
                  </w:tcBorders>
                  <w:noWrap w:val="0"/>
                  <w:vAlign w:val="center"/>
                </w:tcPr>
                <w:p w14:paraId="31D517C1">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5615" w:type="dxa"/>
                  <w:tcBorders>
                    <w:top w:val="single" w:color="auto" w:sz="4" w:space="0"/>
                    <w:tl2br w:val="nil"/>
                    <w:tr2bl w:val="nil"/>
                  </w:tcBorders>
                  <w:noWrap w:val="0"/>
                  <w:vAlign w:val="center"/>
                </w:tcPr>
                <w:p w14:paraId="66D79BE9">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4"/>
                      <w:lang w:val="de-DE" w:eastAsia="zh-CN"/>
                    </w:rPr>
                  </w:pPr>
                  <w:r>
                    <w:rPr>
                      <w:rFonts w:hint="default" w:ascii="Times New Roman" w:hAnsi="Times New Roman" w:eastAsia="宋体" w:cs="Times New Roman"/>
                      <w:color w:val="auto"/>
                      <w:sz w:val="21"/>
                      <w:szCs w:val="24"/>
                      <w:lang w:val="de-DE" w:eastAsia="zh-CN"/>
                    </w:rPr>
                    <w:t>本项目</w:t>
                  </w:r>
                  <w:r>
                    <w:rPr>
                      <w:rFonts w:hint="default" w:ascii="Times New Roman" w:hAnsi="Times New Roman" w:eastAsia="宋体" w:cs="Times New Roman"/>
                      <w:color w:val="auto"/>
                      <w:sz w:val="21"/>
                      <w:szCs w:val="24"/>
                      <w:lang w:val="en-US" w:eastAsia="zh-CN"/>
                    </w:rPr>
                    <w:t>无组织</w:t>
                  </w:r>
                  <w:r>
                    <w:rPr>
                      <w:rFonts w:hint="eastAsia" w:cs="Times New Roman"/>
                      <w:color w:val="auto"/>
                      <w:sz w:val="21"/>
                      <w:szCs w:val="24"/>
                      <w:lang w:val="en-US" w:eastAsia="zh-CN"/>
                    </w:rPr>
                    <w:t>颗粒物</w:t>
                  </w:r>
                  <w:r>
                    <w:rPr>
                      <w:rFonts w:hint="default" w:ascii="Times New Roman" w:hAnsi="Times New Roman" w:eastAsia="宋体" w:cs="Times New Roman"/>
                      <w:color w:val="auto"/>
                      <w:sz w:val="21"/>
                      <w:szCs w:val="24"/>
                      <w:lang w:val="en-US" w:eastAsia="zh-CN"/>
                    </w:rPr>
                    <w:t>，通过厂房密闭阻隔、厂区绿化植物净化，无组织排放。</w:t>
                  </w:r>
                </w:p>
              </w:tc>
              <w:tc>
                <w:tcPr>
                  <w:tcW w:w="773" w:type="dxa"/>
                  <w:vMerge w:val="continue"/>
                  <w:tcBorders>
                    <w:tl2br w:val="nil"/>
                    <w:tr2bl w:val="nil"/>
                  </w:tcBorders>
                  <w:noWrap w:val="0"/>
                  <w:vAlign w:val="center"/>
                </w:tcPr>
                <w:p w14:paraId="062C3E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r>
            <w:tr w14:paraId="7D0A2D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continue"/>
                  <w:tcBorders>
                    <w:tl2br w:val="nil"/>
                    <w:tr2bl w:val="nil"/>
                  </w:tcBorders>
                  <w:noWrap w:val="0"/>
                  <w:vAlign w:val="center"/>
                </w:tcPr>
                <w:p w14:paraId="45FFA9DC">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150" w:type="dxa"/>
                  <w:tcBorders>
                    <w:tl2br w:val="nil"/>
                    <w:tr2bl w:val="nil"/>
                  </w:tcBorders>
                  <w:noWrap w:val="0"/>
                  <w:vAlign w:val="center"/>
                </w:tcPr>
                <w:p w14:paraId="4B6DC370">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废水治理</w:t>
                  </w:r>
                </w:p>
              </w:tc>
              <w:tc>
                <w:tcPr>
                  <w:tcW w:w="5615" w:type="dxa"/>
                  <w:tcBorders>
                    <w:tl2br w:val="nil"/>
                    <w:tr2bl w:val="nil"/>
                  </w:tcBorders>
                  <w:noWrap w:val="0"/>
                  <w:vAlign w:val="center"/>
                </w:tcPr>
                <w:p w14:paraId="375103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生活污水经化粪池处理后，由环卫部门定期清运</w:t>
                  </w:r>
                  <w:r>
                    <w:rPr>
                      <w:rFonts w:hint="eastAsia" w:ascii="Times New Roman" w:hAnsi="Times New Roman" w:eastAsia="宋体" w:cs="Times New Roman"/>
                      <w:color w:val="auto"/>
                      <w:highlight w:val="none"/>
                      <w:lang w:val="en-US" w:eastAsia="zh-CN"/>
                    </w:rPr>
                    <w:t>。</w:t>
                  </w:r>
                </w:p>
              </w:tc>
              <w:tc>
                <w:tcPr>
                  <w:tcW w:w="773" w:type="dxa"/>
                  <w:tcBorders>
                    <w:tl2br w:val="nil"/>
                    <w:tr2bl w:val="nil"/>
                  </w:tcBorders>
                  <w:noWrap w:val="0"/>
                  <w:vAlign w:val="center"/>
                </w:tcPr>
                <w:p w14:paraId="25A1ADA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利旧</w:t>
                  </w:r>
                </w:p>
              </w:tc>
            </w:tr>
            <w:tr w14:paraId="536657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continue"/>
                  <w:tcBorders>
                    <w:tl2br w:val="nil"/>
                    <w:tr2bl w:val="nil"/>
                  </w:tcBorders>
                  <w:noWrap w:val="0"/>
                  <w:vAlign w:val="center"/>
                </w:tcPr>
                <w:p w14:paraId="1E03309C">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150" w:type="dxa"/>
                  <w:tcBorders>
                    <w:tl2br w:val="nil"/>
                    <w:tr2bl w:val="nil"/>
                  </w:tcBorders>
                  <w:noWrap w:val="0"/>
                  <w:vAlign w:val="center"/>
                </w:tcPr>
                <w:p w14:paraId="337C1F96">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噪声治理</w:t>
                  </w:r>
                </w:p>
              </w:tc>
              <w:tc>
                <w:tcPr>
                  <w:tcW w:w="5615" w:type="dxa"/>
                  <w:tcBorders>
                    <w:tl2br w:val="nil"/>
                    <w:tr2bl w:val="nil"/>
                  </w:tcBorders>
                  <w:noWrap w:val="0"/>
                  <w:vAlign w:val="center"/>
                </w:tcPr>
                <w:p w14:paraId="2EF5F2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主要噪声设备加装隔声减震装置、墙体隔声</w:t>
                  </w:r>
                  <w:r>
                    <w:rPr>
                      <w:rFonts w:hint="default" w:ascii="Times New Roman" w:hAnsi="Times New Roman" w:cs="Times New Roman"/>
                      <w:color w:val="auto"/>
                      <w:highlight w:val="none"/>
                      <w:lang w:val="en-US" w:eastAsia="zh-CN"/>
                    </w:rPr>
                    <w:t>等</w:t>
                  </w:r>
                </w:p>
              </w:tc>
              <w:tc>
                <w:tcPr>
                  <w:tcW w:w="773" w:type="dxa"/>
                  <w:tcBorders>
                    <w:tl2br w:val="nil"/>
                    <w:tr2bl w:val="nil"/>
                  </w:tcBorders>
                  <w:noWrap w:val="0"/>
                  <w:vAlign w:val="center"/>
                </w:tcPr>
                <w:p w14:paraId="2A8C076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p>
              </w:tc>
            </w:tr>
            <w:tr w14:paraId="660DA0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135" w:type="dxa"/>
                  <w:vMerge w:val="continue"/>
                  <w:tcBorders>
                    <w:tl2br w:val="nil"/>
                    <w:tr2bl w:val="nil"/>
                  </w:tcBorders>
                  <w:noWrap w:val="0"/>
                  <w:vAlign w:val="center"/>
                </w:tcPr>
                <w:p w14:paraId="236AB278">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150" w:type="dxa"/>
                  <w:tcBorders>
                    <w:tl2br w:val="nil"/>
                    <w:tr2bl w:val="nil"/>
                  </w:tcBorders>
                  <w:noWrap w:val="0"/>
                  <w:vAlign w:val="center"/>
                </w:tcPr>
                <w:p w14:paraId="2810734B">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固废处理</w:t>
                  </w:r>
                </w:p>
              </w:tc>
              <w:tc>
                <w:tcPr>
                  <w:tcW w:w="5615" w:type="dxa"/>
                  <w:tcBorders>
                    <w:tl2br w:val="nil"/>
                    <w:tr2bl w:val="nil"/>
                  </w:tcBorders>
                  <w:noWrap w:val="0"/>
                  <w:vAlign w:val="center"/>
                </w:tcPr>
                <w:p w14:paraId="1230320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一般工业固废暂存区</w:t>
                  </w:r>
                  <w:r>
                    <w:rPr>
                      <w:rFonts w:hint="default" w:ascii="Times New Roman" w:hAnsi="Times New Roman" w:eastAsia="宋体" w:cs="Times New Roman"/>
                      <w:color w:val="auto"/>
                      <w:sz w:val="21"/>
                      <w:szCs w:val="21"/>
                      <w:highlight w:val="none"/>
                      <w:lang w:val="en-US" w:eastAsia="zh-CN"/>
                    </w:rPr>
                    <w:t>，占地</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，用于存放废包装袋、布袋除尘器收集粉尘</w:t>
                  </w:r>
                  <w:r>
                    <w:rPr>
                      <w:rFonts w:hint="eastAsia" w:ascii="Times New Roman" w:hAnsi="Times New Roman" w:eastAsia="宋体" w:cs="Times New Roman"/>
                      <w:color w:val="auto"/>
                      <w:sz w:val="21"/>
                      <w:szCs w:val="21"/>
                      <w:highlight w:val="none"/>
                      <w:lang w:val="en-US" w:eastAsia="zh-CN"/>
                    </w:rPr>
                    <w:t>、废布袋</w:t>
                  </w:r>
                  <w:r>
                    <w:rPr>
                      <w:rFonts w:hint="eastAsia" w:cs="Times New Roman"/>
                      <w:color w:val="auto"/>
                      <w:sz w:val="21"/>
                      <w:szCs w:val="21"/>
                      <w:highlight w:val="none"/>
                      <w:lang w:val="en-US" w:eastAsia="zh-CN"/>
                    </w:rPr>
                    <w:t>、磁选杂质</w:t>
                  </w:r>
                  <w:r>
                    <w:rPr>
                      <w:rFonts w:hint="default" w:ascii="Times New Roman" w:hAnsi="Times New Roman" w:eastAsia="宋体" w:cs="Times New Roman"/>
                      <w:color w:val="auto"/>
                      <w:sz w:val="21"/>
                      <w:szCs w:val="21"/>
                      <w:highlight w:val="none"/>
                      <w:lang w:val="en-US" w:eastAsia="zh-CN"/>
                    </w:rPr>
                    <w:t>等一般工业固废。</w:t>
                  </w:r>
                </w:p>
                <w:p w14:paraId="5964566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危废暂存间：占地</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，用于存放</w:t>
                  </w:r>
                  <w:r>
                    <w:rPr>
                      <w:rFonts w:hint="eastAsia" w:ascii="Times New Roman" w:hAnsi="Times New Roman" w:eastAsia="宋体" w:cs="Times New Roman"/>
                      <w:color w:val="auto"/>
                      <w:sz w:val="21"/>
                      <w:szCs w:val="21"/>
                      <w:highlight w:val="none"/>
                      <w:lang w:val="en-US" w:eastAsia="zh-CN"/>
                    </w:rPr>
                    <w:t>废机油、废机油桶、含油废抹布</w:t>
                  </w:r>
                  <w:r>
                    <w:rPr>
                      <w:rFonts w:hint="default" w:ascii="Times New Roman" w:hAnsi="Times New Roman" w:eastAsia="宋体" w:cs="Times New Roman"/>
                      <w:color w:val="auto"/>
                      <w:sz w:val="21"/>
                      <w:szCs w:val="21"/>
                      <w:highlight w:val="none"/>
                      <w:lang w:val="en-US" w:eastAsia="zh-CN"/>
                    </w:rPr>
                    <w:t>等危险废物。</w:t>
                  </w:r>
                </w:p>
              </w:tc>
              <w:tc>
                <w:tcPr>
                  <w:tcW w:w="773" w:type="dxa"/>
                  <w:tcBorders>
                    <w:tl2br w:val="nil"/>
                    <w:tr2bl w:val="nil"/>
                  </w:tcBorders>
                  <w:noWrap w:val="0"/>
                  <w:vAlign w:val="center"/>
                </w:tcPr>
                <w:p w14:paraId="5719CEF2">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p>
              </w:tc>
            </w:tr>
          </w:tbl>
          <w:p w14:paraId="3C96A456">
            <w:pPr>
              <w:keepNext w:val="0"/>
              <w:keepLines w:val="0"/>
              <w:suppressLineNumbers w:val="0"/>
              <w:autoSpaceDE w:val="0"/>
              <w:autoSpaceDN w:val="0"/>
              <w:adjustRightInd w:val="0"/>
              <w:spacing w:before="0" w:beforeAutospacing="0" w:after="0" w:afterAutospacing="0" w:line="360" w:lineRule="auto"/>
              <w:ind w:left="0" w:right="0" w:firstLine="422" w:firstLineChars="20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四、项目原辅材料及能源消耗用量情况如下</w:t>
            </w:r>
          </w:p>
          <w:p w14:paraId="20457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表2-2 主要原辅材料及能源消耗情况一览表</w:t>
            </w:r>
          </w:p>
          <w:tbl>
            <w:tblPr>
              <w:tblStyle w:val="36"/>
              <w:tblW w:w="494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19"/>
              <w:gridCol w:w="2227"/>
              <w:gridCol w:w="1205"/>
              <w:gridCol w:w="1175"/>
              <w:gridCol w:w="3210"/>
            </w:tblGrid>
            <w:tr w14:paraId="69AB79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19" w:type="dxa"/>
                  <w:noWrap w:val="0"/>
                  <w:vAlign w:val="center"/>
                </w:tcPr>
                <w:p w14:paraId="6012733A">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227" w:type="dxa"/>
                  <w:noWrap w:val="0"/>
                  <w:vAlign w:val="center"/>
                </w:tcPr>
                <w:p w14:paraId="2B16C847">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205" w:type="dxa"/>
                  <w:noWrap w:val="0"/>
                  <w:vAlign w:val="center"/>
                </w:tcPr>
                <w:p w14:paraId="0838F59F">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单位</w:t>
                  </w:r>
                </w:p>
              </w:tc>
              <w:tc>
                <w:tcPr>
                  <w:tcW w:w="1175" w:type="dxa"/>
                  <w:noWrap w:val="0"/>
                  <w:vAlign w:val="center"/>
                </w:tcPr>
                <w:p w14:paraId="0156FCA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用量</w:t>
                  </w:r>
                </w:p>
              </w:tc>
              <w:tc>
                <w:tcPr>
                  <w:tcW w:w="3210" w:type="dxa"/>
                  <w:noWrap w:val="0"/>
                  <w:vAlign w:val="center"/>
                </w:tcPr>
                <w:p w14:paraId="1638429E">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r>
            <w:tr w14:paraId="720353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636" w:type="dxa"/>
                  <w:gridSpan w:val="5"/>
                  <w:noWrap w:val="0"/>
                  <w:vAlign w:val="center"/>
                </w:tcPr>
                <w:p w14:paraId="13AD456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原料消耗</w:t>
                  </w:r>
                </w:p>
              </w:tc>
            </w:tr>
            <w:tr w14:paraId="262FBC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19" w:type="dxa"/>
                  <w:noWrap w:val="0"/>
                  <w:vAlign w:val="center"/>
                </w:tcPr>
                <w:p w14:paraId="59E65BB8">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227" w:type="dxa"/>
                  <w:noWrap w:val="0"/>
                  <w:vAlign w:val="center"/>
                </w:tcPr>
                <w:p w14:paraId="6C0D2E9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氧化铝微粉</w:t>
                  </w:r>
                </w:p>
              </w:tc>
              <w:tc>
                <w:tcPr>
                  <w:tcW w:w="1205" w:type="dxa"/>
                  <w:noWrap w:val="0"/>
                  <w:vAlign w:val="center"/>
                </w:tcPr>
                <w:p w14:paraId="7C1FA82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1175" w:type="dxa"/>
                  <w:noWrap w:val="0"/>
                  <w:vAlign w:val="center"/>
                </w:tcPr>
                <w:p w14:paraId="4F61B7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20024</w:t>
                  </w:r>
                </w:p>
              </w:tc>
              <w:tc>
                <w:tcPr>
                  <w:tcW w:w="3210" w:type="dxa"/>
                  <w:noWrap w:val="0"/>
                  <w:vAlign w:val="center"/>
                </w:tcPr>
                <w:p w14:paraId="04B1A80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吨包，</w:t>
                  </w:r>
                  <w:r>
                    <w:rPr>
                      <w:rFonts w:hint="eastAsia" w:cs="Times New Roman"/>
                      <w:color w:val="auto"/>
                      <w:sz w:val="21"/>
                      <w:szCs w:val="21"/>
                      <w:highlight w:val="none"/>
                      <w:lang w:val="en-US" w:eastAsia="zh-CN"/>
                    </w:rPr>
                    <w:t>粉状，磁性杂质含量约为0.02%，外购</w:t>
                  </w:r>
                </w:p>
              </w:tc>
            </w:tr>
            <w:tr w14:paraId="3B41A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19" w:type="dxa"/>
                  <w:noWrap w:val="0"/>
                  <w:vAlign w:val="center"/>
                </w:tcPr>
                <w:p w14:paraId="38DC130D">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227" w:type="dxa"/>
                  <w:shd w:val="clear" w:color="auto" w:fill="auto"/>
                  <w:noWrap w:val="0"/>
                  <w:vAlign w:val="center"/>
                </w:tcPr>
                <w:p w14:paraId="265B0A55">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包装袋</w:t>
                  </w:r>
                </w:p>
              </w:tc>
              <w:tc>
                <w:tcPr>
                  <w:tcW w:w="1205" w:type="dxa"/>
                  <w:shd w:val="clear" w:color="auto" w:fill="auto"/>
                  <w:noWrap w:val="0"/>
                  <w:vAlign w:val="center"/>
                </w:tcPr>
                <w:p w14:paraId="65CE4FCB">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1175" w:type="dxa"/>
                  <w:shd w:val="clear" w:color="auto" w:fill="auto"/>
                  <w:noWrap w:val="0"/>
                  <w:vAlign w:val="center"/>
                </w:tcPr>
                <w:p w14:paraId="77093C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p>
              </w:tc>
              <w:tc>
                <w:tcPr>
                  <w:tcW w:w="3210" w:type="dxa"/>
                  <w:shd w:val="clear" w:color="auto" w:fill="auto"/>
                  <w:noWrap w:val="0"/>
                  <w:vAlign w:val="center"/>
                </w:tcPr>
                <w:p w14:paraId="0DDFA818">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吨包，外购</w:t>
                  </w:r>
                </w:p>
              </w:tc>
            </w:tr>
            <w:tr w14:paraId="737561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819" w:type="dxa"/>
                  <w:noWrap w:val="0"/>
                  <w:vAlign w:val="center"/>
                </w:tcPr>
                <w:p w14:paraId="5A2E19F0">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227" w:type="dxa"/>
                  <w:shd w:val="clear" w:color="auto" w:fill="auto"/>
                  <w:noWrap w:val="0"/>
                  <w:vAlign w:val="center"/>
                </w:tcPr>
                <w:p w14:paraId="3337EC15">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机油</w:t>
                  </w:r>
                </w:p>
              </w:tc>
              <w:tc>
                <w:tcPr>
                  <w:tcW w:w="1205" w:type="dxa"/>
                  <w:shd w:val="clear" w:color="auto" w:fill="auto"/>
                  <w:noWrap w:val="0"/>
                  <w:vAlign w:val="center"/>
                </w:tcPr>
                <w:p w14:paraId="50CB4752">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175" w:type="dxa"/>
                  <w:shd w:val="clear" w:color="auto" w:fill="auto"/>
                  <w:noWrap w:val="0"/>
                  <w:vAlign w:val="center"/>
                </w:tcPr>
                <w:p w14:paraId="0FEBBC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w:t>
                  </w:r>
                </w:p>
              </w:tc>
              <w:tc>
                <w:tcPr>
                  <w:tcW w:w="3210" w:type="dxa"/>
                  <w:shd w:val="clear" w:color="auto" w:fill="auto"/>
                  <w:noWrap w:val="0"/>
                  <w:vAlign w:val="center"/>
                </w:tcPr>
                <w:p w14:paraId="639E4E07">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用于设备维护保养，桶装，20kg/桶，外购</w:t>
                  </w:r>
                </w:p>
              </w:tc>
            </w:tr>
            <w:tr w14:paraId="69FC82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819" w:type="dxa"/>
                  <w:noWrap w:val="0"/>
                  <w:vAlign w:val="center"/>
                </w:tcPr>
                <w:p w14:paraId="7F6DDEF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227" w:type="dxa"/>
                  <w:shd w:val="clear" w:color="auto" w:fill="auto"/>
                  <w:noWrap w:val="0"/>
                  <w:vAlign w:val="center"/>
                </w:tcPr>
                <w:p w14:paraId="717570E1">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布袋</w:t>
                  </w:r>
                </w:p>
              </w:tc>
              <w:tc>
                <w:tcPr>
                  <w:tcW w:w="1205" w:type="dxa"/>
                  <w:shd w:val="clear" w:color="auto" w:fill="auto"/>
                  <w:noWrap w:val="0"/>
                  <w:vAlign w:val="center"/>
                </w:tcPr>
                <w:p w14:paraId="590DF297">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t/a</w:t>
                  </w:r>
                </w:p>
              </w:tc>
              <w:tc>
                <w:tcPr>
                  <w:tcW w:w="1175" w:type="dxa"/>
                  <w:shd w:val="clear" w:color="auto" w:fill="auto"/>
                  <w:noWrap w:val="0"/>
                  <w:vAlign w:val="center"/>
                </w:tcPr>
                <w:p w14:paraId="55278A4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w:t>
                  </w:r>
                </w:p>
              </w:tc>
              <w:tc>
                <w:tcPr>
                  <w:tcW w:w="3210" w:type="dxa"/>
                  <w:shd w:val="clear" w:color="auto" w:fill="auto"/>
                  <w:noWrap w:val="0"/>
                  <w:vAlign w:val="center"/>
                </w:tcPr>
                <w:p w14:paraId="3498D0D1">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用于布袋除尘器</w:t>
                  </w:r>
                </w:p>
              </w:tc>
            </w:tr>
            <w:tr w14:paraId="18036A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636" w:type="dxa"/>
                  <w:gridSpan w:val="5"/>
                  <w:noWrap w:val="0"/>
                  <w:vAlign w:val="center"/>
                </w:tcPr>
                <w:p w14:paraId="5D1E2AD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能源消耗</w:t>
                  </w:r>
                </w:p>
              </w:tc>
            </w:tr>
            <w:tr w14:paraId="422999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819" w:type="dxa"/>
                  <w:noWrap w:val="0"/>
                  <w:vAlign w:val="center"/>
                </w:tcPr>
                <w:p w14:paraId="7FE4DF99">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227" w:type="dxa"/>
                  <w:noWrap w:val="0"/>
                  <w:vAlign w:val="center"/>
                </w:tcPr>
                <w:p w14:paraId="706AA63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自来水</w:t>
                  </w:r>
                </w:p>
              </w:tc>
              <w:tc>
                <w:tcPr>
                  <w:tcW w:w="1205" w:type="dxa"/>
                  <w:noWrap w:val="0"/>
                  <w:vAlign w:val="center"/>
                </w:tcPr>
                <w:p w14:paraId="431DB4B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c>
                <w:tcPr>
                  <w:tcW w:w="1175" w:type="dxa"/>
                  <w:noWrap w:val="0"/>
                  <w:vAlign w:val="center"/>
                </w:tcPr>
                <w:p w14:paraId="035662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185</w:t>
                  </w:r>
                </w:p>
              </w:tc>
              <w:tc>
                <w:tcPr>
                  <w:tcW w:w="3210" w:type="dxa"/>
                  <w:noWrap w:val="0"/>
                  <w:vAlign w:val="center"/>
                </w:tcPr>
                <w:p w14:paraId="1E9E877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w:t>
                  </w:r>
                  <w:r>
                    <w:rPr>
                      <w:rFonts w:hint="default" w:ascii="Times New Roman" w:hAnsi="Times New Roman" w:cs="Times New Roman"/>
                      <w:color w:val="auto"/>
                      <w:sz w:val="21"/>
                      <w:szCs w:val="21"/>
                      <w:highlight w:val="none"/>
                      <w:lang w:eastAsia="zh-CN"/>
                    </w:rPr>
                    <w:t>淄博淄川区</w:t>
                  </w:r>
                  <w:r>
                    <w:rPr>
                      <w:rFonts w:hint="default" w:ascii="Times New Roman" w:hAnsi="Times New Roman" w:cs="Times New Roman"/>
                      <w:color w:val="auto"/>
                      <w:sz w:val="21"/>
                      <w:szCs w:val="21"/>
                      <w:highlight w:val="none"/>
                    </w:rPr>
                    <w:t>自来水管网供给</w:t>
                  </w:r>
                </w:p>
              </w:tc>
            </w:tr>
            <w:tr w14:paraId="315DC7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8" w:hRule="atLeast"/>
                <w:jc w:val="center"/>
              </w:trPr>
              <w:tc>
                <w:tcPr>
                  <w:tcW w:w="819" w:type="dxa"/>
                  <w:noWrap w:val="0"/>
                  <w:vAlign w:val="center"/>
                </w:tcPr>
                <w:p w14:paraId="4E71E1BC">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227" w:type="dxa"/>
                  <w:noWrap w:val="0"/>
                  <w:vAlign w:val="center"/>
                </w:tcPr>
                <w:p w14:paraId="5268C783">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w:t>
                  </w:r>
                </w:p>
              </w:tc>
              <w:tc>
                <w:tcPr>
                  <w:tcW w:w="1205" w:type="dxa"/>
                  <w:noWrap w:val="0"/>
                  <w:vAlign w:val="center"/>
                </w:tcPr>
                <w:p w14:paraId="4B48401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万kWh/a</w:t>
                  </w:r>
                </w:p>
              </w:tc>
              <w:tc>
                <w:tcPr>
                  <w:tcW w:w="1175" w:type="dxa"/>
                  <w:noWrap w:val="0"/>
                  <w:vAlign w:val="center"/>
                </w:tcPr>
                <w:p w14:paraId="3C822F5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3210" w:type="dxa"/>
                  <w:noWrap w:val="0"/>
                  <w:vAlign w:val="center"/>
                </w:tcPr>
                <w:p w14:paraId="02566D6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w:t>
                  </w:r>
                  <w:r>
                    <w:rPr>
                      <w:rFonts w:hint="default" w:ascii="Times New Roman" w:hAnsi="Times New Roman" w:cs="Times New Roman"/>
                      <w:color w:val="auto"/>
                      <w:sz w:val="21"/>
                      <w:szCs w:val="21"/>
                      <w:highlight w:val="none"/>
                      <w:lang w:eastAsia="zh-CN"/>
                    </w:rPr>
                    <w:t>淄博淄川区</w:t>
                  </w:r>
                  <w:r>
                    <w:rPr>
                      <w:rFonts w:hint="default" w:ascii="Times New Roman" w:hAnsi="Times New Roman" w:cs="Times New Roman"/>
                      <w:color w:val="auto"/>
                      <w:sz w:val="21"/>
                      <w:szCs w:val="21"/>
                      <w:highlight w:val="none"/>
                    </w:rPr>
                    <w:t>电网供给</w:t>
                  </w:r>
                </w:p>
              </w:tc>
            </w:tr>
          </w:tbl>
          <w:p w14:paraId="7879A940">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32"/>
                <w:highlight w:val="none"/>
                <w:lang w:val="en-US" w:eastAsia="zh-CN"/>
              </w:rPr>
            </w:pPr>
            <w:r>
              <w:rPr>
                <w:rFonts w:hint="default" w:ascii="Times New Roman" w:hAnsi="Times New Roman" w:eastAsia="宋体" w:cs="Times New Roman"/>
                <w:b w:val="0"/>
                <w:bCs w:val="0"/>
                <w:color w:val="auto"/>
                <w:sz w:val="24"/>
                <w:szCs w:val="32"/>
                <w:highlight w:val="none"/>
                <w:lang w:val="en-US" w:eastAsia="zh-CN"/>
              </w:rPr>
              <w:t>氧化铝</w:t>
            </w:r>
            <w:r>
              <w:rPr>
                <w:rFonts w:hint="eastAsia" w:ascii="Times New Roman" w:hAnsi="Times New Roman" w:eastAsia="宋体" w:cs="Times New Roman"/>
                <w:b w:val="0"/>
                <w:bCs w:val="0"/>
                <w:color w:val="auto"/>
                <w:sz w:val="24"/>
                <w:szCs w:val="32"/>
                <w:highlight w:val="none"/>
                <w:lang w:val="en-US" w:eastAsia="zh-CN"/>
              </w:rPr>
              <w:t>微粉</w:t>
            </w:r>
            <w:r>
              <w:rPr>
                <w:rFonts w:hint="default" w:ascii="Times New Roman" w:hAnsi="Times New Roman" w:eastAsia="宋体" w:cs="Times New Roman"/>
                <w:b w:val="0"/>
                <w:bCs w:val="0"/>
                <w:color w:val="auto"/>
                <w:sz w:val="24"/>
                <w:szCs w:val="32"/>
                <w:highlight w:val="none"/>
                <w:lang w:val="en-US" w:eastAsia="zh-CN"/>
              </w:rPr>
              <w:t>：</w:t>
            </w:r>
            <w:r>
              <w:rPr>
                <w:rFonts w:hint="eastAsia" w:cs="Times New Roman"/>
                <w:b w:val="0"/>
                <w:bCs w:val="0"/>
                <w:color w:val="auto"/>
                <w:sz w:val="24"/>
                <w:szCs w:val="32"/>
                <w:highlight w:val="none"/>
                <w:lang w:val="en-US" w:eastAsia="zh-CN"/>
              </w:rPr>
              <w:t>主要成分为</w:t>
            </w:r>
            <w:r>
              <w:rPr>
                <w:rFonts w:hint="default" w:ascii="Times New Roman" w:hAnsi="Times New Roman" w:eastAsia="宋体" w:cs="Times New Roman"/>
                <w:b w:val="0"/>
                <w:bCs w:val="0"/>
                <w:color w:val="auto"/>
                <w:sz w:val="24"/>
                <w:szCs w:val="32"/>
                <w:highlight w:val="none"/>
                <w:lang w:val="en-US" w:eastAsia="zh-CN"/>
              </w:rPr>
              <w:t>三氧化二铝，化学式为</w:t>
            </w:r>
            <w:r>
              <w:rPr>
                <w:rFonts w:hint="default" w:ascii="Times New Roman" w:hAnsi="Times New Roman" w:cs="Times New Roman"/>
                <w:b w:val="0"/>
                <w:bCs w:val="0"/>
                <w:color w:val="auto"/>
                <w:sz w:val="24"/>
                <w:szCs w:val="32"/>
                <w:highlight w:val="none"/>
                <w:lang w:val="en-US" w:eastAsia="zh-CN"/>
              </w:rPr>
              <w:t>α</w:t>
            </w:r>
            <w:r>
              <w:rPr>
                <w:rFonts w:hint="default" w:ascii="Times New Roman" w:hAnsi="Times New Roman" w:eastAsia="宋体" w:cs="Times New Roman"/>
                <w:b w:val="0"/>
                <w:bCs w:val="0"/>
                <w:color w:val="auto"/>
                <w:sz w:val="24"/>
                <w:szCs w:val="32"/>
                <w:highlight w:val="none"/>
                <w:lang w:val="en-US" w:eastAsia="zh-CN"/>
              </w:rPr>
              <w:t>Al₂O₃，分子量101.96，外观为白色无定形粉状物</w:t>
            </w:r>
            <w:r>
              <w:rPr>
                <w:rFonts w:hint="eastAsia" w:cs="Times New Roman"/>
                <w:b w:val="0"/>
                <w:bCs w:val="0"/>
                <w:color w:val="auto"/>
                <w:sz w:val="24"/>
                <w:szCs w:val="32"/>
                <w:highlight w:val="none"/>
                <w:lang w:val="en-US" w:eastAsia="zh-CN"/>
              </w:rPr>
              <w:t>，以氢氧化铝为原料，经高温煅烧得到氧化铝粉体</w:t>
            </w:r>
            <w:r>
              <w:rPr>
                <w:rFonts w:hint="default" w:ascii="Times New Roman" w:hAnsi="Times New Roman" w:eastAsia="宋体" w:cs="Times New Roman"/>
                <w:b w:val="0"/>
                <w:bCs w:val="0"/>
                <w:color w:val="auto"/>
                <w:sz w:val="24"/>
                <w:szCs w:val="32"/>
                <w:highlight w:val="none"/>
                <w:lang w:val="en-US" w:eastAsia="zh-CN"/>
              </w:rPr>
              <w:t>。</w:t>
            </w:r>
          </w:p>
          <w:p w14:paraId="2E1B7780">
            <w:pPr>
              <w:keepNext w:val="0"/>
              <w:keepLines w:val="0"/>
              <w:numPr>
                <w:ilvl w:val="0"/>
                <w:numId w:val="0"/>
              </w:numPr>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lang w:val="en-US" w:eastAsia="zh-CN"/>
              </w:rPr>
              <w:t>五、</w:t>
            </w:r>
            <w:r>
              <w:rPr>
                <w:rFonts w:hint="default" w:ascii="Times New Roman" w:hAnsi="Times New Roman" w:cs="Times New Roman"/>
                <w:b/>
                <w:bCs/>
                <w:color w:val="auto"/>
                <w:sz w:val="24"/>
                <w:szCs w:val="32"/>
                <w:highlight w:val="none"/>
              </w:rPr>
              <w:t>本项目建成后，设备情况见下表。</w:t>
            </w:r>
          </w:p>
          <w:p w14:paraId="4C573A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表2-</w:t>
            </w:r>
            <w:r>
              <w:rPr>
                <w:rFonts w:hint="eastAsia" w:cs="Times New Roman"/>
                <w:b/>
                <w:color w:val="auto"/>
                <w:szCs w:val="21"/>
                <w:highlight w:val="none"/>
                <w:lang w:val="en-US" w:eastAsia="zh-CN"/>
              </w:rPr>
              <w:t xml:space="preserve">3 </w:t>
            </w:r>
            <w:r>
              <w:rPr>
                <w:rFonts w:hint="default" w:ascii="Times New Roman" w:hAnsi="Times New Roman" w:eastAsia="宋体" w:cs="Times New Roman"/>
                <w:b/>
                <w:color w:val="auto"/>
                <w:szCs w:val="21"/>
                <w:highlight w:val="none"/>
                <w:lang w:val="en-US" w:eastAsia="zh-CN"/>
              </w:rPr>
              <w:t>项目建成后相关设备情况一览表（台/套）</w:t>
            </w:r>
          </w:p>
          <w:tbl>
            <w:tblPr>
              <w:tblStyle w:val="36"/>
              <w:tblW w:w="501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50"/>
              <w:gridCol w:w="1717"/>
              <w:gridCol w:w="2078"/>
              <w:gridCol w:w="1443"/>
              <w:gridCol w:w="855"/>
              <w:gridCol w:w="1910"/>
            </w:tblGrid>
            <w:tr w14:paraId="2A155B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428" w:type="pct"/>
                  <w:tcBorders>
                    <w:tl2br w:val="nil"/>
                    <w:tr2bl w:val="nil"/>
                  </w:tcBorders>
                  <w:noWrap/>
                  <w:vAlign w:val="center"/>
                </w:tcPr>
                <w:p w14:paraId="5957C98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980" w:type="pct"/>
                  <w:tcBorders>
                    <w:tl2br w:val="nil"/>
                    <w:tr2bl w:val="nil"/>
                  </w:tcBorders>
                  <w:noWrap/>
                  <w:vAlign w:val="center"/>
                </w:tcPr>
                <w:p w14:paraId="15DC4EE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设备名称</w:t>
                  </w:r>
                </w:p>
              </w:tc>
              <w:tc>
                <w:tcPr>
                  <w:tcW w:w="1187" w:type="pct"/>
                  <w:tcBorders>
                    <w:tl2br w:val="nil"/>
                    <w:tr2bl w:val="nil"/>
                  </w:tcBorders>
                  <w:noWrap/>
                  <w:vAlign w:val="center"/>
                </w:tcPr>
                <w:p w14:paraId="7480076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规格型号</w:t>
                  </w:r>
                </w:p>
              </w:tc>
              <w:tc>
                <w:tcPr>
                  <w:tcW w:w="824" w:type="pct"/>
                  <w:tcBorders>
                    <w:tl2br w:val="nil"/>
                    <w:tr2bl w:val="nil"/>
                  </w:tcBorders>
                  <w:noWrap/>
                  <w:vAlign w:val="center"/>
                </w:tcPr>
                <w:p w14:paraId="66879FF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单位</w:t>
                  </w:r>
                </w:p>
              </w:tc>
              <w:tc>
                <w:tcPr>
                  <w:tcW w:w="488" w:type="pct"/>
                  <w:tcBorders>
                    <w:tl2br w:val="nil"/>
                    <w:tr2bl w:val="nil"/>
                  </w:tcBorders>
                  <w:noWrap/>
                  <w:vAlign w:val="center"/>
                </w:tcPr>
                <w:p w14:paraId="2F999E34">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数量</w:t>
                  </w:r>
                </w:p>
              </w:tc>
              <w:tc>
                <w:tcPr>
                  <w:tcW w:w="1091" w:type="pct"/>
                  <w:tcBorders>
                    <w:tl2br w:val="nil"/>
                    <w:tr2bl w:val="nil"/>
                  </w:tcBorders>
                  <w:noWrap/>
                  <w:vAlign w:val="center"/>
                </w:tcPr>
                <w:p w14:paraId="3A9EBA7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w:t>
                  </w:r>
                </w:p>
              </w:tc>
            </w:tr>
            <w:tr w14:paraId="503660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428" w:type="pct"/>
                  <w:tcBorders>
                    <w:tl2br w:val="nil"/>
                    <w:tr2bl w:val="nil"/>
                  </w:tcBorders>
                  <w:noWrap/>
                  <w:vAlign w:val="center"/>
                </w:tcPr>
                <w:p w14:paraId="5BA8E9C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980" w:type="pct"/>
                  <w:tcBorders>
                    <w:tl2br w:val="nil"/>
                    <w:tr2bl w:val="nil"/>
                  </w:tcBorders>
                  <w:noWrap/>
                  <w:vAlign w:val="center"/>
                </w:tcPr>
                <w:p w14:paraId="678836A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解聚均化搅拌机</w:t>
                  </w:r>
                </w:p>
              </w:tc>
              <w:tc>
                <w:tcPr>
                  <w:tcW w:w="1187" w:type="pct"/>
                  <w:tcBorders>
                    <w:tl2br w:val="nil"/>
                    <w:tr2bl w:val="nil"/>
                  </w:tcBorders>
                  <w:noWrap/>
                  <w:vAlign w:val="center"/>
                </w:tcPr>
                <w:p w14:paraId="6A1A00E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24" w:type="pct"/>
                  <w:tcBorders>
                    <w:bottom w:val="single" w:color="auto" w:sz="4" w:space="0"/>
                    <w:tl2br w:val="nil"/>
                    <w:tr2bl w:val="nil"/>
                  </w:tcBorders>
                  <w:noWrap/>
                  <w:vAlign w:val="center"/>
                </w:tcPr>
                <w:p w14:paraId="1BBA3E6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c>
                <w:tcPr>
                  <w:tcW w:w="488" w:type="pct"/>
                  <w:tcBorders>
                    <w:bottom w:val="single" w:color="auto" w:sz="4" w:space="0"/>
                    <w:tl2br w:val="nil"/>
                    <w:tr2bl w:val="nil"/>
                  </w:tcBorders>
                  <w:noWrap/>
                  <w:vAlign w:val="center"/>
                </w:tcPr>
                <w:p w14:paraId="4B5A512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1091" w:type="pct"/>
                  <w:tcBorders>
                    <w:bottom w:val="single" w:color="auto" w:sz="4" w:space="0"/>
                    <w:tl2br w:val="nil"/>
                    <w:tr2bl w:val="nil"/>
                  </w:tcBorders>
                  <w:noWrap/>
                  <w:vAlign w:val="center"/>
                </w:tcPr>
                <w:p w14:paraId="2B3A8EB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外购</w:t>
                  </w:r>
                </w:p>
              </w:tc>
            </w:tr>
            <w:tr w14:paraId="5854EB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8" w:hRule="atLeast"/>
                <w:jc w:val="center"/>
              </w:trPr>
              <w:tc>
                <w:tcPr>
                  <w:tcW w:w="428" w:type="pct"/>
                  <w:tcBorders>
                    <w:tl2br w:val="nil"/>
                    <w:tr2bl w:val="nil"/>
                  </w:tcBorders>
                  <w:noWrap/>
                  <w:vAlign w:val="center"/>
                </w:tcPr>
                <w:p w14:paraId="2199404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980" w:type="pct"/>
                  <w:tcBorders>
                    <w:tl2br w:val="nil"/>
                    <w:tr2bl w:val="nil"/>
                  </w:tcBorders>
                  <w:noWrap/>
                  <w:vAlign w:val="center"/>
                </w:tcPr>
                <w:p w14:paraId="154F167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磁选机</w:t>
                  </w:r>
                </w:p>
              </w:tc>
              <w:tc>
                <w:tcPr>
                  <w:tcW w:w="1187" w:type="pct"/>
                  <w:tcBorders>
                    <w:tl2br w:val="nil"/>
                    <w:tr2bl w:val="nil"/>
                  </w:tcBorders>
                  <w:noWrap/>
                  <w:vAlign w:val="center"/>
                </w:tcPr>
                <w:p w14:paraId="456F236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24" w:type="pct"/>
                  <w:tcBorders>
                    <w:top w:val="single" w:color="auto" w:sz="4" w:space="0"/>
                    <w:tl2br w:val="nil"/>
                    <w:tr2bl w:val="nil"/>
                  </w:tcBorders>
                  <w:noWrap/>
                  <w:vAlign w:val="center"/>
                </w:tcPr>
                <w:p w14:paraId="09149AE1">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c>
                <w:tcPr>
                  <w:tcW w:w="488" w:type="pct"/>
                  <w:tcBorders>
                    <w:top w:val="single" w:color="auto" w:sz="4" w:space="0"/>
                    <w:tl2br w:val="nil"/>
                    <w:tr2bl w:val="nil"/>
                  </w:tcBorders>
                  <w:noWrap/>
                  <w:vAlign w:val="center"/>
                </w:tcPr>
                <w:p w14:paraId="717EE32C">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1091" w:type="pct"/>
                  <w:tcBorders>
                    <w:top w:val="single" w:color="auto" w:sz="4" w:space="0"/>
                    <w:tl2br w:val="nil"/>
                    <w:tr2bl w:val="nil"/>
                  </w:tcBorders>
                  <w:noWrap/>
                  <w:vAlign w:val="center"/>
                </w:tcPr>
                <w:p w14:paraId="272544D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外购</w:t>
                  </w:r>
                </w:p>
              </w:tc>
            </w:tr>
            <w:tr w14:paraId="2D0519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428" w:type="pct"/>
                  <w:tcBorders>
                    <w:tl2br w:val="nil"/>
                    <w:tr2bl w:val="nil"/>
                  </w:tcBorders>
                  <w:noWrap/>
                  <w:vAlign w:val="center"/>
                </w:tcPr>
                <w:p w14:paraId="7D0D051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980" w:type="pct"/>
                  <w:tcBorders>
                    <w:tl2br w:val="nil"/>
                    <w:tr2bl w:val="nil"/>
                  </w:tcBorders>
                  <w:noWrap/>
                  <w:vAlign w:val="center"/>
                </w:tcPr>
                <w:p w14:paraId="6A08127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球磨机</w:t>
                  </w:r>
                </w:p>
              </w:tc>
              <w:tc>
                <w:tcPr>
                  <w:tcW w:w="1187" w:type="pct"/>
                  <w:tcBorders>
                    <w:tl2br w:val="nil"/>
                    <w:tr2bl w:val="nil"/>
                  </w:tcBorders>
                  <w:noWrap/>
                  <w:vAlign w:val="center"/>
                </w:tcPr>
                <w:p w14:paraId="20F91E8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24" w:type="pct"/>
                  <w:tcBorders>
                    <w:tl2br w:val="nil"/>
                    <w:tr2bl w:val="nil"/>
                  </w:tcBorders>
                  <w:noWrap/>
                  <w:vAlign w:val="center"/>
                </w:tcPr>
                <w:p w14:paraId="3DB78A2F">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c>
                <w:tcPr>
                  <w:tcW w:w="488" w:type="pct"/>
                  <w:tcBorders>
                    <w:tl2br w:val="nil"/>
                    <w:tr2bl w:val="nil"/>
                  </w:tcBorders>
                  <w:noWrap/>
                  <w:vAlign w:val="center"/>
                </w:tcPr>
                <w:p w14:paraId="12E1C062">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12</w:t>
                  </w:r>
                </w:p>
              </w:tc>
              <w:tc>
                <w:tcPr>
                  <w:tcW w:w="1091" w:type="pct"/>
                  <w:tcBorders>
                    <w:tl2br w:val="nil"/>
                    <w:tr2bl w:val="nil"/>
                  </w:tcBorders>
                  <w:noWrap/>
                  <w:vAlign w:val="center"/>
                </w:tcPr>
                <w:p w14:paraId="0F46DC0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外购</w:t>
                  </w:r>
                </w:p>
              </w:tc>
            </w:tr>
            <w:tr w14:paraId="6B7404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428" w:type="pct"/>
                  <w:tcBorders>
                    <w:tl2br w:val="nil"/>
                    <w:tr2bl w:val="nil"/>
                  </w:tcBorders>
                  <w:noWrap/>
                  <w:vAlign w:val="center"/>
                </w:tcPr>
                <w:p w14:paraId="3556269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4</w:t>
                  </w:r>
                </w:p>
              </w:tc>
              <w:tc>
                <w:tcPr>
                  <w:tcW w:w="980" w:type="pct"/>
                  <w:tcBorders>
                    <w:tl2br w:val="nil"/>
                    <w:tr2bl w:val="nil"/>
                  </w:tcBorders>
                  <w:noWrap/>
                  <w:vAlign w:val="center"/>
                </w:tcPr>
                <w:p w14:paraId="4B966A0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气流筛分机</w:t>
                  </w:r>
                </w:p>
              </w:tc>
              <w:tc>
                <w:tcPr>
                  <w:tcW w:w="1187" w:type="pct"/>
                  <w:tcBorders>
                    <w:tl2br w:val="nil"/>
                    <w:tr2bl w:val="nil"/>
                  </w:tcBorders>
                  <w:noWrap/>
                  <w:vAlign w:val="center"/>
                </w:tcPr>
                <w:p w14:paraId="3F2B631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824" w:type="pct"/>
                  <w:tcBorders>
                    <w:tl2br w:val="nil"/>
                    <w:tr2bl w:val="nil"/>
                  </w:tcBorders>
                  <w:noWrap/>
                  <w:vAlign w:val="center"/>
                </w:tcPr>
                <w:p w14:paraId="7FDBD7A3">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台</w:t>
                  </w:r>
                </w:p>
              </w:tc>
              <w:tc>
                <w:tcPr>
                  <w:tcW w:w="488" w:type="pct"/>
                  <w:tcBorders>
                    <w:tl2br w:val="nil"/>
                    <w:tr2bl w:val="nil"/>
                  </w:tcBorders>
                  <w:noWrap/>
                  <w:vAlign w:val="center"/>
                </w:tcPr>
                <w:p w14:paraId="4E94EC3B">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1091" w:type="pct"/>
                  <w:tcBorders>
                    <w:tl2br w:val="nil"/>
                    <w:tr2bl w:val="nil"/>
                  </w:tcBorders>
                  <w:noWrap/>
                  <w:vAlign w:val="center"/>
                </w:tcPr>
                <w:p w14:paraId="3B09E06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外购</w:t>
                  </w:r>
                </w:p>
              </w:tc>
            </w:tr>
            <w:tr w14:paraId="11F252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428" w:type="pct"/>
                  <w:tcBorders>
                    <w:tl2br w:val="nil"/>
                    <w:tr2bl w:val="nil"/>
                  </w:tcBorders>
                  <w:noWrap/>
                  <w:vAlign w:val="center"/>
                </w:tcPr>
                <w:p w14:paraId="70002E2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5</w:t>
                  </w:r>
                </w:p>
              </w:tc>
              <w:tc>
                <w:tcPr>
                  <w:tcW w:w="980" w:type="pct"/>
                  <w:tcBorders>
                    <w:tl2br w:val="nil"/>
                    <w:tr2bl w:val="nil"/>
                  </w:tcBorders>
                  <w:shd w:val="clear" w:color="auto" w:fill="auto"/>
                  <w:noWrap/>
                  <w:vAlign w:val="center"/>
                </w:tcPr>
                <w:p w14:paraId="1C498A19">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布袋除尘器</w:t>
                  </w:r>
                </w:p>
              </w:tc>
              <w:tc>
                <w:tcPr>
                  <w:tcW w:w="1187" w:type="pct"/>
                  <w:tcBorders>
                    <w:tl2br w:val="nil"/>
                    <w:tr2bl w:val="nil"/>
                  </w:tcBorders>
                  <w:shd w:val="clear" w:color="auto" w:fill="auto"/>
                  <w:noWrap/>
                  <w:vAlign w:val="center"/>
                </w:tcPr>
                <w:p w14:paraId="42E1B3DE">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w:t>
                  </w:r>
                </w:p>
              </w:tc>
              <w:tc>
                <w:tcPr>
                  <w:tcW w:w="824" w:type="pct"/>
                  <w:tcBorders>
                    <w:tl2br w:val="nil"/>
                    <w:tr2bl w:val="nil"/>
                  </w:tcBorders>
                  <w:shd w:val="clear" w:color="auto" w:fill="auto"/>
                  <w:noWrap/>
                  <w:vAlign w:val="center"/>
                </w:tcPr>
                <w:p w14:paraId="684C237C">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台</w:t>
                  </w:r>
                </w:p>
              </w:tc>
              <w:tc>
                <w:tcPr>
                  <w:tcW w:w="488" w:type="pct"/>
                  <w:tcBorders>
                    <w:tl2br w:val="nil"/>
                    <w:tr2bl w:val="nil"/>
                  </w:tcBorders>
                  <w:shd w:val="clear" w:color="auto" w:fill="auto"/>
                  <w:noWrap/>
                  <w:vAlign w:val="center"/>
                </w:tcPr>
                <w:p w14:paraId="5980ABDC">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w:t>
                  </w:r>
                </w:p>
              </w:tc>
              <w:tc>
                <w:tcPr>
                  <w:tcW w:w="1091" w:type="pct"/>
                  <w:tcBorders>
                    <w:tl2br w:val="nil"/>
                    <w:tr2bl w:val="nil"/>
                  </w:tcBorders>
                  <w:shd w:val="clear" w:color="auto" w:fill="auto"/>
                  <w:noWrap/>
                  <w:vAlign w:val="center"/>
                </w:tcPr>
                <w:p w14:paraId="74718FE4">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外购</w:t>
                  </w:r>
                </w:p>
              </w:tc>
            </w:tr>
          </w:tbl>
          <w:p w14:paraId="3FF901E9">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六、本项目建成后产品方案见下表。</w:t>
            </w:r>
          </w:p>
          <w:p w14:paraId="034890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表2-</w:t>
            </w:r>
            <w:r>
              <w:rPr>
                <w:rFonts w:hint="eastAsia" w:cs="Times New Roman"/>
                <w:b/>
                <w:color w:val="auto"/>
                <w:szCs w:val="21"/>
                <w:highlight w:val="none"/>
                <w:lang w:val="en-US" w:eastAsia="zh-CN"/>
              </w:rPr>
              <w:t xml:space="preserve">4 </w:t>
            </w:r>
            <w:r>
              <w:rPr>
                <w:rFonts w:hint="default" w:ascii="Times New Roman" w:hAnsi="Times New Roman" w:eastAsia="宋体" w:cs="Times New Roman"/>
                <w:b/>
                <w:color w:val="auto"/>
                <w:szCs w:val="21"/>
                <w:highlight w:val="none"/>
                <w:lang w:val="en-US" w:eastAsia="zh-CN"/>
              </w:rPr>
              <w:t>项目建成后产品方案一览表</w:t>
            </w:r>
          </w:p>
          <w:tbl>
            <w:tblPr>
              <w:tblStyle w:val="36"/>
              <w:tblW w:w="5003"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62"/>
              <w:gridCol w:w="3469"/>
              <w:gridCol w:w="2487"/>
              <w:gridCol w:w="1816"/>
            </w:tblGrid>
            <w:tr w14:paraId="4C228A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6" w:hRule="atLeast"/>
              </w:trPr>
              <w:tc>
                <w:tcPr>
                  <w:tcW w:w="550" w:type="pct"/>
                  <w:noWrap w:val="0"/>
                  <w:vAlign w:val="center"/>
                </w:tcPr>
                <w:p w14:paraId="0940911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序号</w:t>
                  </w:r>
                </w:p>
              </w:tc>
              <w:tc>
                <w:tcPr>
                  <w:tcW w:w="1986" w:type="pct"/>
                  <w:noWrap w:val="0"/>
                  <w:vAlign w:val="center"/>
                </w:tcPr>
                <w:p w14:paraId="5F0D77B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产品名称</w:t>
                  </w:r>
                </w:p>
              </w:tc>
              <w:tc>
                <w:tcPr>
                  <w:tcW w:w="1423" w:type="pct"/>
                  <w:noWrap w:val="0"/>
                  <w:vAlign w:val="center"/>
                </w:tcPr>
                <w:p w14:paraId="5DC6FBD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产能</w:t>
                  </w:r>
                </w:p>
              </w:tc>
              <w:tc>
                <w:tcPr>
                  <w:tcW w:w="1039" w:type="pct"/>
                  <w:noWrap w:val="0"/>
                  <w:vAlign w:val="center"/>
                </w:tcPr>
                <w:p w14:paraId="520B5D1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备注</w:t>
                  </w:r>
                </w:p>
              </w:tc>
            </w:tr>
            <w:tr w14:paraId="2AC1B3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6" w:hRule="atLeast"/>
              </w:trPr>
              <w:tc>
                <w:tcPr>
                  <w:tcW w:w="550" w:type="pct"/>
                  <w:noWrap w:val="0"/>
                  <w:vAlign w:val="center"/>
                </w:tcPr>
                <w:p w14:paraId="059D2DD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1986" w:type="pct"/>
                  <w:noWrap w:val="0"/>
                  <w:vAlign w:val="center"/>
                </w:tcPr>
                <w:p w14:paraId="05017F2F">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新能源电池用高纯晶体纳米新材料</w:t>
                  </w:r>
                </w:p>
              </w:tc>
              <w:tc>
                <w:tcPr>
                  <w:tcW w:w="1423" w:type="pct"/>
                  <w:noWrap w:val="0"/>
                  <w:vAlign w:val="center"/>
                </w:tcPr>
                <w:p w14:paraId="4FFE533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20000t/a</w:t>
                  </w:r>
                </w:p>
              </w:tc>
              <w:tc>
                <w:tcPr>
                  <w:tcW w:w="1039" w:type="pct"/>
                  <w:noWrap w:val="0"/>
                  <w:vAlign w:val="center"/>
                </w:tcPr>
                <w:p w14:paraId="6D5B5D9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大于500目</w:t>
                  </w:r>
                </w:p>
              </w:tc>
            </w:tr>
          </w:tbl>
          <w:p w14:paraId="2BE5C3B3">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七、公用工程</w:t>
            </w:r>
          </w:p>
          <w:p w14:paraId="2DFAC39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1、给水</w:t>
            </w:r>
          </w:p>
          <w:p w14:paraId="7AE7706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lang w:val="en-US" w:eastAsia="zh-CN"/>
              </w:rPr>
            </w:pPr>
            <w:r>
              <w:rPr>
                <w:rFonts w:hint="eastAsia" w:ascii="Times New Roman" w:hAnsi="Times New Roman" w:cs="Times New Roman"/>
                <w:color w:val="auto"/>
                <w:sz w:val="24"/>
                <w:szCs w:val="32"/>
                <w:highlight w:val="none"/>
                <w:lang w:val="en-US" w:eastAsia="zh-CN"/>
              </w:rPr>
              <w:t>本</w:t>
            </w:r>
            <w:r>
              <w:rPr>
                <w:rFonts w:hint="default" w:ascii="Times New Roman" w:hAnsi="Times New Roman" w:cs="Times New Roman"/>
                <w:color w:val="auto"/>
                <w:sz w:val="24"/>
                <w:szCs w:val="32"/>
                <w:highlight w:val="none"/>
              </w:rPr>
              <w:t>项目</w:t>
            </w:r>
            <w:r>
              <w:rPr>
                <w:rFonts w:hint="eastAsia" w:ascii="Times New Roman" w:hAnsi="Times New Roman" w:cs="Times New Roman"/>
                <w:color w:val="auto"/>
                <w:sz w:val="24"/>
                <w:szCs w:val="32"/>
                <w:highlight w:val="none"/>
                <w:lang w:val="en-US" w:eastAsia="zh-CN"/>
              </w:rPr>
              <w:t>生活</w:t>
            </w:r>
            <w:r>
              <w:rPr>
                <w:rFonts w:hint="default" w:ascii="Times New Roman" w:hAnsi="Times New Roman" w:cs="Times New Roman"/>
                <w:color w:val="auto"/>
                <w:sz w:val="24"/>
                <w:szCs w:val="32"/>
                <w:highlight w:val="none"/>
              </w:rPr>
              <w:t>用水来自</w:t>
            </w:r>
            <w:r>
              <w:rPr>
                <w:rFonts w:hint="default" w:ascii="Times New Roman" w:hAnsi="Times New Roman" w:cs="Times New Roman"/>
                <w:color w:val="auto"/>
                <w:sz w:val="24"/>
                <w:szCs w:val="32"/>
                <w:highlight w:val="none"/>
                <w:lang w:val="en-US" w:eastAsia="zh-CN"/>
              </w:rPr>
              <w:t>淄川区</w:t>
            </w:r>
            <w:r>
              <w:rPr>
                <w:rFonts w:hint="default" w:ascii="Times New Roman" w:hAnsi="Times New Roman" w:cs="Times New Roman"/>
                <w:color w:val="auto"/>
                <w:sz w:val="24"/>
                <w:szCs w:val="32"/>
                <w:highlight w:val="none"/>
              </w:rPr>
              <w:t>自来水管网</w:t>
            </w:r>
            <w:r>
              <w:rPr>
                <w:rFonts w:hint="default" w:ascii="Times New Roman" w:hAnsi="Times New Roman" w:cs="Times New Roman"/>
                <w:color w:val="auto"/>
                <w:sz w:val="24"/>
                <w:szCs w:val="32"/>
                <w:highlight w:val="none"/>
                <w:lang w:val="en-US" w:eastAsia="zh-CN"/>
              </w:rPr>
              <w:t>。</w:t>
            </w:r>
          </w:p>
          <w:p w14:paraId="58BC423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lang w:val="en-US" w:eastAsia="zh-CN"/>
              </w:rPr>
              <w:t>生活用水：</w:t>
            </w:r>
            <w:r>
              <w:rPr>
                <w:rFonts w:hint="default" w:ascii="Times New Roman" w:hAnsi="Times New Roman" w:cs="Times New Roman"/>
                <w:color w:val="auto"/>
                <w:sz w:val="24"/>
                <w:szCs w:val="32"/>
                <w:highlight w:val="none"/>
              </w:rPr>
              <w:t>项目职工</w:t>
            </w:r>
            <w:r>
              <w:rPr>
                <w:rFonts w:hint="eastAsia" w:cs="Times New Roman"/>
                <w:color w:val="auto"/>
                <w:sz w:val="24"/>
                <w:szCs w:val="32"/>
                <w:highlight w:val="none"/>
                <w:lang w:val="en-US" w:eastAsia="zh-CN"/>
              </w:rPr>
              <w:t>15</w:t>
            </w:r>
            <w:r>
              <w:rPr>
                <w:rFonts w:hint="default" w:ascii="Times New Roman" w:hAnsi="Times New Roman" w:cs="Times New Roman"/>
                <w:color w:val="auto"/>
                <w:sz w:val="24"/>
                <w:szCs w:val="32"/>
                <w:highlight w:val="none"/>
              </w:rPr>
              <w:t>人，根据</w:t>
            </w:r>
            <w:r>
              <w:rPr>
                <w:rFonts w:hint="default" w:ascii="Times New Roman" w:hAnsi="Times New Roman" w:cs="Times New Roman"/>
                <w:color w:val="auto"/>
                <w:sz w:val="24"/>
                <w:szCs w:val="24"/>
                <w:highlight w:val="none"/>
              </w:rPr>
              <w:t>《建筑给水设计规范》（GB50075-2003）</w:t>
            </w:r>
            <w:r>
              <w:rPr>
                <w:rFonts w:hint="default" w:ascii="Times New Roman" w:hAnsi="Times New Roman" w:cs="Times New Roman"/>
                <w:color w:val="auto"/>
                <w:sz w:val="24"/>
                <w:szCs w:val="32"/>
                <w:highlight w:val="none"/>
              </w:rPr>
              <w:t>工业企业建筑生活用水定额，职工用水量按照30L/人·d 计；每年按300个工作日计，年生活用水量为</w:t>
            </w:r>
            <w:r>
              <w:rPr>
                <w:rFonts w:hint="eastAsia" w:cs="Times New Roman"/>
                <w:color w:val="auto"/>
                <w:sz w:val="24"/>
                <w:szCs w:val="32"/>
                <w:highlight w:val="none"/>
                <w:lang w:val="en-US" w:eastAsia="zh-CN"/>
              </w:rPr>
              <w:t>135</w:t>
            </w:r>
            <w:r>
              <w:rPr>
                <w:rFonts w:hint="default" w:ascii="Times New Roman" w:hAnsi="Times New Roman" w:cs="Times New Roman"/>
                <w:color w:val="auto"/>
                <w:sz w:val="24"/>
                <w:szCs w:val="32"/>
                <w:highlight w:val="none"/>
              </w:rPr>
              <w:t>m</w:t>
            </w:r>
            <w:r>
              <w:rPr>
                <w:rFonts w:hint="default" w:ascii="Times New Roman" w:hAnsi="Times New Roman" w:cs="Times New Roman"/>
                <w:color w:val="auto"/>
                <w:sz w:val="24"/>
                <w:szCs w:val="32"/>
                <w:highlight w:val="none"/>
                <w:vertAlign w:val="superscript"/>
              </w:rPr>
              <w:t>3</w:t>
            </w:r>
            <w:r>
              <w:rPr>
                <w:rFonts w:hint="default" w:ascii="Times New Roman" w:hAnsi="Times New Roman" w:cs="Times New Roman"/>
                <w:color w:val="auto"/>
                <w:sz w:val="24"/>
                <w:szCs w:val="32"/>
                <w:highlight w:val="none"/>
              </w:rPr>
              <w:t>/a。</w:t>
            </w:r>
          </w:p>
          <w:p w14:paraId="2A20333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szCs w:val="32"/>
                <w:highlight w:val="none"/>
                <w:lang w:eastAsia="zh-CN"/>
              </w:rPr>
            </w:pPr>
            <w:r>
              <w:rPr>
                <w:rFonts w:hint="default" w:ascii="Times New Roman" w:hAnsi="Times New Roman" w:eastAsia="宋体" w:cs="Times New Roman"/>
                <w:sz w:val="24"/>
                <w:szCs w:val="32"/>
                <w:highlight w:val="none"/>
                <w:lang w:eastAsia="zh-CN"/>
              </w:rPr>
              <w:t>洒水降尘用水</w:t>
            </w:r>
            <w:r>
              <w:rPr>
                <w:rFonts w:hint="eastAsia" w:ascii="Times New Roman" w:hAnsi="Times New Roman" w:eastAsia="宋体" w:cs="Times New Roman"/>
                <w:sz w:val="24"/>
                <w:szCs w:val="32"/>
                <w:highlight w:val="none"/>
                <w:lang w:eastAsia="zh-CN"/>
              </w:rPr>
              <w:t>：项目在</w:t>
            </w:r>
            <w:r>
              <w:rPr>
                <w:rFonts w:hint="eastAsia" w:ascii="Times New Roman" w:hAnsi="Times New Roman" w:eastAsia="宋体" w:cs="Times New Roman"/>
                <w:sz w:val="24"/>
                <w:szCs w:val="32"/>
                <w:highlight w:val="none"/>
                <w:lang w:val="en-US" w:eastAsia="zh-CN"/>
              </w:rPr>
              <w:t>厂区内</w:t>
            </w:r>
            <w:r>
              <w:rPr>
                <w:rFonts w:hint="eastAsia" w:ascii="Times New Roman" w:hAnsi="Times New Roman" w:eastAsia="宋体" w:cs="Times New Roman"/>
                <w:sz w:val="24"/>
                <w:szCs w:val="32"/>
                <w:highlight w:val="none"/>
                <w:lang w:eastAsia="zh-CN"/>
              </w:rPr>
              <w:t>定期进行洒水降尘。</w:t>
            </w:r>
            <w:r>
              <w:rPr>
                <w:rFonts w:hint="eastAsia" w:ascii="Times New Roman" w:hAnsi="Times New Roman" w:eastAsia="宋体" w:cs="Times New Roman"/>
                <w:sz w:val="24"/>
                <w:szCs w:val="32"/>
                <w:highlight w:val="none"/>
                <w:lang w:val="en-US" w:eastAsia="zh-CN"/>
              </w:rPr>
              <w:t>根据企业提供资料，</w:t>
            </w:r>
            <w:r>
              <w:rPr>
                <w:rFonts w:hint="eastAsia" w:ascii="Times New Roman" w:hAnsi="Times New Roman" w:eastAsia="宋体" w:cs="Times New Roman"/>
                <w:sz w:val="24"/>
                <w:szCs w:val="32"/>
                <w:highlight w:val="none"/>
              </w:rPr>
              <w:t>本项目</w:t>
            </w:r>
            <w:r>
              <w:rPr>
                <w:rFonts w:hint="eastAsia" w:ascii="Times New Roman" w:hAnsi="Times New Roman" w:eastAsia="宋体" w:cs="Times New Roman"/>
                <w:sz w:val="24"/>
                <w:szCs w:val="32"/>
                <w:highlight w:val="none"/>
                <w:lang w:val="en-US" w:eastAsia="zh-CN"/>
              </w:rPr>
              <w:t>厂区内</w:t>
            </w:r>
            <w:r>
              <w:rPr>
                <w:rFonts w:hint="eastAsia" w:ascii="Times New Roman" w:hAnsi="Times New Roman" w:eastAsia="宋体" w:cs="Times New Roman"/>
                <w:sz w:val="24"/>
                <w:szCs w:val="32"/>
                <w:highlight w:val="none"/>
              </w:rPr>
              <w:t>洒水降尘用水量为</w:t>
            </w:r>
            <w:r>
              <w:rPr>
                <w:rFonts w:hint="eastAsia" w:ascii="Times New Roman" w:hAnsi="Times New Roman" w:eastAsia="宋体" w:cs="Times New Roman"/>
                <w:sz w:val="24"/>
                <w:szCs w:val="32"/>
                <w:highlight w:val="none"/>
                <w:lang w:val="en-US" w:eastAsia="zh-CN"/>
              </w:rPr>
              <w:t>5</w:t>
            </w:r>
            <w:r>
              <w:rPr>
                <w:rFonts w:hint="eastAsia" w:ascii="Times New Roman" w:hAnsi="Times New Roman" w:eastAsia="宋体" w:cs="Times New Roman"/>
                <w:sz w:val="24"/>
                <w:szCs w:val="32"/>
                <w:highlight w:val="none"/>
              </w:rPr>
              <w:t>0</w:t>
            </w:r>
            <w:r>
              <w:rPr>
                <w:rFonts w:hint="default" w:ascii="Times New Roman" w:hAnsi="Times New Roman" w:cs="Times New Roman"/>
                <w:color w:val="auto"/>
                <w:sz w:val="24"/>
                <w:szCs w:val="32"/>
                <w:highlight w:val="none"/>
              </w:rPr>
              <w:t>m</w:t>
            </w:r>
            <w:r>
              <w:rPr>
                <w:rFonts w:hint="default" w:ascii="Times New Roman" w:hAnsi="Times New Roman" w:cs="Times New Roman"/>
                <w:color w:val="auto"/>
                <w:sz w:val="24"/>
                <w:szCs w:val="32"/>
                <w:highlight w:val="none"/>
                <w:vertAlign w:val="superscript"/>
              </w:rPr>
              <w:t>3</w:t>
            </w:r>
            <w:r>
              <w:rPr>
                <w:rFonts w:hint="default" w:ascii="Times New Roman" w:hAnsi="Times New Roman" w:cs="Times New Roman"/>
                <w:color w:val="auto"/>
                <w:sz w:val="24"/>
                <w:szCs w:val="32"/>
                <w:highlight w:val="none"/>
              </w:rPr>
              <w:t>/a</w:t>
            </w:r>
            <w:r>
              <w:rPr>
                <w:rFonts w:hint="eastAsia" w:ascii="Times New Roman" w:hAnsi="Times New Roman" w:eastAsia="宋体" w:cs="Times New Roman"/>
                <w:sz w:val="24"/>
                <w:szCs w:val="32"/>
                <w:highlight w:val="none"/>
              </w:rPr>
              <w:t>。</w:t>
            </w:r>
            <w:r>
              <w:rPr>
                <w:rFonts w:hint="eastAsia" w:ascii="Times New Roman" w:hAnsi="Times New Roman" w:eastAsia="宋体" w:cs="Times New Roman"/>
                <w:sz w:val="24"/>
                <w:szCs w:val="32"/>
                <w:highlight w:val="none"/>
                <w:lang w:eastAsia="zh-CN"/>
              </w:rPr>
              <w:t>降尘用水全部蒸发损耗，无废水产生。</w:t>
            </w:r>
          </w:p>
          <w:p w14:paraId="160CD94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cs="Times New Roman"/>
                <w:color w:val="auto"/>
                <w:sz w:val="24"/>
                <w:szCs w:val="32"/>
                <w:highlight w:val="none"/>
                <w:lang w:val="en-US" w:eastAsia="zh-CN"/>
              </w:rPr>
              <w:t>综上述所述，</w:t>
            </w:r>
            <w:r>
              <w:rPr>
                <w:rFonts w:hint="eastAsia" w:ascii="Times New Roman" w:hAnsi="Times New Roman" w:cs="Times New Roman"/>
                <w:color w:val="auto"/>
                <w:sz w:val="24"/>
                <w:szCs w:val="32"/>
                <w:highlight w:val="none"/>
                <w:lang w:val="en-US" w:eastAsia="zh-CN"/>
              </w:rPr>
              <w:t>本项目自来水用量</w:t>
            </w:r>
            <w:r>
              <w:rPr>
                <w:rFonts w:hint="eastAsia" w:cs="Times New Roman"/>
                <w:color w:val="auto"/>
                <w:sz w:val="24"/>
                <w:szCs w:val="32"/>
                <w:highlight w:val="none"/>
                <w:lang w:val="en-US" w:eastAsia="zh-CN"/>
              </w:rPr>
              <w:t>185</w:t>
            </w:r>
            <w:r>
              <w:rPr>
                <w:rFonts w:hint="default" w:ascii="Times New Roman" w:hAnsi="Times New Roman" w:cs="Times New Roman"/>
                <w:color w:val="auto"/>
                <w:sz w:val="24"/>
                <w:szCs w:val="32"/>
                <w:highlight w:val="none"/>
              </w:rPr>
              <w:t>m</w:t>
            </w:r>
            <w:r>
              <w:rPr>
                <w:rFonts w:hint="default" w:ascii="Times New Roman" w:hAnsi="Times New Roman" w:cs="Times New Roman"/>
                <w:color w:val="auto"/>
                <w:sz w:val="24"/>
                <w:szCs w:val="32"/>
                <w:highlight w:val="none"/>
                <w:vertAlign w:val="superscript"/>
              </w:rPr>
              <w:t>3</w:t>
            </w:r>
            <w:r>
              <w:rPr>
                <w:rFonts w:hint="default" w:ascii="Times New Roman" w:hAnsi="Times New Roman" w:cs="Times New Roman"/>
                <w:color w:val="auto"/>
                <w:sz w:val="24"/>
                <w:szCs w:val="32"/>
                <w:highlight w:val="none"/>
              </w:rPr>
              <w:t>/a。</w:t>
            </w:r>
          </w:p>
          <w:p w14:paraId="1138495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2、排水</w:t>
            </w:r>
          </w:p>
          <w:p w14:paraId="128A384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cs="Times New Roman"/>
                <w:color w:val="auto"/>
                <w:sz w:val="24"/>
                <w:szCs w:val="32"/>
                <w:highlight w:val="none"/>
              </w:rPr>
              <w:t>本项目产生的废水</w:t>
            </w:r>
            <w:r>
              <w:rPr>
                <w:rFonts w:hint="eastAsia" w:ascii="Times New Roman" w:hAnsi="Times New Roman" w:cs="Times New Roman"/>
                <w:color w:val="auto"/>
                <w:sz w:val="24"/>
                <w:szCs w:val="32"/>
                <w:highlight w:val="none"/>
                <w:lang w:val="en-US" w:eastAsia="zh-CN"/>
              </w:rPr>
              <w:t>主要</w:t>
            </w:r>
            <w:r>
              <w:rPr>
                <w:rFonts w:hint="default" w:ascii="Times New Roman" w:hAnsi="Times New Roman" w:cs="Times New Roman"/>
                <w:color w:val="auto"/>
                <w:sz w:val="24"/>
                <w:szCs w:val="32"/>
                <w:highlight w:val="none"/>
              </w:rPr>
              <w:t>为生活污水</w:t>
            </w:r>
            <w:r>
              <w:rPr>
                <w:rFonts w:hint="eastAsia" w:cs="Times New Roman"/>
                <w:color w:val="auto"/>
                <w:sz w:val="24"/>
                <w:szCs w:val="32"/>
                <w:highlight w:val="none"/>
                <w:lang w:eastAsia="zh-CN"/>
              </w:rPr>
              <w:t>，</w:t>
            </w:r>
            <w:r>
              <w:rPr>
                <w:rFonts w:hint="eastAsia" w:ascii="Times New Roman" w:hAnsi="Times New Roman" w:eastAsia="宋体" w:cs="Times New Roman"/>
                <w:sz w:val="24"/>
                <w:szCs w:val="32"/>
                <w:highlight w:val="none"/>
                <w:lang w:eastAsia="zh-CN"/>
              </w:rPr>
              <w:t>降尘用水全部蒸发损耗，无废水产生</w:t>
            </w:r>
            <w:r>
              <w:rPr>
                <w:rFonts w:hint="default" w:ascii="Times New Roman" w:hAnsi="Times New Roman" w:cs="Times New Roman"/>
                <w:color w:val="auto"/>
                <w:sz w:val="24"/>
                <w:szCs w:val="32"/>
                <w:highlight w:val="none"/>
                <w:lang w:val="en-US" w:eastAsia="zh-CN"/>
              </w:rPr>
              <w:t>。</w:t>
            </w:r>
          </w:p>
          <w:p w14:paraId="0528A23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生活污水</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生活污水产生量按生活用水量的80%计算，即</w:t>
            </w:r>
            <w:r>
              <w:rPr>
                <w:rFonts w:hint="eastAsia" w:cs="Times New Roman"/>
                <w:color w:val="auto"/>
                <w:sz w:val="24"/>
                <w:szCs w:val="32"/>
                <w:highlight w:val="none"/>
                <w:lang w:val="en-US" w:eastAsia="zh-CN"/>
              </w:rPr>
              <w:t>108</w:t>
            </w:r>
            <w:r>
              <w:rPr>
                <w:rFonts w:hint="default" w:ascii="Times New Roman" w:hAnsi="Times New Roman" w:cs="Times New Roman"/>
                <w:color w:val="auto"/>
                <w:sz w:val="24"/>
                <w:szCs w:val="32"/>
                <w:highlight w:val="none"/>
              </w:rPr>
              <w:t>m</w:t>
            </w:r>
            <w:r>
              <w:rPr>
                <w:rFonts w:hint="default" w:ascii="Times New Roman" w:hAnsi="Times New Roman" w:cs="Times New Roman"/>
                <w:color w:val="auto"/>
                <w:sz w:val="24"/>
                <w:szCs w:val="32"/>
                <w:highlight w:val="none"/>
                <w:vertAlign w:val="superscript"/>
              </w:rPr>
              <w:t>3</w:t>
            </w:r>
            <w:r>
              <w:rPr>
                <w:rFonts w:hint="default" w:ascii="Times New Roman" w:hAnsi="Times New Roman" w:cs="Times New Roman"/>
                <w:color w:val="auto"/>
                <w:sz w:val="24"/>
                <w:szCs w:val="32"/>
                <w:highlight w:val="none"/>
              </w:rPr>
              <w:t>/a</w:t>
            </w:r>
            <w:r>
              <w:rPr>
                <w:rFonts w:hint="eastAsia" w:cs="Times New Roman"/>
                <w:color w:val="auto"/>
                <w:sz w:val="24"/>
                <w:szCs w:val="32"/>
                <w:highlight w:val="none"/>
                <w:lang w:eastAsia="zh-CN"/>
              </w:rPr>
              <w:t>，</w:t>
            </w:r>
            <w:r>
              <w:rPr>
                <w:rFonts w:hint="eastAsia" w:cs="Times New Roman"/>
                <w:color w:val="auto"/>
                <w:sz w:val="24"/>
                <w:szCs w:val="32"/>
                <w:highlight w:val="none"/>
                <w:lang w:val="en-US" w:eastAsia="zh-CN"/>
              </w:rPr>
              <w:t>经化粪池处理后，由环卫部门定期清运</w:t>
            </w:r>
            <w:r>
              <w:rPr>
                <w:rFonts w:hint="default" w:ascii="Times New Roman" w:hAnsi="Times New Roman" w:cs="Times New Roman"/>
                <w:color w:val="auto"/>
                <w:sz w:val="24"/>
                <w:szCs w:val="32"/>
                <w:highlight w:val="none"/>
                <w:lang w:val="en-US" w:eastAsia="zh-CN"/>
              </w:rPr>
              <w:t>。</w:t>
            </w:r>
          </w:p>
          <w:p w14:paraId="08FA9BC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项目水平衡见</w:t>
            </w:r>
            <w:r>
              <w:rPr>
                <w:rFonts w:hint="default" w:ascii="Times New Roman" w:hAnsi="Times New Roman" w:cs="Times New Roman"/>
                <w:color w:val="auto"/>
                <w:sz w:val="24"/>
                <w:szCs w:val="32"/>
                <w:highlight w:val="none"/>
                <w:lang w:val="en-US" w:eastAsia="zh-CN"/>
              </w:rPr>
              <w:t>框</w:t>
            </w:r>
            <w:r>
              <w:rPr>
                <w:rFonts w:hint="default" w:ascii="Times New Roman" w:hAnsi="Times New Roman" w:cs="Times New Roman"/>
                <w:color w:val="auto"/>
                <w:sz w:val="24"/>
                <w:szCs w:val="32"/>
                <w:highlight w:val="none"/>
              </w:rPr>
              <w:t>图2-1。</w:t>
            </w:r>
          </w:p>
          <w:p w14:paraId="0B13DF7B">
            <w:pPr>
              <w:pStyle w:val="2"/>
              <w:keepNext w:val="0"/>
              <w:keepLines w:val="0"/>
              <w:suppressLineNumbers w:val="0"/>
              <w:spacing w:before="0" w:beforeAutospacing="0" w:afterAutospacing="0"/>
              <w:ind w:left="0" w:leftChars="0" w:right="0" w:firstLine="0" w:firstLineChars="0"/>
              <w:jc w:val="center"/>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eastAsia="zh-CN"/>
              </w:rPr>
              <w:object>
                <v:shape id="_x0000_i1025" o:spt="75" type="#_x0000_t75" style="height:146.75pt;width:436.7pt;" o:ole="t" filled="f" o:preferrelative="t" stroked="f" coordsize="21600,21600">
                  <v:path/>
                  <v:fill on="f" focussize="0,0"/>
                  <v:stroke on="f"/>
                  <v:imagedata r:id="rId19" o:title=""/>
                  <o:lock v:ext="edit" aspectratio="f"/>
                  <w10:wrap type="none"/>
                  <w10:anchorlock/>
                </v:shape>
                <o:OLEObject Type="Embed" ProgID="Visio.Drawing.15" ShapeID="_x0000_i1025" DrawAspect="Content" ObjectID="_1468075725" r:id="rId18">
                  <o:LockedField>false</o:LockedField>
                </o:OLEObject>
              </w:object>
            </w:r>
          </w:p>
          <w:p w14:paraId="76E0C18A">
            <w:pPr>
              <w:keepNext w:val="0"/>
              <w:keepLines w:val="0"/>
              <w:suppressLineNumbers w:val="0"/>
              <w:spacing w:before="0" w:beforeAutospacing="0" w:after="0" w:afterAutospacing="0" w:line="360" w:lineRule="auto"/>
              <w:ind w:left="0" w:right="0"/>
              <w:jc w:val="righ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图2-1项目水平衡图 </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 xml:space="preserve"> 单位：m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/a</w:t>
            </w:r>
          </w:p>
          <w:p w14:paraId="3F2931E2">
            <w:pPr>
              <w:keepNext w:val="0"/>
              <w:keepLines w:val="0"/>
              <w:suppressLineNumbers w:val="0"/>
              <w:spacing w:before="0" w:beforeAutospacing="0" w:after="0" w:afterAutospacing="0" w:line="360" w:lineRule="auto"/>
              <w:ind w:left="0" w:right="0" w:firstLine="470" w:firstLineChars="196"/>
              <w:outlineLvl w:val="3"/>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3、供电</w:t>
            </w:r>
          </w:p>
          <w:p w14:paraId="06562EC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该项目用电由</w:t>
            </w:r>
            <w:r>
              <w:rPr>
                <w:rFonts w:hint="default" w:ascii="Times New Roman" w:hAnsi="Times New Roman" w:cs="Times New Roman"/>
                <w:color w:val="auto"/>
                <w:sz w:val="24"/>
                <w:szCs w:val="32"/>
                <w:highlight w:val="none"/>
                <w:lang w:eastAsia="zh-CN"/>
              </w:rPr>
              <w:t>淄博淄川区</w:t>
            </w:r>
            <w:r>
              <w:rPr>
                <w:rFonts w:hint="default" w:ascii="Times New Roman" w:hAnsi="Times New Roman" w:cs="Times New Roman"/>
                <w:color w:val="auto"/>
                <w:sz w:val="24"/>
                <w:szCs w:val="32"/>
                <w:highlight w:val="none"/>
              </w:rPr>
              <w:t>电网提供，年耗电量约</w:t>
            </w:r>
            <w:r>
              <w:rPr>
                <w:rFonts w:hint="eastAsia" w:cs="Times New Roman"/>
                <w:color w:val="auto"/>
                <w:sz w:val="24"/>
                <w:szCs w:val="32"/>
                <w:highlight w:val="none"/>
                <w:lang w:val="en-US" w:eastAsia="zh-CN"/>
              </w:rPr>
              <w:t>100</w:t>
            </w:r>
            <w:r>
              <w:rPr>
                <w:rFonts w:hint="default" w:ascii="Times New Roman" w:hAnsi="Times New Roman" w:cs="Times New Roman"/>
                <w:color w:val="auto"/>
                <w:sz w:val="24"/>
                <w:szCs w:val="32"/>
                <w:highlight w:val="none"/>
              </w:rPr>
              <w:t>万kWh。车间及办公室内电源插座均设漏电保护装置，厂区主要建筑物屋顶均设避雷带，作防雷保护。按照接地规程要求，所有电气设备金属外壳均作可靠接地、接零、防静电保护。</w:t>
            </w:r>
          </w:p>
          <w:p w14:paraId="540100B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4、消防安全</w:t>
            </w:r>
          </w:p>
          <w:p w14:paraId="5831202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本项目遵照《建筑设计防火规范》（GB50016-2014</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2018版）、《消防设施通用规范》</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GB55036-2022）、《建筑防火通用规范》</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GB55037-2022）、《建筑灭火器配置设计规范》（GB50140-2005）等设计规范，对厂区配备消防栓、灭火器等消防器材和设施，以保障安全生产。环保设施安装过程要严格执行规范要求，运行过程中要定期进行安全检查，确保环保设施稳定运行。</w:t>
            </w:r>
          </w:p>
          <w:p w14:paraId="56829864">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八、总平面布置及其合理性分析</w:t>
            </w:r>
          </w:p>
          <w:p w14:paraId="6BEA4D0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1、平面布置原则</w:t>
            </w:r>
          </w:p>
          <w:p w14:paraId="244026D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工程所处位置及周边状况，按照国家规范和生产工艺流程的要求，结合现场地形，保证工艺流程顺畅，衔接方便。严格遵守有关标准规范，确保安全生产，考虑防火、卫生安全距离及检修要求，因地制宜，进行合理功能分区，力求布置紧凑、布局合理，节约用地，统一规划，有利于生产管理和环境保护。</w:t>
            </w:r>
          </w:p>
          <w:p w14:paraId="5C9877F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2、厂房平面布置</w:t>
            </w:r>
          </w:p>
          <w:p w14:paraId="6AC117E8">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eastAsia" w:cs="Times New Roman"/>
                <w:color w:val="auto"/>
                <w:sz w:val="24"/>
                <w:szCs w:val="32"/>
                <w:highlight w:val="none"/>
                <w:lang w:eastAsia="zh-CN"/>
              </w:rPr>
              <w:t>本项目</w:t>
            </w:r>
            <w:r>
              <w:rPr>
                <w:rFonts w:hint="default" w:ascii="Times New Roman" w:hAnsi="Times New Roman" w:cs="Times New Roman"/>
                <w:color w:val="auto"/>
                <w:sz w:val="24"/>
                <w:szCs w:val="32"/>
                <w:highlight w:val="none"/>
              </w:rPr>
              <w:t>位于</w:t>
            </w:r>
            <w:r>
              <w:rPr>
                <w:rFonts w:hint="eastAsia" w:cs="Times New Roman"/>
                <w:color w:val="auto"/>
                <w:sz w:val="24"/>
                <w:highlight w:val="none"/>
                <w:lang w:val="en-US" w:eastAsia="zh-CN"/>
              </w:rPr>
              <w:t>淄川区罗村镇大王庄村村委西500米厂房</w:t>
            </w:r>
            <w:r>
              <w:rPr>
                <w:rFonts w:hint="default" w:ascii="Times New Roman" w:hAnsi="Times New Roman" w:eastAsia="宋体" w:cs="Times New Roman"/>
                <w:color w:val="auto"/>
                <w:sz w:val="24"/>
                <w:szCs w:val="32"/>
                <w:highlight w:val="none"/>
                <w:lang w:val="en-US" w:eastAsia="zh-CN"/>
              </w:rPr>
              <w:t>。</w:t>
            </w:r>
            <w:r>
              <w:rPr>
                <w:rFonts w:hint="eastAsia" w:cs="Times New Roman"/>
                <w:color w:val="auto"/>
                <w:sz w:val="24"/>
                <w:szCs w:val="32"/>
                <w:highlight w:val="none"/>
                <w:lang w:val="en-US" w:eastAsia="zh-CN"/>
              </w:rPr>
              <w:t>生产车间位于厂区西侧，仓库位于厂区西侧，办公室位于厂区东南侧</w:t>
            </w:r>
            <w:r>
              <w:rPr>
                <w:rFonts w:hint="default" w:ascii="Times New Roman" w:hAnsi="Times New Roman" w:cs="Times New Roman"/>
                <w:color w:val="auto"/>
                <w:sz w:val="24"/>
                <w:szCs w:val="32"/>
                <w:highlight w:val="none"/>
              </w:rPr>
              <w:t>。项目平面布置详见附图</w:t>
            </w:r>
            <w:r>
              <w:rPr>
                <w:rFonts w:hint="eastAsia" w:cs="Times New Roman"/>
                <w:color w:val="auto"/>
                <w:sz w:val="24"/>
                <w:szCs w:val="32"/>
                <w:highlight w:val="none"/>
                <w:lang w:val="en-US" w:eastAsia="zh-CN"/>
              </w:rPr>
              <w:t>3</w:t>
            </w:r>
            <w:r>
              <w:rPr>
                <w:rFonts w:hint="default" w:ascii="Times New Roman" w:hAnsi="Times New Roman" w:cs="Times New Roman"/>
                <w:color w:val="auto"/>
                <w:sz w:val="24"/>
                <w:szCs w:val="32"/>
                <w:highlight w:val="none"/>
              </w:rPr>
              <w:t>。</w:t>
            </w:r>
          </w:p>
          <w:p w14:paraId="026CFE0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3、平面布置合理性分析</w:t>
            </w:r>
          </w:p>
          <w:p w14:paraId="4852BB2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（1）项目以产品的加工生产流程为原则布置，顺延了物料走向，交通方便，便于物料的运输；</w:t>
            </w:r>
          </w:p>
          <w:p w14:paraId="257BB1B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（2）该项目评价范围内不涉及自然保护区、风景名胜区等需要特殊保护的敏感目标，其他敏感目标距离项目均较远，因此生产过程对其环境影响较小；</w:t>
            </w:r>
          </w:p>
          <w:p w14:paraId="5FFAA6B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（3）该项目对外界环境要求不高，且周围企业采取相应的环保措施后能够满足相应大气及厂界噪声排放标准，对该项目环境影响程度较小。因此，该项目与厂区周围环境相协调；</w:t>
            </w:r>
          </w:p>
          <w:p w14:paraId="758375E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（4）厂区平面布置可以满足企业生产和管理要求，符合国家和地方有关环保、防火、安全、卫生等方面的要求；</w:t>
            </w:r>
          </w:p>
          <w:p w14:paraId="597ADD3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（5）厂区内通道宽阔，能满足产品的运输和消防要求。</w:t>
            </w:r>
          </w:p>
          <w:p w14:paraId="506B54A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sz w:val="24"/>
                <w:szCs w:val="32"/>
                <w:highlight w:val="none"/>
              </w:rPr>
              <w:t>由以上分析，项目区平面布置较为合理。</w:t>
            </w:r>
          </w:p>
          <w:p w14:paraId="5889E067">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九、环保投资情况</w:t>
            </w:r>
          </w:p>
          <w:p w14:paraId="402DA40E">
            <w:pPr>
              <w:pStyle w:val="2"/>
              <w:keepNext w:val="0"/>
              <w:keepLines w:val="0"/>
              <w:suppressLineNumbers w:val="0"/>
              <w:spacing w:before="0" w:beforeAutospacing="0" w:after="0" w:afterAutospacing="0" w:line="360" w:lineRule="auto"/>
              <w:ind w:left="0" w:leftChars="0" w:right="0" w:firstLine="480"/>
              <w:rPr>
                <w:rFonts w:hint="default" w:ascii="Times New Roman" w:hAnsi="Times New Roman" w:cs="Times New Roman"/>
                <w:color w:val="auto"/>
                <w:sz w:val="24"/>
                <w:szCs w:val="22"/>
                <w:highlight w:val="none"/>
                <w:lang w:val="en-US" w:eastAsia="zh-CN"/>
              </w:rPr>
            </w:pPr>
            <w:r>
              <w:rPr>
                <w:rFonts w:hint="default" w:ascii="Times New Roman" w:hAnsi="Times New Roman" w:cs="Times New Roman"/>
                <w:color w:val="auto"/>
                <w:sz w:val="24"/>
                <w:szCs w:val="22"/>
                <w:highlight w:val="none"/>
              </w:rPr>
              <w:t>项目总投资</w:t>
            </w:r>
            <w:r>
              <w:rPr>
                <w:rFonts w:hint="eastAsia" w:cs="Times New Roman"/>
                <w:color w:val="auto"/>
                <w:sz w:val="24"/>
                <w:szCs w:val="22"/>
                <w:highlight w:val="none"/>
                <w:lang w:val="en-US" w:eastAsia="zh-CN"/>
              </w:rPr>
              <w:t>10000</w:t>
            </w:r>
            <w:r>
              <w:rPr>
                <w:rFonts w:hint="default" w:ascii="Times New Roman" w:hAnsi="Times New Roman" w:cs="Times New Roman"/>
                <w:color w:val="auto"/>
                <w:sz w:val="24"/>
                <w:szCs w:val="22"/>
                <w:highlight w:val="none"/>
              </w:rPr>
              <w:t>万元，环保投资</w:t>
            </w:r>
            <w:r>
              <w:rPr>
                <w:rFonts w:hint="eastAsia" w:cs="Times New Roman"/>
                <w:color w:val="auto"/>
                <w:sz w:val="24"/>
                <w:szCs w:val="22"/>
                <w:highlight w:val="none"/>
                <w:lang w:val="en-US" w:eastAsia="zh-CN"/>
              </w:rPr>
              <w:t>10</w:t>
            </w:r>
            <w:r>
              <w:rPr>
                <w:rFonts w:hint="default" w:ascii="Times New Roman" w:hAnsi="Times New Roman" w:cs="Times New Roman"/>
                <w:color w:val="auto"/>
                <w:sz w:val="24"/>
                <w:szCs w:val="22"/>
                <w:highlight w:val="none"/>
              </w:rPr>
              <w:t>万元，占工程总投资的</w:t>
            </w:r>
            <w:r>
              <w:rPr>
                <w:rFonts w:hint="eastAsia" w:cs="Times New Roman"/>
                <w:color w:val="auto"/>
                <w:sz w:val="24"/>
                <w:szCs w:val="22"/>
                <w:highlight w:val="none"/>
                <w:lang w:val="en-US" w:eastAsia="zh-CN"/>
              </w:rPr>
              <w:t>0.1</w:t>
            </w:r>
            <w:r>
              <w:rPr>
                <w:rFonts w:hint="default" w:ascii="Times New Roman" w:hAnsi="Times New Roman" w:cs="Times New Roman"/>
                <w:color w:val="auto"/>
                <w:sz w:val="24"/>
                <w:szCs w:val="22"/>
                <w:highlight w:val="none"/>
              </w:rPr>
              <w:t>%，见</w:t>
            </w:r>
            <w:r>
              <w:rPr>
                <w:rFonts w:hint="eastAsia" w:cs="Times New Roman"/>
                <w:color w:val="auto"/>
                <w:sz w:val="24"/>
                <w:szCs w:val="22"/>
                <w:highlight w:val="none"/>
                <w:lang w:val="en-US" w:eastAsia="zh-CN"/>
              </w:rPr>
              <w:t>下</w:t>
            </w:r>
            <w:r>
              <w:rPr>
                <w:rFonts w:hint="default" w:ascii="Times New Roman" w:hAnsi="Times New Roman" w:cs="Times New Roman"/>
                <w:color w:val="auto"/>
                <w:sz w:val="24"/>
                <w:szCs w:val="22"/>
                <w:highlight w:val="none"/>
              </w:rPr>
              <w:t>表</w:t>
            </w:r>
            <w:r>
              <w:rPr>
                <w:rFonts w:hint="default" w:ascii="Times New Roman" w:hAnsi="Times New Roman" w:cs="Times New Roman"/>
                <w:color w:val="auto"/>
                <w:sz w:val="24"/>
                <w:szCs w:val="22"/>
                <w:highlight w:val="none"/>
                <w:lang w:val="en-US" w:eastAsia="zh-CN"/>
              </w:rPr>
              <w:t>。</w:t>
            </w:r>
          </w:p>
          <w:p w14:paraId="668EE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 w:val="22"/>
                <w:szCs w:val="22"/>
                <w:highlight w:val="none"/>
                <w:lang w:val="en-US" w:eastAsia="zh-CN"/>
              </w:rPr>
            </w:pPr>
            <w:r>
              <w:rPr>
                <w:rFonts w:hint="default" w:ascii="Times New Roman" w:hAnsi="Times New Roman" w:eastAsia="宋体" w:cs="Times New Roman"/>
                <w:b/>
                <w:color w:val="auto"/>
                <w:sz w:val="22"/>
                <w:szCs w:val="22"/>
                <w:highlight w:val="none"/>
                <w:lang w:val="en-US" w:eastAsia="zh-CN"/>
              </w:rPr>
              <w:t>表2-</w:t>
            </w:r>
            <w:r>
              <w:rPr>
                <w:rFonts w:hint="eastAsia" w:cs="Times New Roman"/>
                <w:b/>
                <w:color w:val="auto"/>
                <w:sz w:val="22"/>
                <w:szCs w:val="22"/>
                <w:highlight w:val="none"/>
                <w:lang w:val="en-US" w:eastAsia="zh-CN"/>
              </w:rPr>
              <w:t>5</w:t>
            </w:r>
            <w:r>
              <w:rPr>
                <w:rFonts w:hint="default" w:ascii="Times New Roman" w:hAnsi="Times New Roman" w:eastAsia="宋体" w:cs="Times New Roman"/>
                <w:b/>
                <w:color w:val="auto"/>
                <w:sz w:val="22"/>
                <w:szCs w:val="22"/>
                <w:highlight w:val="none"/>
                <w:lang w:val="en-US" w:eastAsia="zh-CN"/>
              </w:rPr>
              <w:t>工程环保设施（措施）及投资估算一览表</w:t>
            </w:r>
          </w:p>
          <w:tbl>
            <w:tblPr>
              <w:tblStyle w:val="36"/>
              <w:tblW w:w="877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07"/>
              <w:gridCol w:w="1366"/>
              <w:gridCol w:w="4467"/>
              <w:gridCol w:w="1938"/>
            </w:tblGrid>
            <w:tr w14:paraId="09A01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8" w:hRule="atLeast"/>
                <w:jc w:val="center"/>
              </w:trPr>
              <w:tc>
                <w:tcPr>
                  <w:tcW w:w="1007" w:type="dxa"/>
                  <w:noWrap w:val="0"/>
                  <w:vAlign w:val="center"/>
                </w:tcPr>
                <w:p w14:paraId="7BCA1C05">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序号</w:t>
                  </w:r>
                </w:p>
              </w:tc>
              <w:tc>
                <w:tcPr>
                  <w:tcW w:w="1366" w:type="dxa"/>
                  <w:noWrap w:val="0"/>
                  <w:vAlign w:val="center"/>
                </w:tcPr>
                <w:p w14:paraId="544DF1DF">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项目名称</w:t>
                  </w:r>
                </w:p>
              </w:tc>
              <w:tc>
                <w:tcPr>
                  <w:tcW w:w="4467" w:type="dxa"/>
                  <w:noWrap w:val="0"/>
                  <w:vAlign w:val="center"/>
                </w:tcPr>
                <w:p w14:paraId="7D70E339">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治理设施</w:t>
                  </w:r>
                </w:p>
              </w:tc>
              <w:tc>
                <w:tcPr>
                  <w:tcW w:w="1938" w:type="dxa"/>
                  <w:noWrap w:val="0"/>
                  <w:vAlign w:val="center"/>
                </w:tcPr>
                <w:p w14:paraId="53DAFE77">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投资（万元）</w:t>
                  </w:r>
                </w:p>
              </w:tc>
            </w:tr>
            <w:tr w14:paraId="1563C4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6" w:hRule="atLeast"/>
                <w:jc w:val="center"/>
              </w:trPr>
              <w:tc>
                <w:tcPr>
                  <w:tcW w:w="1007" w:type="dxa"/>
                  <w:noWrap w:val="0"/>
                  <w:vAlign w:val="center"/>
                </w:tcPr>
                <w:p w14:paraId="05CC577F">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366" w:type="dxa"/>
                  <w:noWrap w:val="0"/>
                  <w:vAlign w:val="center"/>
                </w:tcPr>
                <w:p w14:paraId="51FD529C">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4467" w:type="dxa"/>
                  <w:noWrap w:val="0"/>
                  <w:vAlign w:val="center"/>
                </w:tcPr>
                <w:p w14:paraId="57E84C70">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eastAsia" w:eastAsia="宋体" w:cs="Times New Roman"/>
                      <w:color w:val="auto"/>
                      <w:sz w:val="21"/>
                      <w:szCs w:val="24"/>
                      <w:lang w:val="en-US" w:eastAsia="zh-CN"/>
                    </w:rPr>
                    <w:t>布袋除尘器</w:t>
                  </w:r>
                </w:p>
              </w:tc>
              <w:tc>
                <w:tcPr>
                  <w:tcW w:w="1938" w:type="dxa"/>
                  <w:noWrap w:val="0"/>
                  <w:vAlign w:val="center"/>
                </w:tcPr>
                <w:p w14:paraId="047AD039">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r>
            <w:tr w14:paraId="3F97FA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4" w:hRule="atLeast"/>
                <w:jc w:val="center"/>
              </w:trPr>
              <w:tc>
                <w:tcPr>
                  <w:tcW w:w="1007" w:type="dxa"/>
                  <w:noWrap w:val="0"/>
                  <w:vAlign w:val="center"/>
                </w:tcPr>
                <w:p w14:paraId="60BDD5A6">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2</w:t>
                  </w:r>
                </w:p>
              </w:tc>
              <w:tc>
                <w:tcPr>
                  <w:tcW w:w="1366" w:type="dxa"/>
                  <w:noWrap w:val="0"/>
                  <w:vAlign w:val="center"/>
                </w:tcPr>
                <w:p w14:paraId="4EB24E6F">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4467" w:type="dxa"/>
                  <w:noWrap w:val="0"/>
                  <w:vAlign w:val="center"/>
                </w:tcPr>
                <w:p w14:paraId="1B1513F7">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化粪池</w:t>
                  </w:r>
                </w:p>
              </w:tc>
              <w:tc>
                <w:tcPr>
                  <w:tcW w:w="1938" w:type="dxa"/>
                  <w:noWrap w:val="0"/>
                  <w:vAlign w:val="center"/>
                </w:tcPr>
                <w:p w14:paraId="764B52EE">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r>
            <w:tr w14:paraId="1DFAC3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8" w:hRule="atLeast"/>
                <w:jc w:val="center"/>
              </w:trPr>
              <w:tc>
                <w:tcPr>
                  <w:tcW w:w="1007" w:type="dxa"/>
                  <w:noWrap w:val="0"/>
                  <w:vAlign w:val="center"/>
                </w:tcPr>
                <w:p w14:paraId="0CCE93D3">
                  <w:pPr>
                    <w:pStyle w:val="2"/>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3</w:t>
                  </w:r>
                </w:p>
              </w:tc>
              <w:tc>
                <w:tcPr>
                  <w:tcW w:w="1366" w:type="dxa"/>
                  <w:noWrap w:val="0"/>
                  <w:vAlign w:val="center"/>
                </w:tcPr>
                <w:p w14:paraId="0EA75D7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4467" w:type="dxa"/>
                  <w:noWrap w:val="0"/>
                  <w:vAlign w:val="center"/>
                </w:tcPr>
                <w:p w14:paraId="297A2391">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隔声、减振</w:t>
                  </w:r>
                </w:p>
              </w:tc>
              <w:tc>
                <w:tcPr>
                  <w:tcW w:w="1938" w:type="dxa"/>
                  <w:noWrap w:val="0"/>
                  <w:vAlign w:val="center"/>
                </w:tcPr>
                <w:p w14:paraId="3D9854D3">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r>
            <w:tr w14:paraId="574B8B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6" w:hRule="atLeast"/>
                <w:jc w:val="center"/>
              </w:trPr>
              <w:tc>
                <w:tcPr>
                  <w:tcW w:w="1007" w:type="dxa"/>
                  <w:noWrap w:val="0"/>
                  <w:vAlign w:val="center"/>
                </w:tcPr>
                <w:p w14:paraId="36618DDE">
                  <w:pPr>
                    <w:pStyle w:val="2"/>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4</w:t>
                  </w:r>
                </w:p>
              </w:tc>
              <w:tc>
                <w:tcPr>
                  <w:tcW w:w="1366" w:type="dxa"/>
                  <w:noWrap w:val="0"/>
                  <w:vAlign w:val="center"/>
                </w:tcPr>
                <w:p w14:paraId="299B670A">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4467" w:type="dxa"/>
                  <w:noWrap w:val="0"/>
                  <w:vAlign w:val="center"/>
                </w:tcPr>
                <w:p w14:paraId="4A85F5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一般工业固废暂存区</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占地</w:t>
                  </w:r>
                  <w:r>
                    <w:rPr>
                      <w:rFonts w:hint="eastAsia" w:ascii="Times New Roman" w:hAnsi="Times New Roman" w:cs="Times New Roman"/>
                      <w:color w:val="auto"/>
                      <w:highlight w:val="none"/>
                      <w:lang w:val="en-US" w:eastAsia="zh-CN"/>
                    </w:rPr>
                    <w:t>20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p>
                <w:p w14:paraId="3CF6578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highlight w:val="none"/>
                    </w:rPr>
                    <w:t>危废暂存间：占地</w:t>
                  </w:r>
                  <w:r>
                    <w:rPr>
                      <w:rFonts w:hint="eastAsia" w:ascii="Times New Roman" w:hAnsi="Times New Roman" w:cs="Times New Roman"/>
                      <w:color w:val="auto"/>
                      <w:highlight w:val="none"/>
                      <w:lang w:val="en-US" w:eastAsia="zh-CN"/>
                    </w:rPr>
                    <w:t>20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p>
              </w:tc>
              <w:tc>
                <w:tcPr>
                  <w:tcW w:w="1938" w:type="dxa"/>
                  <w:noWrap w:val="0"/>
                  <w:vAlign w:val="center"/>
                </w:tcPr>
                <w:p w14:paraId="489273A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70EAFB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1" w:hRule="atLeast"/>
                <w:jc w:val="center"/>
              </w:trPr>
              <w:tc>
                <w:tcPr>
                  <w:tcW w:w="6840" w:type="dxa"/>
                  <w:gridSpan w:val="3"/>
                  <w:noWrap w:val="0"/>
                  <w:vAlign w:val="center"/>
                </w:tcPr>
                <w:p w14:paraId="3B1E0334">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合计</w:t>
                  </w:r>
                </w:p>
              </w:tc>
              <w:tc>
                <w:tcPr>
                  <w:tcW w:w="1938" w:type="dxa"/>
                  <w:noWrap w:val="0"/>
                  <w:vAlign w:val="center"/>
                </w:tcPr>
                <w:p w14:paraId="6DC05AE5">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w:t>
                  </w:r>
                </w:p>
              </w:tc>
            </w:tr>
          </w:tbl>
          <w:p w14:paraId="4BC31BC3">
            <w:pPr>
              <w:keepNext w:val="0"/>
              <w:keepLines w:val="0"/>
              <w:suppressLineNumbers w:val="0"/>
              <w:spacing w:before="0" w:beforeAutospacing="0" w:after="0" w:afterAutospacing="0" w:line="360" w:lineRule="auto"/>
              <w:ind w:left="0" w:right="0"/>
              <w:jc w:val="center"/>
              <w:rPr>
                <w:rFonts w:hint="eastAsia" w:cs="Times New Roman"/>
                <w:color w:val="auto"/>
                <w:highlight w:val="none"/>
                <w:lang w:val="en-US" w:eastAsia="zh-CN"/>
              </w:rPr>
            </w:pPr>
          </w:p>
          <w:p w14:paraId="2EC94FAD">
            <w:pPr>
              <w:keepNext w:val="0"/>
              <w:keepLines w:val="0"/>
              <w:suppressLineNumbers w:val="0"/>
              <w:spacing w:before="0" w:beforeAutospacing="0" w:after="0" w:afterAutospacing="0" w:line="360" w:lineRule="auto"/>
              <w:ind w:left="0" w:right="0"/>
              <w:jc w:val="left"/>
              <w:rPr>
                <w:rFonts w:hint="eastAsia" w:cs="Times New Roman"/>
                <w:color w:val="auto"/>
                <w:highlight w:val="none"/>
                <w:lang w:val="en-US" w:eastAsia="zh-CN"/>
              </w:rPr>
            </w:pPr>
            <w:r>
              <w:rPr>
                <w:rFonts w:hint="eastAsia" w:cs="Times New Roman"/>
                <w:color w:val="auto"/>
                <w:highlight w:val="none"/>
                <w:lang w:val="en-US" w:eastAsia="zh-CN"/>
              </w:rPr>
              <w:t xml:space="preserve"> </w:t>
            </w:r>
          </w:p>
          <w:p w14:paraId="68E53401">
            <w:pPr>
              <w:keepNext w:val="0"/>
              <w:keepLines w:val="0"/>
              <w:suppressLineNumbers w:val="0"/>
              <w:spacing w:before="0" w:beforeAutospacing="0" w:after="0" w:afterAutospacing="0" w:line="360" w:lineRule="auto"/>
              <w:ind w:left="0" w:right="0"/>
              <w:jc w:val="left"/>
              <w:rPr>
                <w:rFonts w:hint="eastAsia" w:cs="Times New Roman"/>
                <w:color w:val="auto"/>
                <w:highlight w:val="none"/>
                <w:lang w:val="en-US" w:eastAsia="zh-CN"/>
              </w:rPr>
            </w:pPr>
          </w:p>
          <w:p w14:paraId="13F52B24">
            <w:pPr>
              <w:keepNext w:val="0"/>
              <w:keepLines w:val="0"/>
              <w:suppressLineNumbers w:val="0"/>
              <w:spacing w:before="0" w:beforeAutospacing="0" w:after="0" w:afterAutospacing="0" w:line="360" w:lineRule="auto"/>
              <w:ind w:left="0" w:right="0"/>
              <w:jc w:val="left"/>
              <w:rPr>
                <w:rFonts w:hint="eastAsia" w:cs="Times New Roman"/>
                <w:color w:val="auto"/>
                <w:highlight w:val="none"/>
                <w:lang w:val="en-US" w:eastAsia="zh-CN"/>
              </w:rPr>
            </w:pPr>
          </w:p>
          <w:p w14:paraId="4F19E78C">
            <w:pPr>
              <w:keepNext w:val="0"/>
              <w:keepLines w:val="0"/>
              <w:suppressLineNumbers w:val="0"/>
              <w:spacing w:before="0" w:beforeAutospacing="0" w:after="0" w:afterAutospacing="0" w:line="360" w:lineRule="auto"/>
              <w:ind w:left="0" w:right="0"/>
              <w:jc w:val="left"/>
              <w:rPr>
                <w:rFonts w:hint="eastAsia" w:cs="Times New Roman"/>
                <w:color w:val="auto"/>
                <w:highlight w:val="none"/>
                <w:lang w:val="en-US" w:eastAsia="zh-CN"/>
              </w:rPr>
            </w:pPr>
          </w:p>
          <w:p w14:paraId="546009D8">
            <w:pPr>
              <w:keepNext w:val="0"/>
              <w:keepLines w:val="0"/>
              <w:suppressLineNumbers w:val="0"/>
              <w:spacing w:before="0" w:beforeAutospacing="0" w:after="0" w:afterAutospacing="0" w:line="360" w:lineRule="auto"/>
              <w:ind w:left="0" w:right="0"/>
              <w:jc w:val="left"/>
              <w:rPr>
                <w:rFonts w:hint="eastAsia" w:cs="Times New Roman"/>
                <w:color w:val="auto"/>
                <w:highlight w:val="none"/>
                <w:lang w:val="en-US" w:eastAsia="zh-CN"/>
              </w:rPr>
            </w:pPr>
          </w:p>
          <w:p w14:paraId="5B782F93">
            <w:pPr>
              <w:keepNext w:val="0"/>
              <w:keepLines w:val="0"/>
              <w:suppressLineNumbers w:val="0"/>
              <w:spacing w:before="0" w:beforeAutospacing="0" w:after="0" w:afterAutospacing="0" w:line="360" w:lineRule="auto"/>
              <w:ind w:left="0" w:right="0"/>
              <w:jc w:val="left"/>
              <w:rPr>
                <w:rFonts w:hint="eastAsia" w:cs="Times New Roman"/>
                <w:color w:val="auto"/>
                <w:highlight w:val="none"/>
                <w:lang w:val="en-US" w:eastAsia="zh-CN"/>
              </w:rPr>
            </w:pPr>
          </w:p>
          <w:p w14:paraId="3E2682AD">
            <w:pPr>
              <w:keepNext w:val="0"/>
              <w:keepLines w:val="0"/>
              <w:suppressLineNumbers w:val="0"/>
              <w:spacing w:before="0" w:beforeAutospacing="0" w:after="0" w:afterAutospacing="0" w:line="360" w:lineRule="auto"/>
              <w:ind w:left="0" w:right="0"/>
              <w:jc w:val="left"/>
              <w:rPr>
                <w:rFonts w:hint="eastAsia" w:cs="Times New Roman"/>
                <w:color w:val="auto"/>
                <w:highlight w:val="none"/>
                <w:lang w:val="en-US" w:eastAsia="zh-CN"/>
              </w:rPr>
            </w:pPr>
          </w:p>
          <w:p w14:paraId="5F30890D">
            <w:pPr>
              <w:keepNext w:val="0"/>
              <w:keepLines w:val="0"/>
              <w:suppressLineNumbers w:val="0"/>
              <w:spacing w:before="0" w:beforeAutospacing="0" w:after="0" w:afterAutospacing="0" w:line="360" w:lineRule="auto"/>
              <w:ind w:left="0" w:right="0"/>
              <w:jc w:val="left"/>
              <w:rPr>
                <w:rFonts w:hint="eastAsia" w:cs="Times New Roman"/>
                <w:color w:val="auto"/>
                <w:highlight w:val="none"/>
                <w:lang w:val="en-US" w:eastAsia="zh-CN"/>
              </w:rPr>
            </w:pPr>
          </w:p>
          <w:p w14:paraId="098D5A4B">
            <w:pPr>
              <w:keepNext w:val="0"/>
              <w:keepLines w:val="0"/>
              <w:suppressLineNumbers w:val="0"/>
              <w:spacing w:before="0" w:beforeAutospacing="0" w:after="0" w:afterAutospacing="0" w:line="360" w:lineRule="auto"/>
              <w:ind w:left="0" w:right="0"/>
              <w:jc w:val="left"/>
              <w:rPr>
                <w:rFonts w:hint="eastAsia" w:cs="Times New Roman"/>
                <w:color w:val="auto"/>
                <w:highlight w:val="none"/>
                <w:lang w:val="en-US" w:eastAsia="zh-CN"/>
              </w:rPr>
            </w:pPr>
          </w:p>
          <w:p w14:paraId="1D7F2267">
            <w:pPr>
              <w:keepNext w:val="0"/>
              <w:keepLines w:val="0"/>
              <w:suppressLineNumbers w:val="0"/>
              <w:spacing w:before="0" w:beforeAutospacing="0" w:after="0" w:afterAutospacing="0" w:line="360" w:lineRule="auto"/>
              <w:ind w:left="0" w:right="0"/>
              <w:jc w:val="left"/>
              <w:rPr>
                <w:rFonts w:hint="eastAsia" w:cs="Times New Roman"/>
                <w:color w:val="auto"/>
                <w:highlight w:val="none"/>
                <w:lang w:val="en-US" w:eastAsia="zh-CN"/>
              </w:rPr>
            </w:pPr>
          </w:p>
          <w:p w14:paraId="0132F96C">
            <w:pPr>
              <w:keepNext w:val="0"/>
              <w:keepLines w:val="0"/>
              <w:suppressLineNumbers w:val="0"/>
              <w:spacing w:before="0" w:beforeAutospacing="0" w:after="0" w:afterAutospacing="0" w:line="360" w:lineRule="auto"/>
              <w:ind w:left="0" w:right="0"/>
              <w:jc w:val="left"/>
              <w:rPr>
                <w:rFonts w:hint="eastAsia" w:cs="Times New Roman"/>
                <w:color w:val="auto"/>
                <w:highlight w:val="none"/>
                <w:lang w:val="en-US" w:eastAsia="zh-CN"/>
              </w:rPr>
            </w:pPr>
          </w:p>
          <w:p w14:paraId="6AE8E115">
            <w:pPr>
              <w:keepNext w:val="0"/>
              <w:keepLines w:val="0"/>
              <w:suppressLineNumbers w:val="0"/>
              <w:spacing w:before="0" w:beforeAutospacing="0" w:after="0" w:afterAutospacing="0" w:line="360" w:lineRule="auto"/>
              <w:ind w:left="0" w:right="0"/>
              <w:jc w:val="left"/>
              <w:rPr>
                <w:rFonts w:hint="eastAsia" w:cs="Times New Roman"/>
                <w:color w:val="auto"/>
                <w:highlight w:val="none"/>
                <w:lang w:val="en-US" w:eastAsia="zh-CN"/>
              </w:rPr>
            </w:pPr>
          </w:p>
          <w:p w14:paraId="1BB42434">
            <w:pPr>
              <w:keepNext w:val="0"/>
              <w:keepLines w:val="0"/>
              <w:suppressLineNumbers w:val="0"/>
              <w:spacing w:before="0" w:beforeAutospacing="0" w:after="0" w:afterAutospacing="0" w:line="360" w:lineRule="auto"/>
              <w:ind w:left="0" w:right="0"/>
              <w:jc w:val="left"/>
              <w:rPr>
                <w:rFonts w:hint="eastAsia" w:cs="Times New Roman"/>
                <w:color w:val="auto"/>
                <w:highlight w:val="none"/>
                <w:lang w:val="en-US" w:eastAsia="zh-CN"/>
              </w:rPr>
            </w:pPr>
          </w:p>
          <w:p w14:paraId="07AE36AC">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 xml:space="preserve"> </w:t>
            </w:r>
          </w:p>
        </w:tc>
      </w:tr>
      <w:tr w14:paraId="2CECF9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1C7F65A7">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4"/>
                <w:highlight w:val="none"/>
              </w:rPr>
              <w:t>工艺流程和产排污环节</w:t>
            </w:r>
          </w:p>
        </w:tc>
        <w:tc>
          <w:tcPr>
            <w:tcW w:w="8161" w:type="dxa"/>
            <w:noWrap w:val="0"/>
            <w:vAlign w:val="top"/>
          </w:tcPr>
          <w:p w14:paraId="645F24B0">
            <w:pPr>
              <w:keepNext w:val="0"/>
              <w:keepLines w:val="0"/>
              <w:suppressLineNumbers w:val="0"/>
              <w:spacing w:before="0" w:beforeAutospacing="0" w:after="0" w:afterAutospacing="0" w:line="360" w:lineRule="auto"/>
              <w:ind w:left="0" w:right="0"/>
              <w:jc w:val="left"/>
              <w:textAlignment w:val="baseline"/>
              <w:rPr>
                <w:rFonts w:hint="default"/>
                <w:b/>
                <w:sz w:val="24"/>
                <w:highlight w:val="none"/>
              </w:rPr>
            </w:pPr>
            <w:r>
              <w:rPr>
                <w:rFonts w:hint="default"/>
                <w:b/>
                <w:sz w:val="24"/>
                <w:highlight w:val="none"/>
              </w:rPr>
              <w:t>一、施工期</w:t>
            </w:r>
          </w:p>
          <w:p w14:paraId="536CBED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本项目租赁现有厂区，</w:t>
            </w:r>
            <w:r>
              <w:rPr>
                <w:rFonts w:hint="eastAsia" w:eastAsia="宋体" w:cs="Times New Roman"/>
                <w:snapToGrid w:val="0"/>
                <w:color w:val="auto"/>
                <w:kern w:val="0"/>
                <w:sz w:val="24"/>
                <w:highlight w:val="none"/>
                <w:lang w:val="en-US" w:eastAsia="zh-CN"/>
              </w:rPr>
              <w:t>对现有厂房进行改建</w:t>
            </w:r>
            <w:r>
              <w:rPr>
                <w:rFonts w:hint="eastAsia" w:ascii="Times New Roman" w:hAnsi="Times New Roman" w:eastAsia="宋体" w:cs="Times New Roman"/>
                <w:snapToGrid w:val="0"/>
                <w:color w:val="auto"/>
                <w:kern w:val="0"/>
                <w:sz w:val="24"/>
                <w:highlight w:val="none"/>
                <w:lang w:val="en-US" w:eastAsia="zh-CN"/>
              </w:rPr>
              <w:t>，施工期主</w:t>
            </w:r>
            <w:r>
              <w:rPr>
                <w:rFonts w:hint="eastAsia" w:ascii="Times New Roman" w:hAnsi="Times New Roman" w:eastAsia="宋体" w:cs="Times New Roman"/>
                <w:snapToGrid w:val="0"/>
                <w:kern w:val="0"/>
                <w:sz w:val="24"/>
                <w:highlight w:val="none"/>
                <w:lang w:val="en-US" w:eastAsia="zh-CN"/>
              </w:rPr>
              <w:t>要包括清理场地、土石方工程、基础工程和主体工程等，施工过程会产生噪声、扬尘、固废、少量污水等污染物。</w:t>
            </w:r>
          </w:p>
          <w:p w14:paraId="74464F10">
            <w:pPr>
              <w:keepNext w:val="0"/>
              <w:keepLines w:val="0"/>
              <w:numPr>
                <w:ilvl w:val="0"/>
                <w:numId w:val="0"/>
              </w:numPr>
              <w:suppressLineNumbers w:val="0"/>
              <w:spacing w:before="0" w:beforeAutospacing="0" w:after="0" w:afterAutospacing="0" w:line="360" w:lineRule="auto"/>
              <w:ind w:left="0" w:right="0" w:firstLine="482" w:firstLineChars="200"/>
              <w:rPr>
                <w:rFonts w:hint="eastAsia"/>
                <w:b/>
                <w:sz w:val="24"/>
                <w:highlight w:val="none"/>
              </w:rPr>
            </w:pPr>
            <w:r>
              <w:rPr>
                <w:rFonts w:hint="eastAsia"/>
                <w:b/>
                <w:kern w:val="2"/>
                <w:sz w:val="24"/>
                <w:szCs w:val="24"/>
                <w:highlight w:val="none"/>
                <w:lang w:val="en-US" w:eastAsia="zh-CN" w:bidi="ar-SA"/>
              </w:rPr>
              <w:t>1、</w:t>
            </w:r>
            <w:r>
              <w:rPr>
                <w:rFonts w:hint="eastAsia"/>
                <w:b/>
                <w:sz w:val="24"/>
                <w:highlight w:val="none"/>
              </w:rPr>
              <w:t>工艺流程：</w:t>
            </w:r>
          </w:p>
          <w:p w14:paraId="796EC1FB">
            <w:pPr>
              <w:keepNext w:val="0"/>
              <w:keepLines w:val="0"/>
              <w:suppressLineNumbers w:val="0"/>
              <w:spacing w:before="0" w:beforeAutospacing="0" w:after="0" w:afterAutospacing="0" w:line="360" w:lineRule="auto"/>
              <w:ind w:left="0" w:right="0"/>
              <w:jc w:val="center"/>
              <w:rPr>
                <w:rFonts w:hint="default"/>
                <w:sz w:val="24"/>
                <w:szCs w:val="24"/>
                <w:highlight w:val="none"/>
              </w:rPr>
            </w:pPr>
            <w:r>
              <w:rPr>
                <w:rFonts w:hint="default"/>
                <w:sz w:val="24"/>
                <w:szCs w:val="24"/>
                <w:highlight w:val="none"/>
              </w:rPr>
              <w:drawing>
                <wp:inline distT="0" distB="0" distL="114300" distR="114300">
                  <wp:extent cx="3820160" cy="2784475"/>
                  <wp:effectExtent l="0" t="0" r="8890" b="1587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0"/>
                          <a:stretch>
                            <a:fillRect/>
                          </a:stretch>
                        </pic:blipFill>
                        <pic:spPr>
                          <a:xfrm>
                            <a:off x="0" y="0"/>
                            <a:ext cx="3820160" cy="2784475"/>
                          </a:xfrm>
                          <a:prstGeom prst="rect">
                            <a:avLst/>
                          </a:prstGeom>
                          <a:noFill/>
                          <a:ln>
                            <a:noFill/>
                          </a:ln>
                        </pic:spPr>
                      </pic:pic>
                    </a:graphicData>
                  </a:graphic>
                </wp:inline>
              </w:drawing>
            </w:r>
          </w:p>
          <w:p w14:paraId="7F20D87B">
            <w:pPr>
              <w:keepNext w:val="0"/>
              <w:keepLines w:val="0"/>
              <w:suppressLineNumbers w:val="0"/>
              <w:spacing w:before="0" w:beforeAutospacing="0" w:after="0" w:afterAutospacing="0" w:line="360" w:lineRule="auto"/>
              <w:ind w:left="0" w:right="0"/>
              <w:jc w:val="center"/>
              <w:rPr>
                <w:rFonts w:hint="default"/>
                <w:b/>
                <w:szCs w:val="21"/>
                <w:highlight w:val="none"/>
              </w:rPr>
            </w:pPr>
            <w:r>
              <w:rPr>
                <w:rFonts w:hint="default"/>
                <w:b/>
                <w:szCs w:val="21"/>
                <w:highlight w:val="none"/>
              </w:rPr>
              <w:t>图</w:t>
            </w:r>
            <w:r>
              <w:rPr>
                <w:rFonts w:hint="eastAsia"/>
                <w:b/>
                <w:szCs w:val="21"/>
                <w:highlight w:val="none"/>
              </w:rPr>
              <w:t>2</w:t>
            </w:r>
            <w:r>
              <w:rPr>
                <w:rFonts w:hint="default"/>
                <w:b/>
                <w:szCs w:val="21"/>
                <w:highlight w:val="none"/>
              </w:rPr>
              <w:t>-</w:t>
            </w:r>
            <w:r>
              <w:rPr>
                <w:rFonts w:hint="eastAsia"/>
                <w:b/>
                <w:szCs w:val="21"/>
                <w:highlight w:val="none"/>
                <w:lang w:val="en-US" w:eastAsia="zh-CN"/>
              </w:rPr>
              <w:t>2</w:t>
            </w:r>
            <w:r>
              <w:rPr>
                <w:rFonts w:hint="default"/>
                <w:b/>
                <w:szCs w:val="21"/>
                <w:highlight w:val="none"/>
              </w:rPr>
              <w:t xml:space="preserve"> </w:t>
            </w:r>
            <w:r>
              <w:rPr>
                <w:rFonts w:hint="eastAsia"/>
                <w:b/>
                <w:szCs w:val="21"/>
                <w:highlight w:val="none"/>
                <w:lang w:val="en-US" w:eastAsia="zh-CN"/>
              </w:rPr>
              <w:t>施工期</w:t>
            </w:r>
            <w:r>
              <w:rPr>
                <w:rFonts w:hint="eastAsia"/>
                <w:b/>
                <w:szCs w:val="21"/>
                <w:highlight w:val="none"/>
              </w:rPr>
              <w:t>工艺</w:t>
            </w:r>
            <w:r>
              <w:rPr>
                <w:rFonts w:hint="default"/>
                <w:b/>
                <w:szCs w:val="21"/>
                <w:highlight w:val="none"/>
              </w:rPr>
              <w:t>流程及产污环节</w:t>
            </w:r>
          </w:p>
          <w:p w14:paraId="2849B9B4">
            <w:pPr>
              <w:keepNext w:val="0"/>
              <w:keepLines w:val="0"/>
              <w:suppressLineNumbers w:val="0"/>
              <w:spacing w:before="0" w:beforeAutospacing="0" w:after="0" w:afterAutospacing="0" w:line="360" w:lineRule="auto"/>
              <w:ind w:left="0" w:right="0" w:firstLine="482" w:firstLineChars="200"/>
              <w:rPr>
                <w:rFonts w:hint="default"/>
                <w:sz w:val="24"/>
                <w:highlight w:val="none"/>
              </w:rPr>
            </w:pPr>
            <w:r>
              <w:rPr>
                <w:rFonts w:hint="eastAsia"/>
                <w:b/>
                <w:sz w:val="24"/>
                <w:highlight w:val="none"/>
              </w:rPr>
              <w:t>2、</w:t>
            </w:r>
            <w:r>
              <w:rPr>
                <w:rFonts w:hint="default"/>
                <w:b/>
                <w:sz w:val="24"/>
                <w:highlight w:val="none"/>
              </w:rPr>
              <w:t>主要污染工序</w:t>
            </w:r>
          </w:p>
          <w:p w14:paraId="422D765D">
            <w:pPr>
              <w:keepNext w:val="0"/>
              <w:keepLines w:val="0"/>
              <w:suppressLineNumbers w:val="0"/>
              <w:spacing w:before="0" w:beforeAutospacing="0" w:after="0" w:afterAutospacing="0" w:line="360" w:lineRule="auto"/>
              <w:ind w:left="0" w:right="0" w:firstLine="480" w:firstLineChars="200"/>
              <w:rPr>
                <w:rFonts w:hint="default"/>
                <w:sz w:val="24"/>
                <w:highlight w:val="none"/>
              </w:rPr>
            </w:pPr>
            <w:r>
              <w:rPr>
                <w:rFonts w:hint="default"/>
                <w:sz w:val="24"/>
                <w:highlight w:val="none"/>
              </w:rPr>
              <w:t>根据施工工艺流程，综合各个施工过程的特点，施工期主要的环境影响有以下几点：</w:t>
            </w:r>
          </w:p>
          <w:p w14:paraId="5EA80A6A">
            <w:pPr>
              <w:keepNext w:val="0"/>
              <w:keepLines w:val="0"/>
              <w:suppressLineNumbers w:val="0"/>
              <w:adjustRightInd w:val="0"/>
              <w:snapToGrid w:val="0"/>
              <w:spacing w:before="0" w:beforeAutospacing="0" w:after="0" w:afterAutospacing="0" w:line="360" w:lineRule="auto"/>
              <w:ind w:left="0" w:right="0" w:firstLine="470" w:firstLineChars="196"/>
              <w:rPr>
                <w:rFonts w:hint="default"/>
                <w:sz w:val="24"/>
                <w:highlight w:val="none"/>
              </w:rPr>
            </w:pPr>
            <w:r>
              <w:rPr>
                <w:rFonts w:hint="default"/>
                <w:sz w:val="24"/>
                <w:highlight w:val="none"/>
              </w:rPr>
              <w:t>（1）废水</w:t>
            </w:r>
          </w:p>
          <w:p w14:paraId="61C246C7">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highlight w:val="none"/>
              </w:rPr>
            </w:pPr>
            <w:r>
              <w:rPr>
                <w:rFonts w:hint="default"/>
                <w:sz w:val="24"/>
                <w:highlight w:val="none"/>
              </w:rPr>
              <w:t>施工期间，</w:t>
            </w:r>
            <w:r>
              <w:rPr>
                <w:rFonts w:hint="eastAsia"/>
                <w:sz w:val="24"/>
                <w:highlight w:val="none"/>
              </w:rPr>
              <w:t>新建</w:t>
            </w:r>
            <w:r>
              <w:rPr>
                <w:rFonts w:hint="default"/>
                <w:sz w:val="24"/>
                <w:highlight w:val="none"/>
              </w:rPr>
              <w:t>混凝土工程会产生少量灰浆水、冲洗水等建筑废水，项目施工场地需设置简易沉淀池，废水经简易沉淀池处理后回用于施工场地喷洒，不外排，对水环境影响较小。</w:t>
            </w:r>
          </w:p>
          <w:p w14:paraId="4E3FC7A3">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highlight w:val="none"/>
              </w:rPr>
            </w:pPr>
            <w:r>
              <w:rPr>
                <w:rFonts w:hint="default"/>
                <w:sz w:val="24"/>
                <w:highlight w:val="none"/>
              </w:rPr>
              <w:t>施工人员产生少量生活污水，主要污染物为BOD</w:t>
            </w:r>
            <w:r>
              <w:rPr>
                <w:rFonts w:hint="default"/>
                <w:sz w:val="24"/>
                <w:highlight w:val="none"/>
                <w:vertAlign w:val="subscript"/>
              </w:rPr>
              <w:t>5</w:t>
            </w:r>
            <w:r>
              <w:rPr>
                <w:rFonts w:hint="default"/>
                <w:sz w:val="24"/>
                <w:highlight w:val="none"/>
              </w:rPr>
              <w:t>、COD</w:t>
            </w:r>
            <w:r>
              <w:rPr>
                <w:rFonts w:hint="default"/>
                <w:sz w:val="24"/>
                <w:highlight w:val="none"/>
                <w:vertAlign w:val="subscript"/>
              </w:rPr>
              <w:t>Cr</w:t>
            </w:r>
            <w:r>
              <w:rPr>
                <w:rFonts w:hint="default"/>
                <w:sz w:val="24"/>
                <w:highlight w:val="none"/>
              </w:rPr>
              <w:t>、SS等。工程施工期间产生的生活污水排入临时化粪池</w:t>
            </w:r>
            <w:r>
              <w:rPr>
                <w:rFonts w:hint="eastAsia"/>
                <w:sz w:val="24"/>
                <w:highlight w:val="none"/>
                <w:lang w:val="en-US" w:eastAsia="zh-CN"/>
              </w:rPr>
              <w:t>暂存</w:t>
            </w:r>
            <w:r>
              <w:rPr>
                <w:rFonts w:hint="eastAsia"/>
                <w:sz w:val="24"/>
                <w:highlight w:val="none"/>
              </w:rPr>
              <w:t>，</w:t>
            </w:r>
            <w:r>
              <w:rPr>
                <w:rFonts w:hint="eastAsia"/>
                <w:sz w:val="24"/>
                <w:highlight w:val="none"/>
                <w:lang w:val="en-US" w:eastAsia="zh-CN"/>
              </w:rPr>
              <w:t>由环卫部门定期清运</w:t>
            </w:r>
            <w:r>
              <w:rPr>
                <w:rFonts w:hint="default"/>
                <w:sz w:val="24"/>
                <w:highlight w:val="none"/>
              </w:rPr>
              <w:t>。</w:t>
            </w:r>
          </w:p>
          <w:p w14:paraId="31232099">
            <w:pPr>
              <w:keepNext w:val="0"/>
              <w:keepLines w:val="0"/>
              <w:suppressLineNumbers w:val="0"/>
              <w:adjustRightInd w:val="0"/>
              <w:snapToGrid w:val="0"/>
              <w:spacing w:before="0" w:beforeAutospacing="0" w:after="0" w:afterAutospacing="0" w:line="360" w:lineRule="auto"/>
              <w:ind w:left="0" w:right="0" w:firstLine="470" w:firstLineChars="196"/>
              <w:rPr>
                <w:rFonts w:hint="default"/>
                <w:sz w:val="24"/>
                <w:highlight w:val="none"/>
              </w:rPr>
            </w:pPr>
            <w:r>
              <w:rPr>
                <w:rFonts w:hint="default"/>
                <w:sz w:val="24"/>
                <w:highlight w:val="none"/>
              </w:rPr>
              <w:t>（2）废气</w:t>
            </w:r>
          </w:p>
          <w:p w14:paraId="0A46B350">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highlight w:val="none"/>
              </w:rPr>
            </w:pPr>
            <w:r>
              <w:rPr>
                <w:rFonts w:hint="default"/>
                <w:sz w:val="24"/>
                <w:highlight w:val="none"/>
              </w:rPr>
              <w:t>各类燃油动力机械在场地平整、物料运输</w:t>
            </w:r>
            <w:r>
              <w:rPr>
                <w:rFonts w:hint="eastAsia"/>
                <w:sz w:val="24"/>
                <w:highlight w:val="none"/>
              </w:rPr>
              <w:t>、设备安装</w:t>
            </w:r>
            <w:r>
              <w:rPr>
                <w:rFonts w:hint="default"/>
                <w:sz w:val="24"/>
                <w:highlight w:val="none"/>
              </w:rPr>
              <w:t>等施工作业时，排出的燃油废气中主要污染物为CO、NO</w:t>
            </w:r>
            <w:r>
              <w:rPr>
                <w:rFonts w:hint="default"/>
                <w:sz w:val="24"/>
                <w:highlight w:val="none"/>
                <w:vertAlign w:val="subscript"/>
              </w:rPr>
              <w:t>X</w:t>
            </w:r>
            <w:r>
              <w:rPr>
                <w:rFonts w:hint="default"/>
                <w:sz w:val="24"/>
                <w:highlight w:val="none"/>
              </w:rPr>
              <w:t>、SO</w:t>
            </w:r>
            <w:r>
              <w:rPr>
                <w:rFonts w:hint="default"/>
                <w:sz w:val="24"/>
                <w:highlight w:val="none"/>
                <w:vertAlign w:val="subscript"/>
              </w:rPr>
              <w:t>2</w:t>
            </w:r>
            <w:r>
              <w:rPr>
                <w:rFonts w:hint="default"/>
                <w:sz w:val="24"/>
                <w:highlight w:val="none"/>
              </w:rPr>
              <w:t>和烟尘。土石方装卸、散装水泥作业和运输时产生烟尘，排放的主要污染物为颗粒物。</w:t>
            </w:r>
          </w:p>
          <w:p w14:paraId="0AC6B519">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highlight w:val="none"/>
              </w:rPr>
            </w:pPr>
            <w:r>
              <w:rPr>
                <w:rFonts w:hint="default"/>
                <w:sz w:val="24"/>
                <w:highlight w:val="none"/>
              </w:rPr>
              <w:t>（3）噪声</w:t>
            </w:r>
          </w:p>
          <w:p w14:paraId="0D8FEBBE">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highlight w:val="none"/>
              </w:rPr>
            </w:pPr>
            <w:r>
              <w:rPr>
                <w:rFonts w:hint="default"/>
                <w:sz w:val="24"/>
                <w:highlight w:val="none"/>
              </w:rPr>
              <w:t>施工机械的噪声和振动是主要噪声源。同时，施工车辆也会带来一定的交通噪声。施工单位应尽量选用低噪声设备和施工工艺。尽量缩短高噪声机械设备的使用时间，特别是高噪声施工机械应控制在昼间工作的时间运行。如需24小时施工，必须在工程所在地环保部门办理夜间施工许可证，同时做好与附近居民的沟通工作。施工中加强各种机械设备的维修和保养，使设备性能处于良好状态，减少运行噪声。以保证施工产地边界线处的噪声限值满足《</w:t>
            </w:r>
            <w:r>
              <w:rPr>
                <w:rFonts w:hint="eastAsia"/>
                <w:sz w:val="24"/>
                <w:highlight w:val="none"/>
                <w:lang w:eastAsia="zh-CN"/>
              </w:rPr>
              <w:t>建筑施工噪声排放标准</w:t>
            </w:r>
            <w:r>
              <w:rPr>
                <w:rFonts w:hint="default"/>
                <w:sz w:val="24"/>
                <w:highlight w:val="none"/>
              </w:rPr>
              <w:t>》（GB</w:t>
            </w:r>
            <w:r>
              <w:rPr>
                <w:rFonts w:hint="eastAsia"/>
                <w:sz w:val="24"/>
                <w:highlight w:val="none"/>
                <w:lang w:eastAsia="zh-CN"/>
              </w:rPr>
              <w:t>12523-2025</w:t>
            </w:r>
            <w:r>
              <w:rPr>
                <w:rFonts w:hint="default"/>
                <w:sz w:val="24"/>
                <w:highlight w:val="none"/>
              </w:rPr>
              <w:t>）标准的要求，减轻或避免对周围敏感点的影响。</w:t>
            </w:r>
          </w:p>
          <w:p w14:paraId="21098BD0">
            <w:pPr>
              <w:keepNext w:val="0"/>
              <w:keepLines w:val="0"/>
              <w:suppressLineNumbers w:val="0"/>
              <w:adjustRightInd w:val="0"/>
              <w:snapToGrid w:val="0"/>
              <w:spacing w:before="0" w:beforeAutospacing="0" w:after="0" w:afterAutospacing="0" w:line="360" w:lineRule="auto"/>
              <w:ind w:left="0" w:right="0" w:firstLine="470" w:firstLineChars="196"/>
              <w:rPr>
                <w:rFonts w:hint="default"/>
                <w:sz w:val="24"/>
                <w:highlight w:val="none"/>
              </w:rPr>
            </w:pPr>
            <w:r>
              <w:rPr>
                <w:rFonts w:hint="default"/>
                <w:sz w:val="24"/>
                <w:highlight w:val="none"/>
              </w:rPr>
              <w:t>（4）固废</w:t>
            </w:r>
          </w:p>
          <w:p w14:paraId="7B5AC7EF">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highlight w:val="none"/>
              </w:rPr>
            </w:pPr>
            <w:r>
              <w:rPr>
                <w:rFonts w:hint="default"/>
                <w:sz w:val="24"/>
                <w:highlight w:val="none"/>
              </w:rPr>
              <w:t>固体废物主要是施工弃土、建筑垃圾</w:t>
            </w:r>
            <w:r>
              <w:rPr>
                <w:rFonts w:hint="eastAsia"/>
                <w:sz w:val="24"/>
                <w:highlight w:val="none"/>
              </w:rPr>
              <w:t>、设备包装材料</w:t>
            </w:r>
            <w:r>
              <w:rPr>
                <w:rFonts w:hint="default"/>
                <w:sz w:val="24"/>
                <w:highlight w:val="none"/>
              </w:rPr>
              <w:t>和施工人员的生活垃圾。</w:t>
            </w:r>
          </w:p>
          <w:p w14:paraId="534F263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sz w:val="24"/>
                <w:highlight w:val="none"/>
              </w:rPr>
            </w:pPr>
            <w:r>
              <w:rPr>
                <w:rFonts w:hint="default"/>
                <w:sz w:val="24"/>
                <w:highlight w:val="none"/>
              </w:rPr>
              <w:t>工程产生的所</w:t>
            </w:r>
            <w:r>
              <w:rPr>
                <w:rFonts w:hint="eastAsia"/>
                <w:sz w:val="24"/>
                <w:highlight w:val="none"/>
              </w:rPr>
              <w:t>有</w:t>
            </w:r>
            <w:r>
              <w:rPr>
                <w:rFonts w:hint="default"/>
                <w:sz w:val="24"/>
                <w:highlight w:val="none"/>
              </w:rPr>
              <w:t>弃土和建筑垃圾全部回填以调整工程场地标高，无外运弃土和建筑垃圾。施工期应做到工程弃土及时回填，并对渣土堆场采取防护措施，以减少水土流失。运输沙石和建筑材料时，应选择对城镇环境影响最小的运输路线，运输车集中运输，运输车上路前加强车体、车胎冲洗，装土适量，防止沿路抛洒以及道路扬尘，适当洒水，检验合格后方可上路。运输加盖篷布或使用密闭车体运输。</w:t>
            </w:r>
          </w:p>
          <w:p w14:paraId="19D41DE0">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highlight w:val="none"/>
              </w:rPr>
            </w:pPr>
            <w:r>
              <w:rPr>
                <w:rFonts w:hint="default"/>
                <w:sz w:val="24"/>
                <w:highlight w:val="none"/>
              </w:rPr>
              <w:t>施工期产生的生活垃圾储存于施工厂区垃圾桶内，由环卫部门定期清运至垃圾处理场集中处理</w:t>
            </w:r>
            <w:r>
              <w:rPr>
                <w:rFonts w:hint="eastAsia"/>
                <w:sz w:val="24"/>
                <w:highlight w:val="none"/>
              </w:rPr>
              <w:t>，设备包装材料外售处理。</w:t>
            </w:r>
          </w:p>
          <w:p w14:paraId="2DB01F6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项目施工期主要污染物类型及其产生来源详见下表。</w:t>
            </w:r>
          </w:p>
          <w:p w14:paraId="4F04D52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bCs/>
                <w:color w:val="auto"/>
                <w:sz w:val="21"/>
                <w:szCs w:val="21"/>
                <w:highlight w:val="none"/>
              </w:rPr>
              <w:t>表2-</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kern w:val="0"/>
                <w:sz w:val="21"/>
                <w:szCs w:val="21"/>
                <w:highlight w:val="none"/>
              </w:rPr>
              <w:t>项目施工期主要污染物类型及其产生来源一览表</w:t>
            </w:r>
          </w:p>
          <w:tbl>
            <w:tblPr>
              <w:tblStyle w:val="100"/>
              <w:tblW w:w="5000" w:type="pct"/>
              <w:tblInd w:w="0" w:type="dxa"/>
              <w:tblLayout w:type="fixed"/>
              <w:tblCellMar>
                <w:top w:w="0" w:type="dxa"/>
                <w:left w:w="0" w:type="dxa"/>
                <w:bottom w:w="0" w:type="dxa"/>
                <w:right w:w="0" w:type="dxa"/>
              </w:tblCellMar>
            </w:tblPr>
            <w:tblGrid>
              <w:gridCol w:w="1076"/>
              <w:gridCol w:w="4060"/>
              <w:gridCol w:w="1415"/>
              <w:gridCol w:w="2185"/>
            </w:tblGrid>
            <w:tr w14:paraId="5E55C912">
              <w:tblPrEx>
                <w:tblCellMar>
                  <w:top w:w="0" w:type="dxa"/>
                  <w:left w:w="0" w:type="dxa"/>
                  <w:bottom w:w="0" w:type="dxa"/>
                  <w:right w:w="0" w:type="dxa"/>
                </w:tblCellMar>
              </w:tblPrEx>
              <w:trPr>
                <w:trHeight w:val="397" w:hRule="atLeast"/>
              </w:trPr>
              <w:tc>
                <w:tcPr>
                  <w:tcW w:w="616" w:type="pct"/>
                  <w:tcBorders>
                    <w:top w:val="single" w:color="000000" w:sz="4" w:space="0"/>
                    <w:left w:val="single" w:color="000000" w:sz="4" w:space="0"/>
                    <w:bottom w:val="single" w:color="000000" w:sz="4" w:space="0"/>
                    <w:right w:val="single" w:color="000000" w:sz="4" w:space="0"/>
                  </w:tcBorders>
                  <w:noWrap w:val="0"/>
                  <w:vAlign w:val="center"/>
                </w:tcPr>
                <w:p w14:paraId="0E33F120">
                  <w:pPr>
                    <w:widowControl/>
                    <w:autoSpaceDE/>
                    <w:autoSpaceDN/>
                    <w:adjustRightInd w:val="0"/>
                    <w:snapToGrid w:val="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类别</w:t>
                  </w:r>
                </w:p>
              </w:tc>
              <w:tc>
                <w:tcPr>
                  <w:tcW w:w="2324" w:type="pct"/>
                  <w:tcBorders>
                    <w:top w:val="single" w:color="000000" w:sz="4" w:space="0"/>
                    <w:left w:val="single" w:color="000000" w:sz="4" w:space="0"/>
                    <w:bottom w:val="single" w:color="000000" w:sz="4" w:space="0"/>
                    <w:right w:val="single" w:color="000000" w:sz="4" w:space="0"/>
                  </w:tcBorders>
                  <w:noWrap w:val="0"/>
                  <w:vAlign w:val="center"/>
                </w:tcPr>
                <w:p w14:paraId="595FD29A">
                  <w:pPr>
                    <w:widowControl/>
                    <w:autoSpaceDE/>
                    <w:autoSpaceDN/>
                    <w:adjustRightInd w:val="0"/>
                    <w:snapToGrid w:val="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产污环节</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318C1E23">
                  <w:pPr>
                    <w:widowControl/>
                    <w:autoSpaceDE/>
                    <w:autoSpaceDN/>
                    <w:adjustRightInd w:val="0"/>
                    <w:snapToGrid w:val="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污染物类型</w:t>
                  </w:r>
                </w:p>
              </w:tc>
              <w:tc>
                <w:tcPr>
                  <w:tcW w:w="1250" w:type="pct"/>
                  <w:tcBorders>
                    <w:top w:val="single" w:color="000000" w:sz="4" w:space="0"/>
                    <w:left w:val="single" w:color="000000" w:sz="4" w:space="0"/>
                    <w:bottom w:val="single" w:color="000000" w:sz="4" w:space="0"/>
                    <w:right w:val="single" w:color="000000" w:sz="4" w:space="0"/>
                  </w:tcBorders>
                  <w:noWrap w:val="0"/>
                  <w:vAlign w:val="center"/>
                </w:tcPr>
                <w:p w14:paraId="2BB0BC72">
                  <w:pPr>
                    <w:widowControl/>
                    <w:autoSpaceDE/>
                    <w:autoSpaceDN/>
                    <w:adjustRightInd w:val="0"/>
                    <w:snapToGrid w:val="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污染因子</w:t>
                  </w:r>
                </w:p>
              </w:tc>
            </w:tr>
            <w:tr w14:paraId="0FE0C594">
              <w:tblPrEx>
                <w:tblCellMar>
                  <w:top w:w="0" w:type="dxa"/>
                  <w:left w:w="0" w:type="dxa"/>
                  <w:bottom w:w="0" w:type="dxa"/>
                  <w:right w:w="0" w:type="dxa"/>
                </w:tblCellMar>
              </w:tblPrEx>
              <w:trPr>
                <w:trHeight w:val="397" w:hRule="atLeast"/>
              </w:trPr>
              <w:tc>
                <w:tcPr>
                  <w:tcW w:w="616" w:type="pct"/>
                  <w:vMerge w:val="restart"/>
                  <w:tcBorders>
                    <w:top w:val="single" w:color="000000" w:sz="4" w:space="0"/>
                    <w:left w:val="single" w:color="000000" w:sz="4" w:space="0"/>
                    <w:right w:val="single" w:color="000000" w:sz="4" w:space="0"/>
                  </w:tcBorders>
                  <w:noWrap w:val="0"/>
                  <w:vAlign w:val="center"/>
                </w:tcPr>
                <w:p w14:paraId="1F66AFEF">
                  <w:pPr>
                    <w:autoSpaceDE w:val="0"/>
                    <w:autoSpaceDN w:val="0"/>
                    <w:adjustRightInd w:val="0"/>
                    <w:snapToGrid w:val="0"/>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zh-CN"/>
                    </w:rPr>
                    <w:t>废气</w:t>
                  </w:r>
                </w:p>
              </w:tc>
              <w:tc>
                <w:tcPr>
                  <w:tcW w:w="2324" w:type="pct"/>
                  <w:tcBorders>
                    <w:top w:val="single" w:color="000000" w:sz="4" w:space="0"/>
                    <w:left w:val="single" w:color="000000" w:sz="4" w:space="0"/>
                    <w:bottom w:val="single" w:color="000000" w:sz="4" w:space="0"/>
                    <w:right w:val="single" w:color="000000" w:sz="4" w:space="0"/>
                  </w:tcBorders>
                  <w:noWrap w:val="0"/>
                  <w:vAlign w:val="center"/>
                </w:tcPr>
                <w:p w14:paraId="0A157579">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场地清整、地基开挖、运输车辆等</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2991C7F2">
                  <w:pPr>
                    <w:widowControl/>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粉尘</w:t>
                  </w:r>
                </w:p>
              </w:tc>
              <w:tc>
                <w:tcPr>
                  <w:tcW w:w="1250" w:type="pct"/>
                  <w:tcBorders>
                    <w:top w:val="single" w:color="000000" w:sz="4" w:space="0"/>
                    <w:left w:val="single" w:color="000000" w:sz="4" w:space="0"/>
                    <w:bottom w:val="single" w:color="000000" w:sz="4" w:space="0"/>
                    <w:right w:val="single" w:color="000000" w:sz="4" w:space="0"/>
                  </w:tcBorders>
                  <w:noWrap w:val="0"/>
                  <w:vAlign w:val="center"/>
                </w:tcPr>
                <w:p w14:paraId="2A64AA07">
                  <w:pPr>
                    <w:widowControl/>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r>
            <w:tr w14:paraId="232DB1B1">
              <w:tblPrEx>
                <w:tblCellMar>
                  <w:top w:w="0" w:type="dxa"/>
                  <w:left w:w="0" w:type="dxa"/>
                  <w:bottom w:w="0" w:type="dxa"/>
                  <w:right w:w="0" w:type="dxa"/>
                </w:tblCellMar>
              </w:tblPrEx>
              <w:trPr>
                <w:trHeight w:val="397" w:hRule="atLeast"/>
              </w:trPr>
              <w:tc>
                <w:tcPr>
                  <w:tcW w:w="616" w:type="pct"/>
                  <w:vMerge w:val="continue"/>
                  <w:tcBorders>
                    <w:left w:val="single" w:color="000000" w:sz="4" w:space="0"/>
                    <w:right w:val="single" w:color="000000" w:sz="4" w:space="0"/>
                  </w:tcBorders>
                  <w:noWrap w:val="0"/>
                  <w:vAlign w:val="center"/>
                </w:tcPr>
                <w:p w14:paraId="3776E1C7">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p>
              </w:tc>
              <w:tc>
                <w:tcPr>
                  <w:tcW w:w="2324" w:type="pct"/>
                  <w:tcBorders>
                    <w:top w:val="single" w:color="000000" w:sz="4" w:space="0"/>
                    <w:left w:val="single" w:color="000000" w:sz="4" w:space="0"/>
                    <w:bottom w:val="single" w:color="000000" w:sz="4" w:space="0"/>
                    <w:right w:val="single" w:color="000000" w:sz="4" w:space="0"/>
                  </w:tcBorders>
                  <w:noWrap w:val="0"/>
                  <w:vAlign w:val="center"/>
                </w:tcPr>
                <w:p w14:paraId="7C69545C">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建筑物的建设、运输车辆等</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23B1C0D7">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粉尘</w:t>
                  </w:r>
                </w:p>
              </w:tc>
              <w:tc>
                <w:tcPr>
                  <w:tcW w:w="1250" w:type="pct"/>
                  <w:tcBorders>
                    <w:top w:val="single" w:color="000000" w:sz="4" w:space="0"/>
                    <w:left w:val="single" w:color="000000" w:sz="4" w:space="0"/>
                    <w:bottom w:val="single" w:color="000000" w:sz="4" w:space="0"/>
                    <w:right w:val="single" w:color="000000" w:sz="4" w:space="0"/>
                  </w:tcBorders>
                  <w:noWrap w:val="0"/>
                  <w:vAlign w:val="center"/>
                </w:tcPr>
                <w:p w14:paraId="77834EB3">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r>
            <w:tr w14:paraId="0A9449A2">
              <w:tblPrEx>
                <w:tblCellMar>
                  <w:top w:w="0" w:type="dxa"/>
                  <w:left w:w="0" w:type="dxa"/>
                  <w:bottom w:w="0" w:type="dxa"/>
                  <w:right w:w="0" w:type="dxa"/>
                </w:tblCellMar>
              </w:tblPrEx>
              <w:trPr>
                <w:trHeight w:val="397" w:hRule="atLeast"/>
              </w:trPr>
              <w:tc>
                <w:tcPr>
                  <w:tcW w:w="615" w:type="pct"/>
                  <w:vMerge w:val="continue"/>
                  <w:tcBorders>
                    <w:left w:val="single" w:color="000000" w:sz="4" w:space="0"/>
                    <w:right w:val="single" w:color="000000" w:sz="4" w:space="0"/>
                  </w:tcBorders>
                  <w:noWrap w:val="0"/>
                  <w:vAlign w:val="center"/>
                </w:tcPr>
                <w:p w14:paraId="418CCFA9">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en-US"/>
                    </w:rPr>
                  </w:pPr>
                </w:p>
              </w:tc>
              <w:tc>
                <w:tcPr>
                  <w:tcW w:w="2324" w:type="pct"/>
                  <w:tcBorders>
                    <w:top w:val="single" w:color="000000" w:sz="4" w:space="0"/>
                    <w:left w:val="single" w:color="000000" w:sz="4" w:space="0"/>
                    <w:bottom w:val="single" w:color="000000" w:sz="4" w:space="0"/>
                    <w:right w:val="single" w:color="000000" w:sz="4" w:space="0"/>
                  </w:tcBorders>
                  <w:noWrap w:val="0"/>
                  <w:vAlign w:val="center"/>
                </w:tcPr>
                <w:p w14:paraId="46B4D79B">
                  <w:pPr>
                    <w:pStyle w:val="83"/>
                    <w:widowControl/>
                    <w:autoSpaceDE/>
                    <w:autoSpaceDN/>
                    <w:adjustRightInd w:val="0"/>
                    <w:snapToGrid w:val="0"/>
                    <w:jc w:val="center"/>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z w:val="21"/>
                      <w:szCs w:val="21"/>
                      <w:highlight w:val="none"/>
                      <w:lang w:val="en-US" w:eastAsia="en-US" w:bidi="ar-SA"/>
                    </w:rPr>
                    <w:t>切削、钻孔等安装</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4BBFC1B2">
                  <w:pPr>
                    <w:pStyle w:val="83"/>
                    <w:widowControl/>
                    <w:autoSpaceDE/>
                    <w:autoSpaceDN/>
                    <w:adjustRightInd w:val="0"/>
                    <w:snapToGrid w:val="0"/>
                    <w:jc w:val="center"/>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z w:val="21"/>
                      <w:szCs w:val="21"/>
                      <w:highlight w:val="none"/>
                      <w:lang w:val="en-US" w:eastAsia="en-US" w:bidi="ar-SA"/>
                    </w:rPr>
                    <w:t>粉尘</w:t>
                  </w:r>
                </w:p>
              </w:tc>
              <w:tc>
                <w:tcPr>
                  <w:tcW w:w="1250" w:type="pct"/>
                  <w:tcBorders>
                    <w:top w:val="single" w:color="000000" w:sz="4" w:space="0"/>
                    <w:left w:val="single" w:color="000000" w:sz="4" w:space="0"/>
                    <w:bottom w:val="single" w:color="000000" w:sz="4" w:space="0"/>
                    <w:right w:val="single" w:color="000000" w:sz="4" w:space="0"/>
                  </w:tcBorders>
                  <w:noWrap w:val="0"/>
                  <w:vAlign w:val="center"/>
                </w:tcPr>
                <w:p w14:paraId="37935BD7">
                  <w:pPr>
                    <w:pStyle w:val="83"/>
                    <w:widowControl/>
                    <w:autoSpaceDE/>
                    <w:autoSpaceDN/>
                    <w:adjustRightInd w:val="0"/>
                    <w:snapToGrid w:val="0"/>
                    <w:jc w:val="center"/>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z w:val="21"/>
                      <w:szCs w:val="21"/>
                      <w:highlight w:val="none"/>
                      <w:lang w:val="en-US" w:eastAsia="en-US" w:bidi="ar-SA"/>
                    </w:rPr>
                    <w:t>颗粒物</w:t>
                  </w:r>
                </w:p>
              </w:tc>
            </w:tr>
            <w:tr w14:paraId="05607F36">
              <w:tblPrEx>
                <w:tblCellMar>
                  <w:top w:w="0" w:type="dxa"/>
                  <w:left w:w="0" w:type="dxa"/>
                  <w:bottom w:w="0" w:type="dxa"/>
                  <w:right w:w="0" w:type="dxa"/>
                </w:tblCellMar>
              </w:tblPrEx>
              <w:trPr>
                <w:trHeight w:val="397" w:hRule="atLeast"/>
              </w:trPr>
              <w:tc>
                <w:tcPr>
                  <w:tcW w:w="615" w:type="pct"/>
                  <w:vMerge w:val="continue"/>
                  <w:tcBorders>
                    <w:left w:val="single" w:color="000000" w:sz="4" w:space="0"/>
                    <w:bottom w:val="single" w:color="000000" w:sz="4" w:space="0"/>
                    <w:right w:val="single" w:color="000000" w:sz="4" w:space="0"/>
                  </w:tcBorders>
                  <w:noWrap w:val="0"/>
                  <w:vAlign w:val="center"/>
                </w:tcPr>
                <w:p w14:paraId="2C4D6526">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en-US"/>
                    </w:rPr>
                  </w:pPr>
                </w:p>
              </w:tc>
              <w:tc>
                <w:tcPr>
                  <w:tcW w:w="2324" w:type="pct"/>
                  <w:tcBorders>
                    <w:top w:val="single" w:color="000000" w:sz="4" w:space="0"/>
                    <w:left w:val="single" w:color="000000" w:sz="4" w:space="0"/>
                    <w:bottom w:val="single" w:color="000000" w:sz="4" w:space="0"/>
                    <w:right w:val="single" w:color="000000" w:sz="4" w:space="0"/>
                  </w:tcBorders>
                  <w:noWrap w:val="0"/>
                  <w:vAlign w:val="center"/>
                </w:tcPr>
                <w:p w14:paraId="2F9C6E0C">
                  <w:pPr>
                    <w:pStyle w:val="83"/>
                    <w:widowControl/>
                    <w:autoSpaceDE/>
                    <w:autoSpaceDN/>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en-US" w:bidi="ar-SA"/>
                    </w:rPr>
                    <w:t>运输车辆</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05DAAABE">
                  <w:pPr>
                    <w:pStyle w:val="83"/>
                    <w:widowControl/>
                    <w:autoSpaceDE/>
                    <w:autoSpaceDN/>
                    <w:adjustRightInd w:val="0"/>
                    <w:snapToGrid w:val="0"/>
                    <w:jc w:val="center"/>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z w:val="21"/>
                      <w:szCs w:val="21"/>
                      <w:highlight w:val="none"/>
                      <w:lang w:val="en-US" w:eastAsia="zh-CN" w:bidi="ar-SA"/>
                    </w:rPr>
                    <w:t>尾气</w:t>
                  </w:r>
                </w:p>
              </w:tc>
              <w:tc>
                <w:tcPr>
                  <w:tcW w:w="1250" w:type="pct"/>
                  <w:tcBorders>
                    <w:top w:val="single" w:color="000000" w:sz="4" w:space="0"/>
                    <w:left w:val="single" w:color="000000" w:sz="4" w:space="0"/>
                    <w:bottom w:val="single" w:color="000000" w:sz="4" w:space="0"/>
                    <w:right w:val="single" w:color="000000" w:sz="4" w:space="0"/>
                  </w:tcBorders>
                  <w:noWrap w:val="0"/>
                  <w:vAlign w:val="center"/>
                </w:tcPr>
                <w:p w14:paraId="7158071A">
                  <w:pPr>
                    <w:pStyle w:val="83"/>
                    <w:widowControl/>
                    <w:autoSpaceDE/>
                    <w:autoSpaceDN/>
                    <w:adjustRightInd w:val="0"/>
                    <w:snapToGrid w:val="0"/>
                    <w:jc w:val="center"/>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z w:val="21"/>
                      <w:szCs w:val="21"/>
                      <w:highlight w:val="none"/>
                      <w:lang w:val="en-US" w:eastAsia="en-US" w:bidi="ar-SA"/>
                    </w:rPr>
                    <w:t>NOx、烟尘、CO</w:t>
                  </w:r>
                </w:p>
              </w:tc>
            </w:tr>
            <w:tr w14:paraId="340143E9">
              <w:tblPrEx>
                <w:tblCellMar>
                  <w:top w:w="0" w:type="dxa"/>
                  <w:left w:w="0" w:type="dxa"/>
                  <w:bottom w:w="0" w:type="dxa"/>
                  <w:right w:w="0" w:type="dxa"/>
                </w:tblCellMar>
              </w:tblPrEx>
              <w:trPr>
                <w:trHeight w:val="397" w:hRule="atLeast"/>
              </w:trPr>
              <w:tc>
                <w:tcPr>
                  <w:tcW w:w="615" w:type="pct"/>
                  <w:vMerge w:val="restart"/>
                  <w:tcBorders>
                    <w:top w:val="single" w:color="000000" w:sz="4" w:space="0"/>
                    <w:left w:val="single" w:color="000000" w:sz="4" w:space="0"/>
                    <w:right w:val="single" w:color="000000" w:sz="4" w:space="0"/>
                  </w:tcBorders>
                  <w:noWrap w:val="0"/>
                  <w:vAlign w:val="center"/>
                </w:tcPr>
                <w:p w14:paraId="4E2B9E9B">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废水</w:t>
                  </w:r>
                </w:p>
              </w:tc>
              <w:tc>
                <w:tcPr>
                  <w:tcW w:w="2324" w:type="pct"/>
                  <w:tcBorders>
                    <w:top w:val="single" w:color="000000" w:sz="4" w:space="0"/>
                    <w:left w:val="single" w:color="000000" w:sz="4" w:space="0"/>
                    <w:bottom w:val="single" w:color="000000" w:sz="4" w:space="0"/>
                    <w:right w:val="single" w:color="000000" w:sz="4" w:space="0"/>
                  </w:tcBorders>
                  <w:noWrap w:val="0"/>
                  <w:vAlign w:val="center"/>
                </w:tcPr>
                <w:p w14:paraId="3A78563B">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施工人员</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3C8BE035">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生活污水</w:t>
                  </w:r>
                </w:p>
              </w:tc>
              <w:tc>
                <w:tcPr>
                  <w:tcW w:w="1250" w:type="pct"/>
                  <w:vMerge w:val="restart"/>
                  <w:tcBorders>
                    <w:top w:val="single" w:color="000000" w:sz="4" w:space="0"/>
                    <w:left w:val="single" w:color="000000" w:sz="4" w:space="0"/>
                    <w:right w:val="single" w:color="000000" w:sz="4" w:space="0"/>
                  </w:tcBorders>
                  <w:noWrap w:val="0"/>
                  <w:vAlign w:val="center"/>
                </w:tcPr>
                <w:p w14:paraId="72D0B70F">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COD、BOD</w:t>
                  </w:r>
                  <w:r>
                    <w:rPr>
                      <w:rFonts w:hint="default" w:ascii="Times New Roman" w:hAnsi="Times New Roman" w:eastAsia="宋体" w:cs="Times New Roman"/>
                      <w:color w:val="auto"/>
                      <w:sz w:val="21"/>
                      <w:szCs w:val="21"/>
                      <w:highlight w:val="none"/>
                      <w:vertAlign w:val="subscript"/>
                      <w:lang w:eastAsia="zh-CN"/>
                    </w:rPr>
                    <w:t>5</w:t>
                  </w:r>
                  <w:r>
                    <w:rPr>
                      <w:rFonts w:hint="default" w:ascii="Times New Roman" w:hAnsi="Times New Roman" w:eastAsia="宋体" w:cs="Times New Roman"/>
                      <w:color w:val="auto"/>
                      <w:sz w:val="21"/>
                      <w:szCs w:val="21"/>
                      <w:highlight w:val="none"/>
                      <w:lang w:eastAsia="zh-CN"/>
                    </w:rPr>
                    <w:t>、氨氮</w:t>
                  </w:r>
                </w:p>
              </w:tc>
            </w:tr>
            <w:tr w14:paraId="61397486">
              <w:tblPrEx>
                <w:tblCellMar>
                  <w:top w:w="0" w:type="dxa"/>
                  <w:left w:w="0" w:type="dxa"/>
                  <w:bottom w:w="0" w:type="dxa"/>
                  <w:right w:w="0" w:type="dxa"/>
                </w:tblCellMar>
              </w:tblPrEx>
              <w:trPr>
                <w:trHeight w:val="397" w:hRule="atLeast"/>
              </w:trPr>
              <w:tc>
                <w:tcPr>
                  <w:tcW w:w="615" w:type="pct"/>
                  <w:vMerge w:val="continue"/>
                  <w:tcBorders>
                    <w:left w:val="single" w:color="000000" w:sz="4" w:space="0"/>
                    <w:right w:val="single" w:color="000000" w:sz="4" w:space="0"/>
                  </w:tcBorders>
                  <w:noWrap w:val="0"/>
                  <w:vAlign w:val="center"/>
                </w:tcPr>
                <w:p w14:paraId="367FC939">
                  <w:pPr>
                    <w:widowControl/>
                    <w:autoSpaceDE w:val="0"/>
                    <w:autoSpaceDN w:val="0"/>
                    <w:adjustRightInd w:val="0"/>
                    <w:snapToGrid w:val="0"/>
                    <w:jc w:val="center"/>
                    <w:rPr>
                      <w:rFonts w:hint="default" w:ascii="Times New Roman" w:hAnsi="Times New Roman" w:eastAsia="宋体" w:cs="Times New Roman"/>
                      <w:color w:val="auto"/>
                      <w:sz w:val="21"/>
                      <w:szCs w:val="21"/>
                      <w:highlight w:val="none"/>
                      <w:lang w:eastAsia="en-US"/>
                    </w:rPr>
                  </w:pPr>
                </w:p>
              </w:tc>
              <w:tc>
                <w:tcPr>
                  <w:tcW w:w="2324" w:type="pct"/>
                  <w:tcBorders>
                    <w:top w:val="single" w:color="000000" w:sz="4" w:space="0"/>
                    <w:left w:val="single" w:color="000000" w:sz="4" w:space="0"/>
                    <w:bottom w:val="single" w:color="000000" w:sz="4" w:space="0"/>
                    <w:right w:val="single" w:color="000000" w:sz="4" w:space="0"/>
                  </w:tcBorders>
                  <w:noWrap w:val="0"/>
                  <w:vAlign w:val="center"/>
                </w:tcPr>
                <w:p w14:paraId="6FA35666">
                  <w:pPr>
                    <w:widowControl/>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施工过程</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03E7B24B">
                  <w:pPr>
                    <w:widowControl/>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施工废水</w:t>
                  </w:r>
                </w:p>
              </w:tc>
              <w:tc>
                <w:tcPr>
                  <w:tcW w:w="1250" w:type="pct"/>
                  <w:vMerge w:val="continue"/>
                  <w:tcBorders>
                    <w:left w:val="single" w:color="000000" w:sz="4" w:space="0"/>
                    <w:right w:val="single" w:color="000000" w:sz="4" w:space="0"/>
                  </w:tcBorders>
                  <w:noWrap w:val="0"/>
                  <w:vAlign w:val="center"/>
                </w:tcPr>
                <w:p w14:paraId="596AB987">
                  <w:pPr>
                    <w:widowControl/>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p>
              </w:tc>
            </w:tr>
            <w:tr w14:paraId="227E91A8">
              <w:tblPrEx>
                <w:tblCellMar>
                  <w:top w:w="0" w:type="dxa"/>
                  <w:left w:w="0" w:type="dxa"/>
                  <w:bottom w:w="0" w:type="dxa"/>
                  <w:right w:w="0" w:type="dxa"/>
                </w:tblCellMar>
              </w:tblPrEx>
              <w:trPr>
                <w:trHeight w:val="397" w:hRule="atLeast"/>
              </w:trPr>
              <w:tc>
                <w:tcPr>
                  <w:tcW w:w="615" w:type="pct"/>
                  <w:vMerge w:val="restart"/>
                  <w:tcBorders>
                    <w:top w:val="single" w:color="000000" w:sz="4" w:space="0"/>
                    <w:left w:val="single" w:color="000000" w:sz="4" w:space="0"/>
                    <w:right w:val="single" w:color="000000" w:sz="4" w:space="0"/>
                  </w:tcBorders>
                  <w:noWrap w:val="0"/>
                  <w:vAlign w:val="center"/>
                </w:tcPr>
                <w:p w14:paraId="6AF633E7">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固废</w:t>
                  </w:r>
                </w:p>
              </w:tc>
              <w:tc>
                <w:tcPr>
                  <w:tcW w:w="2324" w:type="pct"/>
                  <w:tcBorders>
                    <w:top w:val="single" w:color="000000" w:sz="4" w:space="0"/>
                    <w:left w:val="single" w:color="000000" w:sz="4" w:space="0"/>
                    <w:bottom w:val="single" w:color="000000" w:sz="4" w:space="0"/>
                    <w:right w:val="single" w:color="000000" w:sz="4" w:space="0"/>
                  </w:tcBorders>
                  <w:noWrap w:val="0"/>
                  <w:vAlign w:val="center"/>
                </w:tcPr>
                <w:p w14:paraId="67E21113">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施工过程</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0DE53BBA">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一般固废</w:t>
                  </w:r>
                </w:p>
              </w:tc>
              <w:tc>
                <w:tcPr>
                  <w:tcW w:w="1250" w:type="pct"/>
                  <w:tcBorders>
                    <w:top w:val="single" w:color="000000" w:sz="4" w:space="0"/>
                    <w:left w:val="single" w:color="000000" w:sz="4" w:space="0"/>
                    <w:bottom w:val="single" w:color="000000" w:sz="4" w:space="0"/>
                    <w:right w:val="single" w:color="000000" w:sz="4" w:space="0"/>
                  </w:tcBorders>
                  <w:noWrap w:val="0"/>
                  <w:vAlign w:val="center"/>
                </w:tcPr>
                <w:p w14:paraId="3B9729C0">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建筑垃圾、废弃建材、废弃包装</w:t>
                  </w:r>
                </w:p>
              </w:tc>
            </w:tr>
            <w:tr w14:paraId="4F2E340F">
              <w:tblPrEx>
                <w:tblCellMar>
                  <w:top w:w="0" w:type="dxa"/>
                  <w:left w:w="0" w:type="dxa"/>
                  <w:bottom w:w="0" w:type="dxa"/>
                  <w:right w:w="0" w:type="dxa"/>
                </w:tblCellMar>
              </w:tblPrEx>
              <w:trPr>
                <w:trHeight w:val="397" w:hRule="atLeast"/>
              </w:trPr>
              <w:tc>
                <w:tcPr>
                  <w:tcW w:w="615" w:type="pct"/>
                  <w:vMerge w:val="continue"/>
                  <w:tcBorders>
                    <w:left w:val="single" w:color="000000" w:sz="4" w:space="0"/>
                    <w:bottom w:val="single" w:color="000000" w:sz="4" w:space="0"/>
                    <w:right w:val="single" w:color="000000" w:sz="4" w:space="0"/>
                  </w:tcBorders>
                  <w:noWrap w:val="0"/>
                  <w:vAlign w:val="center"/>
                </w:tcPr>
                <w:p w14:paraId="558464DE">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p>
              </w:tc>
              <w:tc>
                <w:tcPr>
                  <w:tcW w:w="2324" w:type="pct"/>
                  <w:tcBorders>
                    <w:top w:val="single" w:color="000000" w:sz="4" w:space="0"/>
                    <w:left w:val="single" w:color="000000" w:sz="4" w:space="0"/>
                    <w:bottom w:val="single" w:color="000000" w:sz="4" w:space="0"/>
                    <w:right w:val="single" w:color="000000" w:sz="4" w:space="0"/>
                  </w:tcBorders>
                  <w:noWrap w:val="0"/>
                  <w:vAlign w:val="center"/>
                </w:tcPr>
                <w:p w14:paraId="1C2DE6D2">
                  <w:pPr>
                    <w:pStyle w:val="83"/>
                    <w:widowControl/>
                    <w:autoSpaceDE/>
                    <w:autoSpaceDN/>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施工人员</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14:paraId="370078A9">
                  <w:pPr>
                    <w:pStyle w:val="83"/>
                    <w:widowControl/>
                    <w:autoSpaceDE/>
                    <w:autoSpaceDN/>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生活垃圾</w:t>
                  </w:r>
                </w:p>
              </w:tc>
              <w:tc>
                <w:tcPr>
                  <w:tcW w:w="1250" w:type="pct"/>
                  <w:tcBorders>
                    <w:top w:val="single" w:color="000000" w:sz="4" w:space="0"/>
                    <w:left w:val="single" w:color="000000" w:sz="4" w:space="0"/>
                    <w:bottom w:val="single" w:color="000000" w:sz="4" w:space="0"/>
                    <w:right w:val="single" w:color="000000" w:sz="4" w:space="0"/>
                  </w:tcBorders>
                  <w:noWrap w:val="0"/>
                  <w:vAlign w:val="center"/>
                </w:tcPr>
                <w:p w14:paraId="7955D3FC">
                  <w:pPr>
                    <w:pStyle w:val="83"/>
                    <w:widowControl/>
                    <w:autoSpaceDE/>
                    <w:autoSpaceDN/>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生活垃圾</w:t>
                  </w:r>
                </w:p>
              </w:tc>
            </w:tr>
            <w:tr w14:paraId="24F3F2FA">
              <w:tblPrEx>
                <w:tblCellMar>
                  <w:top w:w="0" w:type="dxa"/>
                  <w:left w:w="0" w:type="dxa"/>
                  <w:bottom w:w="0" w:type="dxa"/>
                  <w:right w:w="0" w:type="dxa"/>
                </w:tblCellMar>
              </w:tblPrEx>
              <w:trPr>
                <w:trHeight w:val="397" w:hRule="atLeast"/>
              </w:trPr>
              <w:tc>
                <w:tcPr>
                  <w:tcW w:w="615" w:type="pct"/>
                  <w:vMerge w:val="restart"/>
                  <w:tcBorders>
                    <w:top w:val="single" w:color="000000" w:sz="4" w:space="0"/>
                    <w:left w:val="single" w:color="000000" w:sz="4" w:space="0"/>
                    <w:right w:val="single" w:color="000000" w:sz="4" w:space="0"/>
                  </w:tcBorders>
                  <w:noWrap w:val="0"/>
                  <w:vAlign w:val="center"/>
                </w:tcPr>
                <w:p w14:paraId="0A0DF16D">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w:t>
                  </w:r>
                </w:p>
              </w:tc>
              <w:tc>
                <w:tcPr>
                  <w:tcW w:w="2324" w:type="pct"/>
                  <w:tcBorders>
                    <w:top w:val="single" w:color="000000" w:sz="4" w:space="0"/>
                    <w:left w:val="single" w:color="000000" w:sz="4" w:space="0"/>
                    <w:bottom w:val="single" w:color="000000" w:sz="4" w:space="0"/>
                    <w:right w:val="single" w:color="000000" w:sz="4" w:space="0"/>
                  </w:tcBorders>
                  <w:noWrap w:val="0"/>
                  <w:vAlign w:val="center"/>
                </w:tcPr>
                <w:p w14:paraId="120E6F13">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施工设备</w:t>
                  </w:r>
                </w:p>
              </w:tc>
              <w:tc>
                <w:tcPr>
                  <w:tcW w:w="810" w:type="pct"/>
                  <w:vMerge w:val="restart"/>
                  <w:tcBorders>
                    <w:top w:val="single" w:color="000000" w:sz="4" w:space="0"/>
                    <w:left w:val="single" w:color="000000" w:sz="4" w:space="0"/>
                    <w:right w:val="single" w:color="000000" w:sz="4" w:space="0"/>
                  </w:tcBorders>
                  <w:noWrap w:val="0"/>
                  <w:vAlign w:val="center"/>
                </w:tcPr>
                <w:p w14:paraId="56EF6417">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w:t>
                  </w:r>
                </w:p>
              </w:tc>
              <w:tc>
                <w:tcPr>
                  <w:tcW w:w="1250" w:type="pct"/>
                  <w:vMerge w:val="restart"/>
                  <w:tcBorders>
                    <w:top w:val="single" w:color="000000" w:sz="4" w:space="0"/>
                    <w:left w:val="single" w:color="000000" w:sz="4" w:space="0"/>
                    <w:right w:val="single" w:color="000000" w:sz="4" w:space="0"/>
                  </w:tcBorders>
                  <w:noWrap w:val="0"/>
                  <w:vAlign w:val="center"/>
                </w:tcPr>
                <w:p w14:paraId="2D58CCBB">
                  <w:pPr>
                    <w:widowControl/>
                    <w:autoSpaceDE/>
                    <w:autoSpaceDN/>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w:t>
                  </w:r>
                </w:p>
              </w:tc>
            </w:tr>
            <w:tr w14:paraId="209B0D86">
              <w:tblPrEx>
                <w:tblCellMar>
                  <w:top w:w="0" w:type="dxa"/>
                  <w:left w:w="0" w:type="dxa"/>
                  <w:bottom w:w="0" w:type="dxa"/>
                  <w:right w:w="0" w:type="dxa"/>
                </w:tblCellMar>
              </w:tblPrEx>
              <w:trPr>
                <w:trHeight w:val="397" w:hRule="atLeast"/>
              </w:trPr>
              <w:tc>
                <w:tcPr>
                  <w:tcW w:w="616" w:type="pct"/>
                  <w:vMerge w:val="continue"/>
                  <w:tcBorders>
                    <w:left w:val="single" w:color="000000" w:sz="4" w:space="0"/>
                    <w:bottom w:val="single" w:color="000000" w:sz="4" w:space="0"/>
                    <w:right w:val="single" w:color="000000" w:sz="4" w:space="0"/>
                  </w:tcBorders>
                  <w:noWrap w:val="0"/>
                  <w:vAlign w:val="center"/>
                </w:tcPr>
                <w:p w14:paraId="2CA8FC87">
                  <w:pPr>
                    <w:widowControl/>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p>
              </w:tc>
              <w:tc>
                <w:tcPr>
                  <w:tcW w:w="2324" w:type="pct"/>
                  <w:tcBorders>
                    <w:top w:val="single" w:color="000000" w:sz="4" w:space="0"/>
                    <w:left w:val="single" w:color="000000" w:sz="4" w:space="0"/>
                    <w:bottom w:val="single" w:color="000000" w:sz="4" w:space="0"/>
                    <w:right w:val="single" w:color="000000" w:sz="4" w:space="0"/>
                  </w:tcBorders>
                  <w:noWrap w:val="0"/>
                  <w:vAlign w:val="center"/>
                </w:tcPr>
                <w:p w14:paraId="6AFB7B04">
                  <w:pPr>
                    <w:widowControl/>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运输车辆</w:t>
                  </w:r>
                </w:p>
              </w:tc>
              <w:tc>
                <w:tcPr>
                  <w:tcW w:w="810" w:type="pct"/>
                  <w:vMerge w:val="continue"/>
                  <w:tcBorders>
                    <w:left w:val="single" w:color="000000" w:sz="4" w:space="0"/>
                    <w:bottom w:val="single" w:color="000000" w:sz="4" w:space="0"/>
                    <w:right w:val="single" w:color="000000" w:sz="4" w:space="0"/>
                  </w:tcBorders>
                  <w:noWrap w:val="0"/>
                  <w:vAlign w:val="center"/>
                </w:tcPr>
                <w:p w14:paraId="5AD2A0B8">
                  <w:pPr>
                    <w:widowControl/>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p>
              </w:tc>
              <w:tc>
                <w:tcPr>
                  <w:tcW w:w="1250" w:type="pct"/>
                  <w:vMerge w:val="continue"/>
                  <w:tcBorders>
                    <w:left w:val="single" w:color="000000" w:sz="4" w:space="0"/>
                    <w:bottom w:val="single" w:color="000000" w:sz="4" w:space="0"/>
                    <w:right w:val="single" w:color="000000" w:sz="4" w:space="0"/>
                  </w:tcBorders>
                  <w:noWrap w:val="0"/>
                  <w:vAlign w:val="center"/>
                </w:tcPr>
                <w:p w14:paraId="51CB59B0">
                  <w:pPr>
                    <w:widowControl/>
                    <w:autoSpaceDE w:val="0"/>
                    <w:autoSpaceDN w:val="0"/>
                    <w:adjustRightInd w:val="0"/>
                    <w:snapToGrid w:val="0"/>
                    <w:jc w:val="center"/>
                    <w:rPr>
                      <w:rFonts w:hint="default" w:ascii="Times New Roman" w:hAnsi="Times New Roman" w:eastAsia="宋体" w:cs="Times New Roman"/>
                      <w:color w:val="auto"/>
                      <w:sz w:val="21"/>
                      <w:szCs w:val="21"/>
                      <w:highlight w:val="none"/>
                      <w:lang w:eastAsia="zh-CN"/>
                    </w:rPr>
                  </w:pPr>
                </w:p>
              </w:tc>
            </w:tr>
          </w:tbl>
          <w:p w14:paraId="1AE112EA">
            <w:pPr>
              <w:keepNext w:val="0"/>
              <w:keepLines w:val="0"/>
              <w:suppressLineNumbers w:val="0"/>
              <w:spacing w:before="0" w:beforeAutospacing="0" w:after="0" w:afterAutospacing="0" w:line="360" w:lineRule="auto"/>
              <w:ind w:left="0" w:right="0"/>
              <w:jc w:val="left"/>
              <w:rPr>
                <w:rFonts w:hint="default"/>
                <w:b/>
                <w:sz w:val="24"/>
                <w:highlight w:val="none"/>
              </w:rPr>
            </w:pPr>
          </w:p>
          <w:p w14:paraId="489975A0">
            <w:pPr>
              <w:keepNext w:val="0"/>
              <w:keepLines w:val="0"/>
              <w:suppressLineNumbers w:val="0"/>
              <w:spacing w:before="0" w:beforeAutospacing="0" w:after="0" w:afterAutospacing="0" w:line="360" w:lineRule="auto"/>
              <w:ind w:left="0" w:right="0"/>
              <w:jc w:val="left"/>
              <w:rPr>
                <w:rFonts w:hint="default"/>
                <w:b/>
                <w:sz w:val="24"/>
                <w:highlight w:val="none"/>
              </w:rPr>
            </w:pPr>
          </w:p>
          <w:p w14:paraId="7174EF6C">
            <w:pPr>
              <w:keepNext w:val="0"/>
              <w:keepLines w:val="0"/>
              <w:suppressLineNumbers w:val="0"/>
              <w:spacing w:before="0" w:beforeAutospacing="0" w:after="0" w:afterAutospacing="0" w:line="360" w:lineRule="auto"/>
              <w:ind w:left="0" w:right="0"/>
              <w:jc w:val="left"/>
              <w:rPr>
                <w:rFonts w:hint="default"/>
                <w:b/>
                <w:sz w:val="24"/>
                <w:highlight w:val="none"/>
              </w:rPr>
            </w:pPr>
            <w:r>
              <w:rPr>
                <w:rFonts w:hint="default"/>
                <w:b/>
                <w:sz w:val="24"/>
                <w:highlight w:val="none"/>
              </w:rPr>
              <w:t>二、运营期</w:t>
            </w:r>
          </w:p>
          <w:p w14:paraId="03A660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1、生产工艺流程及产污环节图</w:t>
            </w:r>
          </w:p>
          <w:p w14:paraId="5FC9AE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Cs w:val="21"/>
                <w:highlight w:val="none"/>
                <w:lang w:val="en-US" w:eastAsia="zh-CN"/>
              </w:rPr>
              <w:object>
                <v:shape id="_x0000_i1026" o:spt="75" type="#_x0000_t75" style="height:78.75pt;width:436.65pt;" o:ole="t" filled="f" o:preferrelative="t" stroked="f" coordsize="21600,21600">
                  <v:path/>
                  <v:fill on="f" focussize="0,0"/>
                  <v:stroke on="f"/>
                  <v:imagedata r:id="rId22" o:title=""/>
                  <o:lock v:ext="edit" aspectratio="f"/>
                  <w10:wrap type="none"/>
                  <w10:anchorlock/>
                </v:shape>
                <o:OLEObject Type="Embed" ProgID="Visio.Drawing.15" ShapeID="_x0000_i1026" DrawAspect="Content" ObjectID="_1468075726" r:id="rId21">
                  <o:LockedField>false</o:LockedField>
                </o:OLEObject>
              </w:object>
            </w:r>
            <w:r>
              <w:rPr>
                <w:rFonts w:hint="default" w:ascii="Times New Roman" w:hAnsi="Times New Roman" w:eastAsia="宋体" w:cs="Times New Roman"/>
                <w:b/>
                <w:color w:val="auto"/>
                <w:szCs w:val="21"/>
                <w:highlight w:val="none"/>
                <w:lang w:val="en-US" w:eastAsia="zh-CN"/>
              </w:rPr>
              <w:object>
                <v:shape id="_x0000_i1027" o:spt="75" type="#_x0000_t75" style="height:0.05pt;width:0.05pt;" o:ole="t" filled="f" o:preferrelative="t" stroked="f" coordsize="21600,21600">
                  <v:path/>
                  <v:fill on="f" focussize="0,0"/>
                  <v:stroke on="f"/>
                  <v:imagedata r:id="rId24" o:title=""/>
                  <o:lock v:ext="edit" aspectratio="t"/>
                  <w10:wrap type="none"/>
                  <w10:anchorlock/>
                </v:shape>
                <o:OLEObject Type="Embed" ProgID="EdrawMax.EdrawDocument.1" ShapeID="_x0000_i1027" DrawAspect="Content" ObjectID="_1468075727" r:id="rId23">
                  <o:LockedField>false</o:LockedField>
                </o:OLEObject>
              </w:object>
            </w:r>
            <w:r>
              <w:rPr>
                <w:rFonts w:hint="default" w:ascii="Times New Roman" w:hAnsi="Times New Roman" w:eastAsia="宋体" w:cs="Times New Roman"/>
                <w:b/>
                <w:color w:val="auto"/>
                <w:sz w:val="21"/>
                <w:szCs w:val="21"/>
                <w:highlight w:val="none"/>
                <w:lang w:val="en-US" w:eastAsia="zh-CN"/>
              </w:rPr>
              <w:t>图2-</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lang w:val="en-US" w:eastAsia="zh-CN"/>
              </w:rPr>
              <w:t xml:space="preserve"> </w:t>
            </w:r>
            <w:r>
              <w:rPr>
                <w:rFonts w:hint="eastAsia"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生产工艺流程图</w:t>
            </w:r>
          </w:p>
          <w:p w14:paraId="16E4CB29">
            <w:pPr>
              <w:pStyle w:val="70"/>
              <w:keepNext w:val="0"/>
              <w:keepLines w:val="0"/>
              <w:suppressLineNumbers w:val="0"/>
              <w:spacing w:before="120" w:beforeAutospacing="0" w:after="0" w:afterAutospacing="0" w:line="360" w:lineRule="auto"/>
              <w:ind w:left="0" w:right="0" w:firstLine="472" w:firstLineChars="196"/>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2、工艺流程简述</w:t>
            </w:r>
          </w:p>
          <w:p w14:paraId="5A7EFD1C">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投料、</w:t>
            </w:r>
            <w:r>
              <w:rPr>
                <w:rFonts w:hint="eastAsia" w:cs="Times New Roman"/>
                <w:snapToGrid w:val="0"/>
                <w:kern w:val="0"/>
                <w:sz w:val="24"/>
                <w:szCs w:val="24"/>
                <w:highlight w:val="none"/>
                <w:lang w:val="en-US" w:eastAsia="zh-CN"/>
              </w:rPr>
              <w:t>搅拌</w:t>
            </w:r>
            <w:r>
              <w:rPr>
                <w:rFonts w:hint="eastAsia" w:ascii="Times New Roman" w:hAnsi="Times New Roman" w:eastAsia="宋体" w:cs="Times New Roman"/>
                <w:snapToGrid w:val="0"/>
                <w:kern w:val="0"/>
                <w:sz w:val="24"/>
                <w:szCs w:val="24"/>
                <w:highlight w:val="none"/>
                <w:lang w:val="en-US" w:eastAsia="zh-CN"/>
              </w:rPr>
              <w:t>：外购用吨包包装的</w:t>
            </w:r>
            <w:r>
              <w:rPr>
                <w:rFonts w:hint="eastAsia" w:cs="Times New Roman"/>
                <w:snapToGrid w:val="0"/>
                <w:kern w:val="0"/>
                <w:sz w:val="24"/>
                <w:szCs w:val="24"/>
                <w:highlight w:val="none"/>
                <w:lang w:val="en-US" w:eastAsia="zh-CN"/>
              </w:rPr>
              <w:t>氧化铝微粉</w:t>
            </w:r>
            <w:r>
              <w:rPr>
                <w:rFonts w:hint="eastAsia" w:ascii="Times New Roman" w:hAnsi="Times New Roman" w:eastAsia="宋体" w:cs="Times New Roman"/>
                <w:snapToGrid w:val="0"/>
                <w:kern w:val="0"/>
                <w:sz w:val="24"/>
                <w:szCs w:val="24"/>
                <w:highlight w:val="none"/>
                <w:lang w:val="en-US" w:eastAsia="zh-CN"/>
              </w:rPr>
              <w:t>通过叉车提升至投料仓，物料袋下侧开口使物料下放至底部进入</w:t>
            </w:r>
            <w:r>
              <w:rPr>
                <w:rFonts w:hint="eastAsia" w:cs="Times New Roman"/>
                <w:snapToGrid w:val="0"/>
                <w:kern w:val="0"/>
                <w:sz w:val="24"/>
                <w:szCs w:val="24"/>
                <w:highlight w:val="none"/>
                <w:lang w:val="en-US" w:eastAsia="zh-CN"/>
              </w:rPr>
              <w:t>提升机</w:t>
            </w:r>
            <w:r>
              <w:rPr>
                <w:rFonts w:hint="eastAsia" w:ascii="Times New Roman" w:hAnsi="Times New Roman" w:eastAsia="宋体" w:cs="Times New Roman"/>
                <w:snapToGrid w:val="0"/>
                <w:kern w:val="0"/>
                <w:sz w:val="24"/>
                <w:szCs w:val="24"/>
                <w:highlight w:val="none"/>
                <w:lang w:val="en-US" w:eastAsia="zh-CN"/>
              </w:rPr>
              <w:t>，产生的粉尘经过下料漏斗斜下侧抽气管道进入布袋除尘器；物料</w:t>
            </w:r>
            <w:r>
              <w:rPr>
                <w:rFonts w:hint="eastAsia" w:cs="Times New Roman"/>
                <w:snapToGrid w:val="0"/>
                <w:kern w:val="0"/>
                <w:sz w:val="24"/>
                <w:szCs w:val="24"/>
                <w:highlight w:val="none"/>
                <w:lang w:val="en-US" w:eastAsia="zh-CN"/>
              </w:rPr>
              <w:t>通过密闭螺旋输送机</w:t>
            </w:r>
            <w:r>
              <w:rPr>
                <w:rFonts w:hint="eastAsia" w:ascii="Times New Roman" w:hAnsi="Times New Roman" w:eastAsia="宋体" w:cs="Times New Roman"/>
                <w:snapToGrid w:val="0"/>
                <w:kern w:val="0"/>
                <w:sz w:val="24"/>
                <w:szCs w:val="24"/>
                <w:highlight w:val="none"/>
                <w:lang w:val="en-US" w:eastAsia="zh-CN"/>
              </w:rPr>
              <w:t>送入</w:t>
            </w:r>
            <w:r>
              <w:rPr>
                <w:rFonts w:hint="eastAsia" w:cs="Times New Roman"/>
                <w:snapToGrid w:val="0"/>
                <w:kern w:val="0"/>
                <w:sz w:val="24"/>
                <w:szCs w:val="24"/>
                <w:highlight w:val="none"/>
                <w:lang w:val="en-US" w:eastAsia="zh-CN"/>
              </w:rPr>
              <w:t>密闭的</w:t>
            </w:r>
            <w:r>
              <w:rPr>
                <w:rFonts w:hint="eastAsia" w:ascii="Times New Roman" w:hAnsi="Times New Roman" w:eastAsia="宋体" w:cs="Times New Roman"/>
                <w:snapToGrid w:val="0"/>
                <w:kern w:val="0"/>
                <w:sz w:val="24"/>
                <w:szCs w:val="24"/>
                <w:highlight w:val="none"/>
                <w:lang w:val="en-US" w:eastAsia="zh-CN"/>
              </w:rPr>
              <w:t>解聚均化搅拌机</w:t>
            </w:r>
            <w:r>
              <w:rPr>
                <w:rFonts w:hint="eastAsia" w:cs="Times New Roman"/>
                <w:snapToGrid w:val="0"/>
                <w:kern w:val="0"/>
                <w:sz w:val="24"/>
                <w:szCs w:val="24"/>
                <w:highlight w:val="none"/>
                <w:lang w:val="en-US" w:eastAsia="zh-CN"/>
              </w:rPr>
              <w:t>进行</w:t>
            </w:r>
            <w:r>
              <w:rPr>
                <w:rFonts w:hint="eastAsia" w:ascii="Times New Roman" w:hAnsi="Times New Roman" w:eastAsia="宋体" w:cs="Times New Roman"/>
                <w:snapToGrid w:val="0"/>
                <w:kern w:val="0"/>
                <w:sz w:val="24"/>
                <w:szCs w:val="24"/>
                <w:highlight w:val="none"/>
                <w:lang w:val="en-US" w:eastAsia="zh-CN"/>
              </w:rPr>
              <w:t>解聚均化</w:t>
            </w:r>
            <w:r>
              <w:rPr>
                <w:rFonts w:hint="eastAsia"/>
                <w:sz w:val="24"/>
                <w:szCs w:val="24"/>
                <w:lang w:eastAsia="zh-CN"/>
              </w:rPr>
              <w:t>，主要是利用机械作用力打散粉体软硬团聚，还原原始单颗粒形态，让粉体粒度、组分分布均匀、消除颗粒偏析，为后续磁选、球磨工序奠定良好基础，保障各工序作业效果与成品品质稳定均一</w:t>
            </w:r>
            <w:r>
              <w:rPr>
                <w:rFonts w:hint="eastAsia" w:ascii="Times New Roman" w:hAnsi="Times New Roman" w:eastAsia="宋体" w:cs="Times New Roman"/>
                <w:snapToGrid w:val="0"/>
                <w:kern w:val="0"/>
                <w:sz w:val="24"/>
                <w:szCs w:val="24"/>
                <w:highlight w:val="none"/>
                <w:lang w:val="en-US" w:eastAsia="zh-CN"/>
              </w:rPr>
              <w:t>。</w:t>
            </w:r>
          </w:p>
          <w:p w14:paraId="0E366504">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w:t>
            </w:r>
            <w:r>
              <w:rPr>
                <w:rFonts w:hint="eastAsia" w:cs="Times New Roman"/>
                <w:snapToGrid w:val="0"/>
                <w:kern w:val="0"/>
                <w:sz w:val="24"/>
                <w:szCs w:val="24"/>
                <w:highlight w:val="none"/>
                <w:lang w:val="en-US" w:eastAsia="zh-CN"/>
              </w:rPr>
              <w:t>投料</w:t>
            </w:r>
            <w:r>
              <w:rPr>
                <w:rFonts w:hint="eastAsia" w:ascii="Times New Roman" w:hAnsi="Times New Roman" w:eastAsia="宋体" w:cs="Times New Roman"/>
                <w:snapToGrid w:val="0"/>
                <w:kern w:val="0"/>
                <w:sz w:val="24"/>
                <w:szCs w:val="24"/>
                <w:highlight w:val="none"/>
                <w:lang w:val="en-US" w:eastAsia="zh-CN"/>
              </w:rPr>
              <w:t>过程会产生颗粒物、噪声、废包装袋、布袋除尘器收集的粉尘</w:t>
            </w:r>
            <w:r>
              <w:rPr>
                <w:rFonts w:hint="eastAsia" w:cs="Times New Roman"/>
                <w:snapToGrid w:val="0"/>
                <w:kern w:val="0"/>
                <w:sz w:val="24"/>
                <w:szCs w:val="24"/>
                <w:highlight w:val="none"/>
                <w:lang w:val="en-US" w:eastAsia="zh-CN"/>
              </w:rPr>
              <w:t>、废布袋</w:t>
            </w:r>
            <w:r>
              <w:rPr>
                <w:rFonts w:hint="eastAsia" w:ascii="Times New Roman" w:hAnsi="Times New Roman" w:eastAsia="宋体" w:cs="Times New Roman"/>
                <w:snapToGrid w:val="0"/>
                <w:kern w:val="0"/>
                <w:sz w:val="24"/>
                <w:szCs w:val="24"/>
                <w:highlight w:val="none"/>
                <w:lang w:val="en-US" w:eastAsia="zh-CN"/>
              </w:rPr>
              <w:t>等固废。</w:t>
            </w:r>
          </w:p>
          <w:p w14:paraId="274F207A">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cs="Times New Roman"/>
                <w:snapToGrid w:val="0"/>
                <w:kern w:val="0"/>
                <w:sz w:val="24"/>
                <w:szCs w:val="24"/>
                <w:highlight w:val="none"/>
                <w:lang w:val="en-US" w:eastAsia="zh-CN"/>
              </w:rPr>
              <w:t>磁选</w:t>
            </w:r>
            <w:r>
              <w:rPr>
                <w:rFonts w:hint="eastAsia" w:ascii="Times New Roman" w:hAnsi="Times New Roman" w:eastAsia="宋体" w:cs="Times New Roman"/>
                <w:snapToGrid w:val="0"/>
                <w:kern w:val="0"/>
                <w:sz w:val="24"/>
                <w:szCs w:val="24"/>
                <w:highlight w:val="none"/>
                <w:lang w:val="en-US" w:eastAsia="zh-CN"/>
              </w:rPr>
              <w:t>：解聚均化</w:t>
            </w:r>
            <w:r>
              <w:rPr>
                <w:rFonts w:hint="eastAsia" w:cs="Times New Roman"/>
                <w:snapToGrid w:val="0"/>
                <w:kern w:val="0"/>
                <w:sz w:val="24"/>
                <w:szCs w:val="24"/>
                <w:highlight w:val="none"/>
                <w:lang w:val="en-US" w:eastAsia="zh-CN"/>
              </w:rPr>
              <w:t>后的物料通过密闭螺旋输送机</w:t>
            </w:r>
            <w:r>
              <w:rPr>
                <w:rFonts w:hint="eastAsia" w:ascii="Times New Roman" w:hAnsi="Times New Roman" w:eastAsia="宋体" w:cs="Times New Roman"/>
                <w:snapToGrid w:val="0"/>
                <w:kern w:val="0"/>
                <w:sz w:val="24"/>
                <w:szCs w:val="24"/>
                <w:highlight w:val="none"/>
                <w:lang w:val="en-US" w:eastAsia="zh-CN"/>
              </w:rPr>
              <w:t>输送</w:t>
            </w:r>
            <w:r>
              <w:rPr>
                <w:rFonts w:hint="eastAsia" w:cs="Times New Roman"/>
                <w:snapToGrid w:val="0"/>
                <w:kern w:val="0"/>
                <w:sz w:val="24"/>
                <w:szCs w:val="24"/>
                <w:highlight w:val="none"/>
                <w:lang w:val="en-US" w:eastAsia="zh-CN"/>
              </w:rPr>
              <w:t>至磁选机（密闭设备）</w:t>
            </w:r>
            <w:r>
              <w:rPr>
                <w:rFonts w:hint="eastAsia" w:ascii="Times New Roman" w:hAnsi="Times New Roman" w:eastAsia="宋体" w:cs="Times New Roman"/>
                <w:snapToGrid w:val="0"/>
                <w:kern w:val="0"/>
                <w:sz w:val="24"/>
                <w:szCs w:val="24"/>
                <w:highlight w:val="none"/>
                <w:lang w:val="en-US" w:eastAsia="zh-CN"/>
              </w:rPr>
              <w:t>，通过磁选机</w:t>
            </w:r>
            <w:r>
              <w:rPr>
                <w:rFonts w:hint="eastAsia" w:cs="Times New Roman"/>
                <w:snapToGrid w:val="0"/>
                <w:kern w:val="0"/>
                <w:sz w:val="24"/>
                <w:szCs w:val="24"/>
                <w:highlight w:val="none"/>
                <w:lang w:val="en-US" w:eastAsia="zh-CN"/>
              </w:rPr>
              <w:t>将物料中的磁性杂质选出，磁选后的所有物料通过密闭螺旋输送机输送至球磨机</w:t>
            </w:r>
            <w:r>
              <w:rPr>
                <w:rFonts w:hint="eastAsia" w:ascii="Times New Roman" w:hAnsi="Times New Roman" w:eastAsia="宋体" w:cs="Times New Roman"/>
                <w:snapToGrid w:val="0"/>
                <w:kern w:val="0"/>
                <w:sz w:val="24"/>
                <w:szCs w:val="24"/>
                <w:highlight w:val="none"/>
                <w:lang w:val="en-US" w:eastAsia="zh-CN"/>
              </w:rPr>
              <w:t>。</w:t>
            </w:r>
          </w:p>
          <w:p w14:paraId="4AEFD2F0">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w:t>
            </w:r>
            <w:r>
              <w:rPr>
                <w:rFonts w:hint="eastAsia" w:cs="Times New Roman"/>
                <w:snapToGrid w:val="0"/>
                <w:kern w:val="0"/>
                <w:sz w:val="24"/>
                <w:szCs w:val="24"/>
                <w:highlight w:val="none"/>
                <w:lang w:val="en-US" w:eastAsia="zh-CN"/>
              </w:rPr>
              <w:t>磁选杂质、</w:t>
            </w:r>
            <w:r>
              <w:rPr>
                <w:rFonts w:hint="eastAsia" w:ascii="Times New Roman" w:hAnsi="Times New Roman" w:eastAsia="宋体" w:cs="Times New Roman"/>
                <w:snapToGrid w:val="0"/>
                <w:kern w:val="0"/>
                <w:sz w:val="24"/>
                <w:szCs w:val="24"/>
                <w:highlight w:val="none"/>
                <w:lang w:val="en-US" w:eastAsia="zh-CN"/>
              </w:rPr>
              <w:t>噪声。</w:t>
            </w:r>
          </w:p>
          <w:p w14:paraId="409849FA">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cs="Times New Roman"/>
                <w:snapToGrid w:val="0"/>
                <w:kern w:val="0"/>
                <w:sz w:val="24"/>
                <w:szCs w:val="24"/>
                <w:highlight w:val="none"/>
                <w:lang w:val="en-US" w:eastAsia="zh-CN"/>
              </w:rPr>
              <w:t>球磨</w:t>
            </w:r>
            <w:r>
              <w:rPr>
                <w:rFonts w:hint="eastAsia" w:ascii="Times New Roman" w:hAnsi="Times New Roman" w:eastAsia="宋体" w:cs="Times New Roman"/>
                <w:snapToGrid w:val="0"/>
                <w:kern w:val="0"/>
                <w:sz w:val="24"/>
                <w:szCs w:val="24"/>
                <w:highlight w:val="none"/>
                <w:lang w:val="en-US" w:eastAsia="zh-CN"/>
              </w:rPr>
              <w:t>：</w:t>
            </w:r>
            <w:r>
              <w:rPr>
                <w:rFonts w:hint="eastAsia" w:cs="Times New Roman"/>
                <w:snapToGrid w:val="0"/>
                <w:kern w:val="0"/>
                <w:sz w:val="24"/>
                <w:szCs w:val="24"/>
                <w:highlight w:val="none"/>
                <w:lang w:val="en-US" w:eastAsia="zh-CN"/>
              </w:rPr>
              <w:t>磁选后的所有物料通过密闭螺旋输送机输送至球磨机，通过球磨机（密闭设备）对物料进行加工，经激烈旋转、振动或摇动时,磨球与磨球、磨球与磨罐之间的高速撞击和摩擦,使处于它们之间的粉末受到冲击、剪切和压缩等多种力的作用,发生形变直至断裂,该过程反复进行,从而实现减小粒子尺寸。加工完成后，物料通过密闭螺旋输送机输送至气流筛分机</w:t>
            </w:r>
            <w:r>
              <w:rPr>
                <w:rFonts w:hint="eastAsia" w:ascii="Times New Roman" w:hAnsi="Times New Roman" w:eastAsia="宋体" w:cs="Times New Roman"/>
                <w:snapToGrid w:val="0"/>
                <w:kern w:val="0"/>
                <w:sz w:val="24"/>
                <w:szCs w:val="24"/>
                <w:highlight w:val="none"/>
                <w:lang w:val="en-US" w:eastAsia="zh-CN"/>
              </w:rPr>
              <w:t>。</w:t>
            </w:r>
          </w:p>
          <w:p w14:paraId="1B6BAFEB">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产污环节：此过程会产生噪声。</w:t>
            </w:r>
          </w:p>
          <w:p w14:paraId="3824A7E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val="0"/>
                <w:kern w:val="0"/>
                <w:sz w:val="24"/>
                <w:szCs w:val="24"/>
                <w:highlight w:val="none"/>
                <w:lang w:val="en-US" w:eastAsia="zh-CN"/>
              </w:rPr>
            </w:pPr>
            <w:r>
              <w:rPr>
                <w:rFonts w:hint="eastAsia" w:cs="Times New Roman"/>
                <w:snapToGrid w:val="0"/>
                <w:kern w:val="0"/>
                <w:sz w:val="24"/>
                <w:szCs w:val="24"/>
                <w:highlight w:val="none"/>
                <w:lang w:val="en-US" w:eastAsia="zh-CN"/>
              </w:rPr>
              <w:t>气流筛分</w:t>
            </w:r>
            <w:r>
              <w:rPr>
                <w:rFonts w:hint="eastAsia" w:ascii="Times New Roman" w:hAnsi="Times New Roman" w:eastAsia="宋体" w:cs="Times New Roman"/>
                <w:snapToGrid w:val="0"/>
                <w:kern w:val="0"/>
                <w:sz w:val="24"/>
                <w:szCs w:val="24"/>
                <w:highlight w:val="none"/>
                <w:lang w:val="en-US" w:eastAsia="zh-CN"/>
              </w:rPr>
              <w:t>：</w:t>
            </w:r>
            <w:r>
              <w:rPr>
                <w:rFonts w:hint="eastAsia" w:cs="Times New Roman"/>
                <w:snapToGrid w:val="0"/>
                <w:kern w:val="0"/>
                <w:sz w:val="24"/>
                <w:szCs w:val="24"/>
                <w:highlight w:val="none"/>
                <w:lang w:val="en-US" w:eastAsia="zh-CN"/>
              </w:rPr>
              <w:t>物料在密闭的气流筛分机内，利用高速气流将充分扩散的粉料微粒以足够的动能向筛网喷射。粉料微粒因质量小、易漂浮，能随气流均匀分散，单个微粒依次透过筛网，从而实现高效筛分</w:t>
            </w:r>
            <w:r>
              <w:rPr>
                <w:rFonts w:hint="eastAsia" w:ascii="Times New Roman" w:hAnsi="Times New Roman" w:eastAsia="宋体" w:cs="Times New Roman"/>
                <w:snapToGrid w:val="0"/>
                <w:kern w:val="0"/>
                <w:sz w:val="24"/>
                <w:szCs w:val="24"/>
                <w:highlight w:val="none"/>
                <w:lang w:val="en-US" w:eastAsia="zh-CN"/>
              </w:rPr>
              <w:t>。</w:t>
            </w:r>
            <w:r>
              <w:rPr>
                <w:rFonts w:hint="eastAsia" w:cs="Times New Roman"/>
                <w:snapToGrid w:val="0"/>
                <w:kern w:val="0"/>
                <w:sz w:val="24"/>
                <w:szCs w:val="24"/>
                <w:highlight w:val="none"/>
                <w:lang w:val="en-US" w:eastAsia="zh-CN"/>
              </w:rPr>
              <w:t>过筛后的物料通过密闭螺旋输送机</w:t>
            </w:r>
            <w:r>
              <w:rPr>
                <w:rFonts w:hint="eastAsia" w:ascii="Times New Roman" w:hAnsi="Times New Roman" w:eastAsia="宋体" w:cs="Times New Roman"/>
                <w:snapToGrid w:val="0"/>
                <w:kern w:val="0"/>
                <w:sz w:val="24"/>
                <w:szCs w:val="24"/>
                <w:highlight w:val="none"/>
                <w:lang w:val="en-US" w:eastAsia="zh-CN"/>
              </w:rPr>
              <w:t>进入</w:t>
            </w:r>
            <w:r>
              <w:rPr>
                <w:rFonts w:hint="eastAsia"/>
                <w:sz w:val="24"/>
                <w:szCs w:val="24"/>
                <w:lang w:val="en-US" w:eastAsia="zh-CN"/>
              </w:rPr>
              <w:t>袋式</w:t>
            </w:r>
            <w:r>
              <w:rPr>
                <w:rFonts w:hint="eastAsia" w:ascii="Times New Roman" w:hAnsi="Times New Roman" w:eastAsia="宋体" w:cs="Times New Roman"/>
                <w:snapToGrid w:val="0"/>
                <w:kern w:val="0"/>
                <w:sz w:val="24"/>
                <w:szCs w:val="24"/>
                <w:highlight w:val="none"/>
                <w:lang w:val="en-US" w:eastAsia="zh-CN"/>
              </w:rPr>
              <w:t>收尘器，收尘效率约9</w:t>
            </w:r>
            <w:r>
              <w:rPr>
                <w:rFonts w:hint="eastAsia" w:cs="Times New Roman"/>
                <w:snapToGrid w:val="0"/>
                <w:kern w:val="0"/>
                <w:sz w:val="24"/>
                <w:szCs w:val="24"/>
                <w:highlight w:val="none"/>
                <w:lang w:val="en-US" w:eastAsia="zh-CN"/>
              </w:rPr>
              <w:t>9.9</w:t>
            </w:r>
            <w:r>
              <w:rPr>
                <w:rFonts w:hint="eastAsia" w:ascii="Times New Roman" w:hAnsi="Times New Roman" w:eastAsia="宋体" w:cs="Times New Roman"/>
                <w:snapToGrid w:val="0"/>
                <w:kern w:val="0"/>
                <w:sz w:val="24"/>
                <w:szCs w:val="24"/>
                <w:highlight w:val="none"/>
                <w:lang w:val="en-US" w:eastAsia="zh-CN"/>
              </w:rPr>
              <w:t>%，未经收尘器有效收尘的粉尘通过密闭管道进入布袋除尘器</w:t>
            </w:r>
            <w:r>
              <w:rPr>
                <w:rFonts w:hint="eastAsia" w:cs="Times New Roman"/>
                <w:snapToGrid w:val="0"/>
                <w:kern w:val="0"/>
                <w:sz w:val="24"/>
                <w:szCs w:val="24"/>
                <w:highlight w:val="none"/>
                <w:lang w:val="en-US" w:eastAsia="zh-CN"/>
              </w:rPr>
              <w:t>。大颗粒物料通过密闭螺旋输送机输送至球磨机重新研磨。</w:t>
            </w:r>
          </w:p>
          <w:p w14:paraId="74A182DA">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w:t>
            </w:r>
            <w:r>
              <w:rPr>
                <w:rFonts w:hint="eastAsia" w:cs="Times New Roman"/>
                <w:snapToGrid w:val="0"/>
                <w:kern w:val="0"/>
                <w:sz w:val="24"/>
                <w:szCs w:val="24"/>
                <w:highlight w:val="none"/>
                <w:lang w:val="en-US" w:eastAsia="zh-CN"/>
              </w:rPr>
              <w:t>颗粒物、</w:t>
            </w:r>
            <w:r>
              <w:rPr>
                <w:rFonts w:hint="eastAsia" w:ascii="Times New Roman" w:hAnsi="Times New Roman" w:eastAsia="宋体" w:cs="Times New Roman"/>
                <w:snapToGrid w:val="0"/>
                <w:kern w:val="0"/>
                <w:sz w:val="24"/>
                <w:szCs w:val="24"/>
                <w:highlight w:val="none"/>
                <w:lang w:val="en-US" w:eastAsia="zh-CN"/>
              </w:rPr>
              <w:t>噪声</w:t>
            </w:r>
            <w:r>
              <w:rPr>
                <w:rFonts w:hint="eastAsia" w:cs="Times New Roman"/>
                <w:snapToGrid w:val="0"/>
                <w:kern w:val="0"/>
                <w:sz w:val="24"/>
                <w:szCs w:val="24"/>
                <w:highlight w:val="none"/>
                <w:lang w:val="en-US" w:eastAsia="zh-CN"/>
              </w:rPr>
              <w:t>、</w:t>
            </w:r>
            <w:r>
              <w:rPr>
                <w:rFonts w:hint="eastAsia" w:ascii="Times New Roman" w:hAnsi="Times New Roman" w:eastAsia="宋体" w:cs="Times New Roman"/>
                <w:snapToGrid w:val="0"/>
                <w:kern w:val="0"/>
                <w:sz w:val="24"/>
                <w:szCs w:val="24"/>
                <w:highlight w:val="none"/>
                <w:lang w:val="en-US" w:eastAsia="zh-CN"/>
              </w:rPr>
              <w:t>布袋除尘器收集的粉尘</w:t>
            </w:r>
            <w:r>
              <w:rPr>
                <w:rFonts w:hint="eastAsia" w:cs="Times New Roman"/>
                <w:snapToGrid w:val="0"/>
                <w:kern w:val="0"/>
                <w:sz w:val="24"/>
                <w:szCs w:val="24"/>
                <w:highlight w:val="none"/>
                <w:lang w:val="en-US" w:eastAsia="zh-CN"/>
              </w:rPr>
              <w:t>、废布袋</w:t>
            </w:r>
            <w:r>
              <w:rPr>
                <w:rFonts w:hint="eastAsia" w:ascii="Times New Roman" w:hAnsi="Times New Roman" w:eastAsia="宋体" w:cs="Times New Roman"/>
                <w:snapToGrid w:val="0"/>
                <w:kern w:val="0"/>
                <w:sz w:val="24"/>
                <w:szCs w:val="24"/>
                <w:highlight w:val="none"/>
                <w:lang w:val="en-US" w:eastAsia="zh-CN"/>
              </w:rPr>
              <w:t>等固废。</w:t>
            </w:r>
          </w:p>
          <w:p w14:paraId="23ACCF19">
            <w:pPr>
              <w:keepNext w:val="0"/>
              <w:keepLines w:val="0"/>
              <w:numPr>
                <w:ilvl w:val="0"/>
                <w:numId w:val="0"/>
              </w:numPr>
              <w:suppressLineNumbers w:val="0"/>
              <w:spacing w:before="0" w:beforeAutospacing="0" w:after="0" w:afterAutospacing="0" w:line="360" w:lineRule="auto"/>
              <w:ind w:left="0" w:right="0" w:firstLine="480" w:firstLineChars="200"/>
              <w:rPr>
                <w:rFonts w:hint="default" w:cs="Times New Roman"/>
                <w:snapToGrid w:val="0"/>
                <w:kern w:val="0"/>
                <w:sz w:val="24"/>
                <w:szCs w:val="24"/>
                <w:highlight w:val="none"/>
                <w:lang w:val="en-US" w:eastAsia="zh-CN"/>
              </w:rPr>
            </w:pPr>
            <w:r>
              <w:rPr>
                <w:rFonts w:hint="eastAsia" w:cs="Times New Roman"/>
                <w:snapToGrid w:val="0"/>
                <w:kern w:val="0"/>
                <w:sz w:val="24"/>
                <w:szCs w:val="24"/>
                <w:highlight w:val="none"/>
                <w:lang w:val="en-US" w:eastAsia="zh-CN"/>
              </w:rPr>
              <w:t>包装</w:t>
            </w:r>
            <w:r>
              <w:rPr>
                <w:rFonts w:hint="eastAsia" w:ascii="Times New Roman" w:hAnsi="Times New Roman" w:eastAsia="宋体" w:cs="Times New Roman"/>
                <w:snapToGrid w:val="0"/>
                <w:kern w:val="0"/>
                <w:sz w:val="24"/>
                <w:szCs w:val="24"/>
                <w:highlight w:val="none"/>
                <w:lang w:val="en-US" w:eastAsia="zh-CN"/>
              </w:rPr>
              <w:t>：收尘下来的</w:t>
            </w:r>
            <w:r>
              <w:rPr>
                <w:rFonts w:hint="eastAsia" w:cs="Times New Roman"/>
                <w:snapToGrid w:val="0"/>
                <w:kern w:val="0"/>
                <w:sz w:val="24"/>
                <w:szCs w:val="24"/>
                <w:highlight w:val="none"/>
                <w:lang w:val="en-US" w:eastAsia="zh-CN"/>
              </w:rPr>
              <w:t>物料</w:t>
            </w:r>
            <w:r>
              <w:rPr>
                <w:rFonts w:hint="eastAsia" w:ascii="Times New Roman" w:hAnsi="Times New Roman" w:eastAsia="宋体" w:cs="Times New Roman"/>
                <w:snapToGrid w:val="0"/>
                <w:kern w:val="0"/>
                <w:sz w:val="24"/>
                <w:szCs w:val="24"/>
                <w:highlight w:val="none"/>
                <w:lang w:val="en-US" w:eastAsia="zh-CN"/>
              </w:rPr>
              <w:t>作为产品在收尘器下部进行包装，包装过程产生的颗粒物由呼吸</w:t>
            </w:r>
            <w:r>
              <w:rPr>
                <w:rFonts w:hint="eastAsia" w:cs="Times New Roman"/>
                <w:snapToGrid w:val="0"/>
                <w:kern w:val="0"/>
                <w:sz w:val="24"/>
                <w:szCs w:val="24"/>
                <w:highlight w:val="none"/>
                <w:lang w:val="en-US" w:eastAsia="zh-CN"/>
              </w:rPr>
              <w:t>管道</w:t>
            </w:r>
            <w:r>
              <w:rPr>
                <w:rFonts w:hint="eastAsia" w:ascii="Times New Roman" w:hAnsi="Times New Roman" w:eastAsia="宋体" w:cs="Times New Roman"/>
                <w:snapToGrid w:val="0"/>
                <w:kern w:val="0"/>
                <w:sz w:val="24"/>
                <w:szCs w:val="24"/>
                <w:highlight w:val="none"/>
                <w:lang w:val="en-US" w:eastAsia="zh-CN"/>
              </w:rPr>
              <w:t>进入布袋除尘器处理</w:t>
            </w:r>
            <w:r>
              <w:rPr>
                <w:rFonts w:hint="eastAsia" w:cs="Times New Roman"/>
                <w:snapToGrid w:val="0"/>
                <w:kern w:val="0"/>
                <w:sz w:val="24"/>
                <w:szCs w:val="24"/>
                <w:highlight w:val="none"/>
                <w:lang w:val="en-US" w:eastAsia="zh-CN"/>
              </w:rPr>
              <w:t>。</w:t>
            </w:r>
          </w:p>
          <w:p w14:paraId="62DAA608">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产污环节：此过程会产生颗粒物、噪声、布袋除尘器收集的粉尘</w:t>
            </w:r>
            <w:r>
              <w:rPr>
                <w:rFonts w:hint="eastAsia" w:cs="Times New Roman"/>
                <w:snapToGrid w:val="0"/>
                <w:kern w:val="0"/>
                <w:sz w:val="24"/>
                <w:szCs w:val="24"/>
                <w:highlight w:val="none"/>
                <w:lang w:val="en-US" w:eastAsia="zh-CN"/>
              </w:rPr>
              <w:t>、废布袋</w:t>
            </w:r>
            <w:r>
              <w:rPr>
                <w:rFonts w:hint="eastAsia" w:ascii="Times New Roman" w:hAnsi="Times New Roman" w:eastAsia="宋体" w:cs="Times New Roman"/>
                <w:snapToGrid w:val="0"/>
                <w:kern w:val="0"/>
                <w:sz w:val="24"/>
                <w:szCs w:val="24"/>
                <w:highlight w:val="none"/>
                <w:lang w:val="en-US" w:eastAsia="zh-CN"/>
              </w:rPr>
              <w:t>等固废。</w:t>
            </w:r>
          </w:p>
          <w:p w14:paraId="4400643C">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snapToGrid w:val="0"/>
                <w:color w:val="auto"/>
                <w:kern w:val="0"/>
                <w:sz w:val="24"/>
                <w:highlight w:val="none"/>
              </w:rPr>
            </w:pPr>
            <w:r>
              <w:rPr>
                <w:rFonts w:hint="default" w:ascii="Times New Roman" w:hAnsi="Times New Roman" w:cs="Times New Roman"/>
                <w:b/>
                <w:snapToGrid w:val="0"/>
                <w:color w:val="auto"/>
                <w:kern w:val="0"/>
                <w:sz w:val="24"/>
                <w:highlight w:val="none"/>
              </w:rPr>
              <w:t>3、主要污染工序</w:t>
            </w:r>
          </w:p>
          <w:p w14:paraId="2CBD801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（1）废气：主要为</w:t>
            </w:r>
            <w:r>
              <w:rPr>
                <w:rFonts w:hint="eastAsia" w:cs="Times New Roman"/>
                <w:snapToGrid w:val="0"/>
                <w:color w:val="auto"/>
                <w:kern w:val="0"/>
                <w:sz w:val="24"/>
                <w:szCs w:val="24"/>
                <w:lang w:val="en-US" w:eastAsia="zh-CN" w:bidi="ar-SA"/>
              </w:rPr>
              <w:t>投料、筛分、包装</w:t>
            </w:r>
            <w:r>
              <w:rPr>
                <w:rFonts w:hint="default" w:ascii="Times New Roman" w:hAnsi="Times New Roman" w:eastAsia="宋体" w:cs="Times New Roman"/>
                <w:snapToGrid w:val="0"/>
                <w:color w:val="auto"/>
                <w:kern w:val="0"/>
                <w:sz w:val="24"/>
                <w:szCs w:val="24"/>
                <w:lang w:val="en-US" w:eastAsia="zh-CN" w:bidi="ar-SA"/>
              </w:rPr>
              <w:t>过程产生的颗粒物。</w:t>
            </w:r>
          </w:p>
          <w:p w14:paraId="0D1850E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snapToGrid w:val="0"/>
                <w:color w:val="auto"/>
                <w:kern w:val="0"/>
                <w:sz w:val="24"/>
                <w:szCs w:val="24"/>
                <w:lang w:val="en-US" w:eastAsia="zh-CN" w:bidi="ar-SA"/>
              </w:rPr>
              <w:t>（2）废水：主要</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szCs w:val="32"/>
                <w:highlight w:val="none"/>
              </w:rPr>
              <w:t>生活污水</w:t>
            </w:r>
            <w:r>
              <w:rPr>
                <w:rFonts w:hint="default" w:ascii="Times New Roman" w:hAnsi="Times New Roman" w:eastAsia="宋体" w:cs="Times New Roman"/>
                <w:color w:val="auto"/>
                <w:sz w:val="24"/>
                <w:highlight w:val="none"/>
                <w:lang w:val="en-US" w:eastAsia="zh-CN"/>
              </w:rPr>
              <w:t>。</w:t>
            </w:r>
          </w:p>
          <w:p w14:paraId="6DDDA4C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（3）噪声：来自</w:t>
            </w:r>
            <w:r>
              <w:rPr>
                <w:rFonts w:hint="eastAsia" w:cs="Times New Roman"/>
                <w:color w:val="auto"/>
                <w:sz w:val="24"/>
                <w:highlight w:val="none"/>
                <w:lang w:val="en-US" w:eastAsia="zh-CN"/>
              </w:rPr>
              <w:t>解聚均化搅拌机、磁选机、球磨机、气流筛分机</w:t>
            </w:r>
            <w:r>
              <w:rPr>
                <w:rFonts w:hint="default" w:ascii="Times New Roman" w:hAnsi="Times New Roman" w:eastAsia="宋体" w:cs="Times New Roman"/>
                <w:color w:val="auto"/>
                <w:sz w:val="24"/>
                <w:highlight w:val="none"/>
                <w:lang w:val="en-US" w:eastAsia="zh-CN"/>
              </w:rPr>
              <w:t>、各种风机、泵类</w:t>
            </w:r>
            <w:r>
              <w:rPr>
                <w:rFonts w:hint="eastAsia" w:ascii="Times New Roman" w:hAnsi="Times New Roman" w:eastAsia="宋体" w:cs="Times New Roman"/>
                <w:color w:val="auto"/>
                <w:sz w:val="24"/>
                <w:highlight w:val="none"/>
                <w:lang w:val="en-US" w:eastAsia="zh-CN"/>
              </w:rPr>
              <w:t>等设备</w:t>
            </w:r>
            <w:r>
              <w:rPr>
                <w:rFonts w:hint="default" w:ascii="Times New Roman" w:hAnsi="Times New Roman" w:eastAsia="宋体" w:cs="Times New Roman"/>
                <w:color w:val="auto"/>
                <w:sz w:val="24"/>
                <w:highlight w:val="none"/>
                <w:lang w:val="en-US" w:eastAsia="zh-CN"/>
              </w:rPr>
              <w:t>产生的机械噪声。</w:t>
            </w:r>
          </w:p>
          <w:p w14:paraId="44492F3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（4）固废：</w:t>
            </w:r>
            <w:r>
              <w:rPr>
                <w:rFonts w:hint="eastAsia" w:ascii="Times New Roman" w:hAnsi="Times New Roman" w:eastAsia="宋体" w:cs="Times New Roman"/>
                <w:color w:val="auto"/>
                <w:sz w:val="24"/>
                <w:highlight w:val="none"/>
                <w:lang w:val="en-US" w:eastAsia="zh-CN"/>
              </w:rPr>
              <w:t>主要</w:t>
            </w:r>
            <w:r>
              <w:rPr>
                <w:rFonts w:hint="default" w:ascii="Times New Roman" w:hAnsi="Times New Roman" w:eastAsia="宋体" w:cs="Times New Roman"/>
                <w:color w:val="auto"/>
                <w:sz w:val="24"/>
                <w:highlight w:val="none"/>
                <w:lang w:val="en-US" w:eastAsia="zh-CN"/>
              </w:rPr>
              <w:t>为废包装袋</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废布袋、磁选杂质</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布袋除尘器收集粉尘</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废机油</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含油废抹布</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废机油桶及职工生活垃圾。</w:t>
            </w:r>
          </w:p>
          <w:p w14:paraId="628C06E2">
            <w:pPr>
              <w:keepNext w:val="0"/>
              <w:keepLines w:val="0"/>
              <w:suppressLineNumbers w:val="0"/>
              <w:spacing w:before="0" w:beforeAutospacing="0" w:after="0" w:afterAutospacing="0"/>
              <w:ind w:left="0" w:right="0"/>
              <w:jc w:val="center"/>
              <w:rPr>
                <w:rStyle w:val="90"/>
                <w:rFonts w:hint="default" w:ascii="Times New Roman" w:hAnsi="Times New Roman" w:eastAsia="宋体" w:cs="Times New Roman"/>
                <w:b/>
                <w:bCs/>
                <w:sz w:val="21"/>
                <w:szCs w:val="21"/>
                <w:highlight w:val="none"/>
                <w:lang w:bidi="ar"/>
              </w:rPr>
            </w:pPr>
            <w:r>
              <w:rPr>
                <w:rStyle w:val="90"/>
                <w:rFonts w:hint="default" w:ascii="Times New Roman" w:hAnsi="Times New Roman" w:eastAsia="宋体" w:cs="Times New Roman"/>
                <w:b/>
                <w:bCs/>
                <w:sz w:val="21"/>
                <w:szCs w:val="21"/>
                <w:highlight w:val="none"/>
                <w:lang w:bidi="ar"/>
              </w:rPr>
              <w:t>表2-</w:t>
            </w:r>
            <w:r>
              <w:rPr>
                <w:rStyle w:val="90"/>
                <w:rFonts w:hint="default" w:ascii="Times New Roman" w:hAnsi="Times New Roman" w:cs="Times New Roman"/>
                <w:b/>
                <w:bCs/>
                <w:sz w:val="21"/>
                <w:szCs w:val="21"/>
                <w:highlight w:val="none"/>
                <w:lang w:val="en-US" w:eastAsia="zh-CN" w:bidi="ar"/>
              </w:rPr>
              <w:t xml:space="preserve">7 </w:t>
            </w:r>
            <w:r>
              <w:rPr>
                <w:rStyle w:val="90"/>
                <w:rFonts w:hint="default" w:ascii="Times New Roman" w:hAnsi="Times New Roman" w:eastAsia="宋体" w:cs="Times New Roman"/>
                <w:b/>
                <w:bCs/>
                <w:sz w:val="21"/>
                <w:szCs w:val="21"/>
                <w:highlight w:val="none"/>
                <w:lang w:val="en-US" w:eastAsia="zh-CN" w:bidi="ar"/>
              </w:rPr>
              <w:t xml:space="preserve"> </w:t>
            </w:r>
            <w:r>
              <w:rPr>
                <w:rStyle w:val="90"/>
                <w:rFonts w:hint="default" w:ascii="Times New Roman" w:hAnsi="Times New Roman" w:eastAsia="宋体" w:cs="Times New Roman"/>
                <w:b/>
                <w:bCs/>
                <w:sz w:val="21"/>
                <w:szCs w:val="21"/>
                <w:highlight w:val="none"/>
                <w:lang w:bidi="ar"/>
              </w:rPr>
              <w:t>产污环节一览表</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693"/>
              <w:gridCol w:w="1701"/>
              <w:gridCol w:w="2970"/>
              <w:gridCol w:w="1674"/>
            </w:tblGrid>
            <w:tr w14:paraId="363E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noWrap w:val="0"/>
                  <w:vAlign w:val="center"/>
                </w:tcPr>
                <w:p w14:paraId="0EF562E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类别</w:t>
                  </w:r>
                </w:p>
              </w:tc>
              <w:tc>
                <w:tcPr>
                  <w:tcW w:w="970" w:type="pct"/>
                  <w:noWrap w:val="0"/>
                  <w:vAlign w:val="center"/>
                </w:tcPr>
                <w:p w14:paraId="08707E6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产污环节</w:t>
                  </w:r>
                </w:p>
              </w:tc>
              <w:tc>
                <w:tcPr>
                  <w:tcW w:w="975" w:type="pct"/>
                  <w:noWrap w:val="0"/>
                  <w:vAlign w:val="center"/>
                </w:tcPr>
                <w:p w14:paraId="7570FC3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污染物</w:t>
                  </w:r>
                </w:p>
              </w:tc>
              <w:tc>
                <w:tcPr>
                  <w:tcW w:w="1702" w:type="pct"/>
                  <w:noWrap w:val="0"/>
                  <w:vAlign w:val="center"/>
                </w:tcPr>
                <w:p w14:paraId="5A0EF49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治理措施</w:t>
                  </w:r>
                </w:p>
              </w:tc>
              <w:tc>
                <w:tcPr>
                  <w:tcW w:w="959" w:type="pct"/>
                  <w:noWrap w:val="0"/>
                  <w:vAlign w:val="center"/>
                </w:tcPr>
                <w:p w14:paraId="3DEAE075">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eastAsia="zh-CN"/>
                    </w:rPr>
                    <w:t>排放去向</w:t>
                  </w:r>
                </w:p>
              </w:tc>
            </w:tr>
            <w:tr w14:paraId="0537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92" w:type="pct"/>
                  <w:vMerge w:val="restart"/>
                  <w:noWrap w:val="0"/>
                  <w:vAlign w:val="center"/>
                </w:tcPr>
                <w:p w14:paraId="43C3B31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废气</w:t>
                  </w:r>
                </w:p>
              </w:tc>
              <w:tc>
                <w:tcPr>
                  <w:tcW w:w="970" w:type="pct"/>
                  <w:noWrap w:val="0"/>
                  <w:vAlign w:val="center"/>
                </w:tcPr>
                <w:p w14:paraId="72C0D76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投料、筛分、包装过程</w:t>
                  </w:r>
                </w:p>
              </w:tc>
              <w:tc>
                <w:tcPr>
                  <w:tcW w:w="975" w:type="pct"/>
                  <w:noWrap w:val="0"/>
                  <w:vAlign w:val="center"/>
                </w:tcPr>
                <w:p w14:paraId="6312BA9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颗粒物</w:t>
                  </w:r>
                </w:p>
              </w:tc>
              <w:tc>
                <w:tcPr>
                  <w:tcW w:w="1702" w:type="pct"/>
                  <w:noWrap w:val="0"/>
                  <w:vAlign w:val="center"/>
                </w:tcPr>
                <w:p w14:paraId="2AA72542">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由呼吸</w:t>
                  </w:r>
                  <w:r>
                    <w:rPr>
                      <w:rFonts w:hint="eastAsia" w:cs="Times New Roman"/>
                      <w:kern w:val="2"/>
                      <w:sz w:val="21"/>
                      <w:szCs w:val="21"/>
                      <w:highlight w:val="none"/>
                      <w:lang w:val="en-US" w:eastAsia="zh-CN" w:bidi="ar-SA"/>
                    </w:rPr>
                    <w:t>管道</w:t>
                  </w:r>
                  <w:r>
                    <w:rPr>
                      <w:rFonts w:hint="eastAsia" w:ascii="Times New Roman" w:hAnsi="Times New Roman" w:eastAsia="宋体" w:cs="Times New Roman"/>
                      <w:kern w:val="2"/>
                      <w:sz w:val="21"/>
                      <w:szCs w:val="21"/>
                      <w:highlight w:val="none"/>
                      <w:lang w:val="en-US" w:eastAsia="zh-CN" w:bidi="ar-SA"/>
                    </w:rPr>
                    <w:t>收集，经布袋除尘器处理</w:t>
                  </w:r>
                </w:p>
              </w:tc>
              <w:tc>
                <w:tcPr>
                  <w:tcW w:w="959" w:type="pct"/>
                  <w:noWrap w:val="0"/>
                  <w:vAlign w:val="center"/>
                </w:tcPr>
                <w:p w14:paraId="3E25550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由</w:t>
                  </w:r>
                  <w:r>
                    <w:rPr>
                      <w:rFonts w:hint="eastAsia" w:ascii="Times New Roman" w:hAnsi="Times New Roman" w:eastAsia="宋体" w:cs="Times New Roman"/>
                      <w:sz w:val="21"/>
                      <w:szCs w:val="21"/>
                      <w:highlight w:val="none"/>
                      <w:lang w:val="en-US" w:eastAsia="zh-CN"/>
                    </w:rPr>
                    <w:t>15</w:t>
                  </w:r>
                  <w:r>
                    <w:rPr>
                      <w:rFonts w:hint="default" w:ascii="Times New Roman" w:hAnsi="Times New Roman" w:eastAsia="宋体" w:cs="Times New Roman"/>
                      <w:sz w:val="21"/>
                      <w:szCs w:val="21"/>
                      <w:highlight w:val="none"/>
                      <w:lang w:val="en-US" w:eastAsia="zh-CN"/>
                    </w:rPr>
                    <w:t>m高DA001排气筒有组织排放</w:t>
                  </w:r>
                </w:p>
              </w:tc>
            </w:tr>
            <w:tr w14:paraId="355F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noWrap w:val="0"/>
                  <w:vAlign w:val="center"/>
                </w:tcPr>
                <w:p w14:paraId="63D2AF0F">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noWrap w:val="0"/>
                  <w:vAlign w:val="center"/>
                </w:tcPr>
                <w:p w14:paraId="4ECBFE3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未收集废气</w:t>
                  </w:r>
                </w:p>
              </w:tc>
              <w:tc>
                <w:tcPr>
                  <w:tcW w:w="975" w:type="pct"/>
                  <w:noWrap w:val="0"/>
                  <w:vAlign w:val="center"/>
                </w:tcPr>
                <w:p w14:paraId="07716020">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颗粒物</w:t>
                  </w:r>
                </w:p>
              </w:tc>
              <w:tc>
                <w:tcPr>
                  <w:tcW w:w="1702" w:type="pct"/>
                  <w:noWrap w:val="0"/>
                  <w:vAlign w:val="center"/>
                </w:tcPr>
                <w:p w14:paraId="7BCBE30A">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密闭房间</w:t>
                  </w:r>
                </w:p>
              </w:tc>
              <w:tc>
                <w:tcPr>
                  <w:tcW w:w="959" w:type="pct"/>
                  <w:noWrap w:val="0"/>
                  <w:vAlign w:val="center"/>
                </w:tcPr>
                <w:p w14:paraId="440008FA">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无组织排放</w:t>
                  </w:r>
                </w:p>
              </w:tc>
            </w:tr>
            <w:tr w14:paraId="5F3D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noWrap w:val="0"/>
                  <w:vAlign w:val="center"/>
                </w:tcPr>
                <w:p w14:paraId="033955E6">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w:t>
                  </w:r>
                </w:p>
              </w:tc>
              <w:tc>
                <w:tcPr>
                  <w:tcW w:w="970" w:type="pct"/>
                  <w:noWrap w:val="0"/>
                  <w:vAlign w:val="center"/>
                </w:tcPr>
                <w:p w14:paraId="597250E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生活污水</w:t>
                  </w:r>
                </w:p>
              </w:tc>
              <w:tc>
                <w:tcPr>
                  <w:tcW w:w="975" w:type="pct"/>
                  <w:noWrap w:val="0"/>
                  <w:vAlign w:val="center"/>
                </w:tcPr>
                <w:p w14:paraId="6742833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COD、氨氮</w:t>
                  </w:r>
                </w:p>
              </w:tc>
              <w:tc>
                <w:tcPr>
                  <w:tcW w:w="1702" w:type="pct"/>
                  <w:noWrap w:val="0"/>
                  <w:vAlign w:val="center"/>
                </w:tcPr>
                <w:p w14:paraId="54C18CAE">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生活污水</w:t>
                  </w:r>
                  <w:r>
                    <w:rPr>
                      <w:rFonts w:hint="eastAsia" w:cs="Times New Roman"/>
                      <w:sz w:val="21"/>
                      <w:szCs w:val="21"/>
                      <w:highlight w:val="none"/>
                      <w:lang w:eastAsia="zh-CN"/>
                    </w:rPr>
                    <w:t>经化粪池处理</w:t>
                  </w:r>
                </w:p>
              </w:tc>
              <w:tc>
                <w:tcPr>
                  <w:tcW w:w="959" w:type="pct"/>
                  <w:noWrap w:val="0"/>
                  <w:vAlign w:val="center"/>
                </w:tcPr>
                <w:p w14:paraId="04465DD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由环卫部门定期清运</w:t>
                  </w:r>
                </w:p>
              </w:tc>
            </w:tr>
            <w:tr w14:paraId="7DE7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restart"/>
                  <w:noWrap w:val="0"/>
                  <w:vAlign w:val="center"/>
                </w:tcPr>
                <w:p w14:paraId="0D22AC55">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固废</w:t>
                  </w:r>
                </w:p>
              </w:tc>
              <w:tc>
                <w:tcPr>
                  <w:tcW w:w="970" w:type="pct"/>
                  <w:noWrap w:val="0"/>
                  <w:vAlign w:val="center"/>
                </w:tcPr>
                <w:p w14:paraId="7AEB0878">
                  <w:pPr>
                    <w:keepNext w:val="0"/>
                    <w:keepLines w:val="0"/>
                    <w:suppressLineNumbers w:val="0"/>
                    <w:tabs>
                      <w:tab w:val="center" w:pos="1196"/>
                      <w:tab w:val="right" w:pos="2272"/>
                    </w:tabs>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职工生活</w:t>
                  </w:r>
                </w:p>
              </w:tc>
              <w:tc>
                <w:tcPr>
                  <w:tcW w:w="975" w:type="pct"/>
                  <w:noWrap w:val="0"/>
                  <w:vAlign w:val="center"/>
                </w:tcPr>
                <w:p w14:paraId="211FADD5">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生活垃圾</w:t>
                  </w:r>
                </w:p>
              </w:tc>
              <w:tc>
                <w:tcPr>
                  <w:tcW w:w="1702" w:type="pct"/>
                  <w:noWrap w:val="0"/>
                  <w:vAlign w:val="center"/>
                </w:tcPr>
                <w:p w14:paraId="667DCD6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环卫部门定期清运</w:t>
                  </w:r>
                </w:p>
              </w:tc>
              <w:tc>
                <w:tcPr>
                  <w:tcW w:w="959" w:type="pct"/>
                  <w:vMerge w:val="restart"/>
                  <w:noWrap w:val="0"/>
                  <w:vAlign w:val="center"/>
                </w:tcPr>
                <w:p w14:paraId="0482EDFF">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资源化、无害化</w:t>
                  </w:r>
                </w:p>
              </w:tc>
            </w:tr>
            <w:tr w14:paraId="008E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92" w:type="pct"/>
                  <w:vMerge w:val="continue"/>
                  <w:noWrap w:val="0"/>
                  <w:vAlign w:val="center"/>
                </w:tcPr>
                <w:p w14:paraId="5D2B8C93">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vMerge w:val="restart"/>
                  <w:noWrap w:val="0"/>
                  <w:vAlign w:val="center"/>
                </w:tcPr>
                <w:p w14:paraId="2FE7A6F9">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生产</w:t>
                  </w:r>
                  <w:r>
                    <w:rPr>
                      <w:rFonts w:hint="default" w:ascii="Times New Roman" w:hAnsi="Times New Roman" w:eastAsia="宋体" w:cs="Times New Roman"/>
                      <w:sz w:val="21"/>
                      <w:szCs w:val="21"/>
                      <w:highlight w:val="none"/>
                      <w:lang w:val="en-US" w:eastAsia="zh-CN"/>
                    </w:rPr>
                    <w:t>过程</w:t>
                  </w:r>
                </w:p>
              </w:tc>
              <w:tc>
                <w:tcPr>
                  <w:tcW w:w="975" w:type="pct"/>
                  <w:noWrap w:val="0"/>
                  <w:vAlign w:val="center"/>
                </w:tcPr>
                <w:p w14:paraId="70F114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废包装袋</w:t>
                  </w:r>
                </w:p>
              </w:tc>
              <w:tc>
                <w:tcPr>
                  <w:tcW w:w="1702" w:type="pct"/>
                  <w:vMerge w:val="restart"/>
                  <w:noWrap w:val="0"/>
                  <w:vAlign w:val="center"/>
                </w:tcPr>
                <w:p w14:paraId="77A7B39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集中收入一般固废暂存处，由车间工作人员统一收集后外售给有处置能力和资质单位处置</w:t>
                  </w:r>
                </w:p>
              </w:tc>
              <w:tc>
                <w:tcPr>
                  <w:tcW w:w="959" w:type="pct"/>
                  <w:vMerge w:val="continue"/>
                  <w:noWrap w:val="0"/>
                  <w:vAlign w:val="center"/>
                </w:tcPr>
                <w:p w14:paraId="02C0754E">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2F36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92" w:type="pct"/>
                  <w:vMerge w:val="continue"/>
                  <w:noWrap w:val="0"/>
                  <w:vAlign w:val="center"/>
                </w:tcPr>
                <w:p w14:paraId="655636D0">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vMerge w:val="continue"/>
                  <w:noWrap w:val="0"/>
                  <w:vAlign w:val="center"/>
                </w:tcPr>
                <w:p w14:paraId="2B9A7837">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p>
              </w:tc>
              <w:tc>
                <w:tcPr>
                  <w:tcW w:w="975" w:type="pct"/>
                  <w:noWrap w:val="0"/>
                  <w:vAlign w:val="center"/>
                </w:tcPr>
                <w:p w14:paraId="28152F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磁选杂质</w:t>
                  </w:r>
                </w:p>
              </w:tc>
              <w:tc>
                <w:tcPr>
                  <w:tcW w:w="1702" w:type="pct"/>
                  <w:vMerge w:val="continue"/>
                  <w:noWrap w:val="0"/>
                  <w:vAlign w:val="center"/>
                </w:tcPr>
                <w:p w14:paraId="7925486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959" w:type="pct"/>
                  <w:vMerge w:val="continue"/>
                  <w:noWrap w:val="0"/>
                  <w:vAlign w:val="center"/>
                </w:tcPr>
                <w:p w14:paraId="2475CDD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195F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392" w:type="pct"/>
                  <w:vMerge w:val="continue"/>
                  <w:noWrap w:val="0"/>
                  <w:vAlign w:val="center"/>
                </w:tcPr>
                <w:p w14:paraId="1214E3A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vMerge w:val="restart"/>
                  <w:noWrap w:val="0"/>
                  <w:vAlign w:val="center"/>
                </w:tcPr>
                <w:p w14:paraId="073B1464">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环保设施</w:t>
                  </w:r>
                </w:p>
              </w:tc>
              <w:tc>
                <w:tcPr>
                  <w:tcW w:w="975" w:type="pct"/>
                  <w:noWrap w:val="0"/>
                  <w:vAlign w:val="center"/>
                </w:tcPr>
                <w:p w14:paraId="5E07B7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废布袋</w:t>
                  </w:r>
                </w:p>
              </w:tc>
              <w:tc>
                <w:tcPr>
                  <w:tcW w:w="1702" w:type="pct"/>
                  <w:vMerge w:val="continue"/>
                  <w:noWrap w:val="0"/>
                  <w:vAlign w:val="center"/>
                </w:tcPr>
                <w:p w14:paraId="4D2AA4C4">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959" w:type="pct"/>
                  <w:vMerge w:val="continue"/>
                  <w:noWrap w:val="0"/>
                  <w:vAlign w:val="center"/>
                </w:tcPr>
                <w:p w14:paraId="427F217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3FF1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2" w:type="pct"/>
                  <w:vMerge w:val="continue"/>
                  <w:noWrap w:val="0"/>
                  <w:vAlign w:val="center"/>
                </w:tcPr>
                <w:p w14:paraId="2F0FF355">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vMerge w:val="continue"/>
                  <w:noWrap w:val="0"/>
                  <w:vAlign w:val="center"/>
                </w:tcPr>
                <w:p w14:paraId="033D7AAE">
                  <w:pPr>
                    <w:keepNext w:val="0"/>
                    <w:keepLines w:val="0"/>
                    <w:suppressLineNumbers w:val="0"/>
                    <w:tabs>
                      <w:tab w:val="center" w:pos="1196"/>
                      <w:tab w:val="right" w:pos="2272"/>
                    </w:tabs>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p>
              </w:tc>
              <w:tc>
                <w:tcPr>
                  <w:tcW w:w="975" w:type="pct"/>
                  <w:noWrap w:val="0"/>
                  <w:vAlign w:val="center"/>
                </w:tcPr>
                <w:p w14:paraId="6AB035C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布袋除尘器收集粉尘</w:t>
                  </w:r>
                </w:p>
              </w:tc>
              <w:tc>
                <w:tcPr>
                  <w:tcW w:w="1702" w:type="pct"/>
                  <w:noWrap w:val="0"/>
                  <w:vAlign w:val="center"/>
                </w:tcPr>
                <w:p w14:paraId="13758C8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集中收集回用生产</w:t>
                  </w:r>
                </w:p>
              </w:tc>
              <w:tc>
                <w:tcPr>
                  <w:tcW w:w="959" w:type="pct"/>
                  <w:vMerge w:val="continue"/>
                  <w:noWrap w:val="0"/>
                  <w:vAlign w:val="center"/>
                </w:tcPr>
                <w:p w14:paraId="1F11079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r>
            <w:tr w14:paraId="512D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noWrap w:val="0"/>
                  <w:vAlign w:val="center"/>
                </w:tcPr>
                <w:p w14:paraId="0BD7D645">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vMerge w:val="restart"/>
                  <w:noWrap w:val="0"/>
                  <w:vAlign w:val="center"/>
                </w:tcPr>
                <w:p w14:paraId="600D451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设备维护</w:t>
                  </w:r>
                </w:p>
              </w:tc>
              <w:tc>
                <w:tcPr>
                  <w:tcW w:w="975" w:type="pct"/>
                  <w:noWrap w:val="0"/>
                  <w:vAlign w:val="center"/>
                </w:tcPr>
                <w:p w14:paraId="3A5C3DD3">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废机油</w:t>
                  </w:r>
                </w:p>
              </w:tc>
              <w:tc>
                <w:tcPr>
                  <w:tcW w:w="1702" w:type="pct"/>
                  <w:vMerge w:val="restart"/>
                  <w:noWrap w:val="0"/>
                  <w:vAlign w:val="center"/>
                </w:tcPr>
                <w:p w14:paraId="781120A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集中收入</w:t>
                  </w:r>
                  <w:r>
                    <w:rPr>
                      <w:rFonts w:hint="default" w:ascii="Times New Roman" w:hAnsi="Times New Roman" w:eastAsia="宋体" w:cs="Times New Roman"/>
                      <w:sz w:val="21"/>
                      <w:szCs w:val="21"/>
                      <w:highlight w:val="none"/>
                    </w:rPr>
                    <w:t>危废间暂存后委托资质单位安全处置</w:t>
                  </w:r>
                </w:p>
              </w:tc>
              <w:tc>
                <w:tcPr>
                  <w:tcW w:w="959" w:type="pct"/>
                  <w:vMerge w:val="continue"/>
                  <w:noWrap w:val="0"/>
                  <w:vAlign w:val="center"/>
                </w:tcPr>
                <w:p w14:paraId="32C1493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r>
            <w:tr w14:paraId="49B1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noWrap w:val="0"/>
                  <w:vAlign w:val="center"/>
                </w:tcPr>
                <w:p w14:paraId="405508DA">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vMerge w:val="continue"/>
                  <w:noWrap w:val="0"/>
                  <w:vAlign w:val="center"/>
                </w:tcPr>
                <w:p w14:paraId="4696C076">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kern w:val="2"/>
                      <w:sz w:val="21"/>
                      <w:szCs w:val="21"/>
                      <w:highlight w:val="none"/>
                      <w:lang w:val="en-US" w:eastAsia="zh-CN" w:bidi="ar-SA"/>
                    </w:rPr>
                  </w:pPr>
                </w:p>
              </w:tc>
              <w:tc>
                <w:tcPr>
                  <w:tcW w:w="975" w:type="pct"/>
                  <w:noWrap w:val="0"/>
                  <w:vAlign w:val="center"/>
                </w:tcPr>
                <w:p w14:paraId="2466399B">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含油废抹布</w:t>
                  </w:r>
                </w:p>
              </w:tc>
              <w:tc>
                <w:tcPr>
                  <w:tcW w:w="1702" w:type="pct"/>
                  <w:vMerge w:val="continue"/>
                  <w:noWrap w:val="0"/>
                  <w:vAlign w:val="center"/>
                </w:tcPr>
                <w:p w14:paraId="1B7F41EC">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959" w:type="pct"/>
                  <w:vMerge w:val="continue"/>
                  <w:noWrap w:val="0"/>
                  <w:vAlign w:val="center"/>
                </w:tcPr>
                <w:p w14:paraId="231FA57F">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r>
            <w:tr w14:paraId="081D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noWrap w:val="0"/>
                  <w:vAlign w:val="center"/>
                </w:tcPr>
                <w:p w14:paraId="33D03FF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c>
                <w:tcPr>
                  <w:tcW w:w="970" w:type="pct"/>
                  <w:vMerge w:val="continue"/>
                  <w:noWrap w:val="0"/>
                  <w:vAlign w:val="center"/>
                </w:tcPr>
                <w:p w14:paraId="4BA047C6">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p>
              </w:tc>
              <w:tc>
                <w:tcPr>
                  <w:tcW w:w="975" w:type="pct"/>
                  <w:noWrap w:val="0"/>
                  <w:vAlign w:val="center"/>
                </w:tcPr>
                <w:p w14:paraId="0DEDAE9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废机油桶</w:t>
                  </w:r>
                </w:p>
              </w:tc>
              <w:tc>
                <w:tcPr>
                  <w:tcW w:w="1702" w:type="pct"/>
                  <w:vMerge w:val="continue"/>
                  <w:noWrap w:val="0"/>
                  <w:vAlign w:val="center"/>
                </w:tcPr>
                <w:p w14:paraId="5815C756">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p>
              </w:tc>
              <w:tc>
                <w:tcPr>
                  <w:tcW w:w="959" w:type="pct"/>
                  <w:vMerge w:val="continue"/>
                  <w:noWrap w:val="0"/>
                  <w:vAlign w:val="center"/>
                </w:tcPr>
                <w:p w14:paraId="0F866A7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sz w:val="21"/>
                      <w:szCs w:val="21"/>
                      <w:highlight w:val="none"/>
                    </w:rPr>
                  </w:pPr>
                </w:p>
              </w:tc>
            </w:tr>
          </w:tbl>
          <w:p w14:paraId="67972D38">
            <w:pPr>
              <w:keepNext w:val="0"/>
              <w:keepLines w:val="0"/>
              <w:suppressLineNumbers w:val="0"/>
              <w:spacing w:before="0" w:beforeAutospacing="0" w:after="0" w:afterAutospacing="0"/>
              <w:ind w:left="0" w:right="0"/>
              <w:jc w:val="center"/>
              <w:rPr>
                <w:rFonts w:hint="eastAsia" w:cs="Times New Roman"/>
                <w:color w:val="auto"/>
                <w:sz w:val="24"/>
                <w:highlight w:val="none"/>
                <w:lang w:val="en-US" w:eastAsia="zh-CN"/>
              </w:rPr>
            </w:pPr>
          </w:p>
          <w:p w14:paraId="4CA56482">
            <w:pPr>
              <w:keepNext w:val="0"/>
              <w:keepLines w:val="0"/>
              <w:suppressLineNumbers w:val="0"/>
              <w:spacing w:before="0" w:beforeAutospacing="0" w:after="0" w:afterAutospacing="0"/>
              <w:ind w:left="0" w:right="0"/>
              <w:jc w:val="both"/>
              <w:rPr>
                <w:rFonts w:hint="eastAsia" w:cs="Times New Roman"/>
                <w:color w:val="auto"/>
                <w:sz w:val="24"/>
                <w:highlight w:val="none"/>
                <w:lang w:val="en-US" w:eastAsia="zh-CN"/>
              </w:rPr>
            </w:pPr>
          </w:p>
          <w:p w14:paraId="5C852F98">
            <w:pPr>
              <w:keepNext w:val="0"/>
              <w:keepLines w:val="0"/>
              <w:suppressLineNumbers w:val="0"/>
              <w:spacing w:before="0" w:beforeAutospacing="0" w:after="0" w:afterAutospacing="0"/>
              <w:ind w:left="0" w:right="0"/>
              <w:jc w:val="both"/>
              <w:rPr>
                <w:rFonts w:hint="eastAsia" w:cs="Times New Roman"/>
                <w:color w:val="auto"/>
                <w:sz w:val="24"/>
                <w:highlight w:val="none"/>
                <w:lang w:val="en-US" w:eastAsia="zh-CN"/>
              </w:rPr>
            </w:pPr>
          </w:p>
          <w:p w14:paraId="5C33E29B">
            <w:pPr>
              <w:keepNext w:val="0"/>
              <w:keepLines w:val="0"/>
              <w:suppressLineNumbers w:val="0"/>
              <w:spacing w:before="0" w:beforeAutospacing="0" w:after="0" w:afterAutospacing="0"/>
              <w:ind w:left="0" w:right="0"/>
              <w:jc w:val="both"/>
              <w:rPr>
                <w:rFonts w:hint="eastAsia" w:cs="Times New Roman"/>
                <w:color w:val="auto"/>
                <w:sz w:val="24"/>
                <w:highlight w:val="none"/>
                <w:lang w:val="en-US" w:eastAsia="zh-CN"/>
              </w:rPr>
            </w:pPr>
          </w:p>
          <w:p w14:paraId="2F604E7A">
            <w:pPr>
              <w:keepNext w:val="0"/>
              <w:keepLines w:val="0"/>
              <w:suppressLineNumbers w:val="0"/>
              <w:spacing w:before="0" w:beforeAutospacing="0" w:after="0" w:afterAutospacing="0"/>
              <w:ind w:left="0" w:right="0"/>
              <w:jc w:val="both"/>
              <w:rPr>
                <w:rFonts w:hint="eastAsia" w:cs="Times New Roman"/>
                <w:color w:val="auto"/>
                <w:sz w:val="24"/>
                <w:highlight w:val="none"/>
                <w:lang w:val="en-US" w:eastAsia="zh-CN"/>
              </w:rPr>
            </w:pPr>
          </w:p>
          <w:p w14:paraId="5D6C0A68">
            <w:pPr>
              <w:keepNext w:val="0"/>
              <w:keepLines w:val="0"/>
              <w:suppressLineNumbers w:val="0"/>
              <w:spacing w:before="0" w:beforeAutospacing="0" w:after="0" w:afterAutospacing="0"/>
              <w:ind w:left="0" w:right="0"/>
              <w:jc w:val="both"/>
              <w:rPr>
                <w:rFonts w:hint="eastAsia" w:cs="Times New Roman"/>
                <w:color w:val="auto"/>
                <w:sz w:val="24"/>
                <w:highlight w:val="none"/>
                <w:lang w:val="en-US" w:eastAsia="zh-CN"/>
              </w:rPr>
            </w:pPr>
          </w:p>
          <w:p w14:paraId="4A8067E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 xml:space="preserve"> </w:t>
            </w:r>
          </w:p>
        </w:tc>
      </w:tr>
      <w:tr w14:paraId="0C7640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7314B6D6">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4"/>
                <w:highlight w:val="none"/>
              </w:rPr>
            </w:pPr>
            <w:r>
              <w:rPr>
                <w:rFonts w:hint="default" w:ascii="Times New Roman" w:hAnsi="Times New Roman" w:cs="Times New Roman"/>
                <w:bCs/>
                <w:color w:val="auto"/>
                <w:kern w:val="2"/>
                <w:szCs w:val="24"/>
                <w:highlight w:val="none"/>
              </w:rPr>
              <w:t>与项目有关的原有环境污染问题</w:t>
            </w:r>
          </w:p>
        </w:tc>
        <w:tc>
          <w:tcPr>
            <w:tcW w:w="8161" w:type="dxa"/>
            <w:noWrap w:val="0"/>
            <w:vAlign w:val="center"/>
          </w:tcPr>
          <w:p w14:paraId="42B7BD9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629FE0C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747FCB2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4C07877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06B6CEE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74F34D5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5E5B32F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7EC0870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50BCA71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183DEF4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0B7094B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0B26718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59E1519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1751ED3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p>
          <w:p w14:paraId="01AF1ED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32"/>
                <w:highlight w:val="none"/>
                <w:lang w:eastAsia="zh-CN"/>
              </w:rPr>
              <w:t>本项目</w:t>
            </w:r>
            <w:r>
              <w:rPr>
                <w:rFonts w:hint="default" w:ascii="Times New Roman" w:hAnsi="Times New Roman" w:eastAsia="宋体" w:cs="Times New Roman"/>
                <w:color w:val="auto"/>
                <w:sz w:val="24"/>
                <w:szCs w:val="32"/>
                <w:highlight w:val="none"/>
                <w:lang w:val="en-US" w:eastAsia="zh-CN"/>
              </w:rPr>
              <w:t>租赁</w:t>
            </w:r>
            <w:r>
              <w:rPr>
                <w:rFonts w:hint="eastAsia" w:cs="Times New Roman"/>
                <w:color w:val="auto"/>
                <w:sz w:val="24"/>
                <w:highlight w:val="none"/>
                <w:lang w:val="en-US" w:eastAsia="zh-CN"/>
              </w:rPr>
              <w:t>淄川区罗村镇大王庄村村委西500米厂房</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lang w:val="en-US" w:eastAsia="zh-CN"/>
              </w:rPr>
              <w:t>对现有厂房进行改建</w:t>
            </w:r>
            <w:r>
              <w:rPr>
                <w:rFonts w:hint="default" w:ascii="Times New Roman" w:hAnsi="Times New Roman" w:cs="Times New Roman"/>
                <w:color w:val="auto"/>
                <w:sz w:val="24"/>
                <w:szCs w:val="32"/>
                <w:highlight w:val="none"/>
                <w:lang w:val="en-US" w:eastAsia="zh-CN"/>
              </w:rPr>
              <w:t>，本项目建设性质为新建，</w:t>
            </w:r>
            <w:r>
              <w:rPr>
                <w:rFonts w:hint="default" w:ascii="Times New Roman" w:hAnsi="Times New Roman" w:eastAsia="宋体" w:cs="Times New Roman"/>
                <w:color w:val="auto"/>
                <w:sz w:val="24"/>
                <w:szCs w:val="32"/>
                <w:highlight w:val="none"/>
                <w:lang w:val="en-US" w:eastAsia="zh-CN"/>
              </w:rPr>
              <w:t>故不存在与项目有关的原有环境污染问题。</w:t>
            </w:r>
          </w:p>
          <w:p w14:paraId="095F87A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val="en-US" w:eastAsia="zh-CN"/>
              </w:rPr>
            </w:pPr>
          </w:p>
          <w:p w14:paraId="5A7B78B6">
            <w:pPr>
              <w:pStyle w:val="2"/>
              <w:keepNext w:val="0"/>
              <w:keepLines w:val="0"/>
              <w:suppressLineNumbers w:val="0"/>
              <w:spacing w:before="0" w:beforeAutospacing="0" w:afterAutospacing="0"/>
              <w:ind w:right="0"/>
              <w:rPr>
                <w:rFonts w:hint="eastAsia" w:cs="Times New Roman"/>
                <w:lang w:val="en-US" w:eastAsia="zh-CN"/>
              </w:rPr>
            </w:pPr>
          </w:p>
          <w:p w14:paraId="7253E619">
            <w:pPr>
              <w:pStyle w:val="2"/>
              <w:keepNext w:val="0"/>
              <w:keepLines w:val="0"/>
              <w:suppressLineNumbers w:val="0"/>
              <w:spacing w:before="0" w:beforeAutospacing="0" w:afterAutospacing="0"/>
              <w:ind w:right="0"/>
              <w:rPr>
                <w:rFonts w:hint="eastAsia" w:cs="Times New Roman"/>
                <w:lang w:val="en-US" w:eastAsia="zh-CN"/>
              </w:rPr>
            </w:pPr>
          </w:p>
          <w:p w14:paraId="519D2DBC">
            <w:pPr>
              <w:pStyle w:val="2"/>
              <w:keepNext w:val="0"/>
              <w:keepLines w:val="0"/>
              <w:suppressLineNumbers w:val="0"/>
              <w:spacing w:before="0" w:beforeAutospacing="0" w:afterAutospacing="0"/>
              <w:ind w:right="0"/>
              <w:rPr>
                <w:rFonts w:hint="eastAsia" w:cs="Times New Roman"/>
                <w:lang w:val="en-US" w:eastAsia="zh-CN"/>
              </w:rPr>
            </w:pPr>
          </w:p>
          <w:p w14:paraId="2FF7E0A1">
            <w:pPr>
              <w:pStyle w:val="2"/>
              <w:keepNext w:val="0"/>
              <w:keepLines w:val="0"/>
              <w:suppressLineNumbers w:val="0"/>
              <w:spacing w:before="0" w:beforeAutospacing="0" w:afterAutospacing="0"/>
              <w:ind w:right="0"/>
              <w:rPr>
                <w:rFonts w:hint="eastAsia" w:cs="Times New Roman"/>
                <w:lang w:val="en-US" w:eastAsia="zh-CN"/>
              </w:rPr>
            </w:pPr>
          </w:p>
          <w:p w14:paraId="56B83B12">
            <w:pPr>
              <w:pStyle w:val="2"/>
              <w:keepNext w:val="0"/>
              <w:keepLines w:val="0"/>
              <w:suppressLineNumbers w:val="0"/>
              <w:spacing w:before="0" w:beforeAutospacing="0" w:afterAutospacing="0"/>
              <w:ind w:right="0"/>
              <w:rPr>
                <w:rFonts w:hint="eastAsia" w:cs="Times New Roman"/>
                <w:lang w:val="en-US" w:eastAsia="zh-CN"/>
              </w:rPr>
            </w:pPr>
          </w:p>
          <w:p w14:paraId="53786185">
            <w:pPr>
              <w:pStyle w:val="2"/>
              <w:keepNext w:val="0"/>
              <w:keepLines w:val="0"/>
              <w:suppressLineNumbers w:val="0"/>
              <w:spacing w:before="0" w:beforeAutospacing="0" w:afterAutospacing="0"/>
              <w:ind w:right="0"/>
              <w:rPr>
                <w:rFonts w:hint="eastAsia" w:cs="Times New Roman"/>
                <w:lang w:val="en-US" w:eastAsia="zh-CN"/>
              </w:rPr>
            </w:pPr>
          </w:p>
          <w:p w14:paraId="2CB85636">
            <w:pPr>
              <w:pStyle w:val="2"/>
              <w:keepNext w:val="0"/>
              <w:keepLines w:val="0"/>
              <w:suppressLineNumbers w:val="0"/>
              <w:spacing w:before="0" w:beforeAutospacing="0" w:afterAutospacing="0"/>
              <w:ind w:right="0"/>
              <w:rPr>
                <w:rFonts w:hint="eastAsia" w:cs="Times New Roman"/>
                <w:lang w:val="en-US" w:eastAsia="zh-CN"/>
              </w:rPr>
            </w:pPr>
          </w:p>
          <w:p w14:paraId="71C85436">
            <w:pPr>
              <w:pStyle w:val="2"/>
              <w:keepNext w:val="0"/>
              <w:keepLines w:val="0"/>
              <w:suppressLineNumbers w:val="0"/>
              <w:spacing w:before="0" w:beforeAutospacing="0" w:afterAutospacing="0"/>
              <w:ind w:right="0"/>
              <w:rPr>
                <w:rFonts w:hint="eastAsia" w:cs="Times New Roman"/>
                <w:lang w:val="en-US" w:eastAsia="zh-CN"/>
              </w:rPr>
            </w:pPr>
          </w:p>
          <w:p w14:paraId="443E4054">
            <w:pPr>
              <w:pStyle w:val="2"/>
              <w:keepNext w:val="0"/>
              <w:keepLines w:val="0"/>
              <w:suppressLineNumbers w:val="0"/>
              <w:spacing w:before="0" w:beforeAutospacing="0" w:afterAutospacing="0"/>
              <w:ind w:right="0"/>
              <w:rPr>
                <w:rFonts w:hint="eastAsia" w:cs="Times New Roman"/>
                <w:lang w:val="en-US" w:eastAsia="zh-CN"/>
              </w:rPr>
            </w:pPr>
          </w:p>
          <w:p w14:paraId="7710FB4D">
            <w:pPr>
              <w:pStyle w:val="2"/>
              <w:keepNext w:val="0"/>
              <w:keepLines w:val="0"/>
              <w:suppressLineNumbers w:val="0"/>
              <w:spacing w:before="0" w:beforeAutospacing="0" w:afterAutospacing="0"/>
              <w:ind w:right="0"/>
              <w:rPr>
                <w:rFonts w:hint="eastAsia" w:cs="Times New Roman"/>
                <w:lang w:val="en-US" w:eastAsia="zh-CN"/>
              </w:rPr>
            </w:pPr>
          </w:p>
          <w:p w14:paraId="782B6084">
            <w:pPr>
              <w:pStyle w:val="2"/>
              <w:keepNext w:val="0"/>
              <w:keepLines w:val="0"/>
              <w:suppressLineNumbers w:val="0"/>
              <w:spacing w:before="0" w:beforeAutospacing="0" w:afterAutospacing="0"/>
              <w:ind w:right="0"/>
              <w:rPr>
                <w:rFonts w:hint="eastAsia" w:cs="Times New Roman"/>
                <w:lang w:val="en-US" w:eastAsia="zh-CN"/>
              </w:rPr>
            </w:pPr>
          </w:p>
          <w:p w14:paraId="7566C739">
            <w:pPr>
              <w:pStyle w:val="2"/>
              <w:keepNext w:val="0"/>
              <w:keepLines w:val="0"/>
              <w:suppressLineNumbers w:val="0"/>
              <w:spacing w:before="0" w:beforeAutospacing="0" w:afterAutospacing="0"/>
              <w:ind w:right="0"/>
              <w:rPr>
                <w:rFonts w:hint="eastAsia" w:cs="Times New Roman"/>
                <w:lang w:val="en-US" w:eastAsia="zh-CN"/>
              </w:rPr>
            </w:pPr>
          </w:p>
          <w:p w14:paraId="50F554F6">
            <w:pPr>
              <w:pStyle w:val="2"/>
              <w:keepNext w:val="0"/>
              <w:keepLines w:val="0"/>
              <w:suppressLineNumbers w:val="0"/>
              <w:spacing w:before="0" w:beforeAutospacing="0" w:afterAutospacing="0"/>
              <w:ind w:right="0"/>
              <w:rPr>
                <w:rFonts w:hint="eastAsia" w:cs="Times New Roman"/>
                <w:lang w:val="en-US" w:eastAsia="zh-CN"/>
              </w:rPr>
            </w:pPr>
          </w:p>
          <w:p w14:paraId="6F6AC86C">
            <w:pPr>
              <w:pStyle w:val="2"/>
              <w:keepNext w:val="0"/>
              <w:keepLines w:val="0"/>
              <w:suppressLineNumbers w:val="0"/>
              <w:spacing w:before="0" w:beforeAutospacing="0" w:afterAutospacing="0"/>
              <w:ind w:right="0"/>
              <w:rPr>
                <w:rFonts w:hint="eastAsia" w:cs="Times New Roman"/>
                <w:lang w:val="en-US" w:eastAsia="zh-CN"/>
              </w:rPr>
            </w:pPr>
          </w:p>
          <w:p w14:paraId="02CCE6F7">
            <w:pPr>
              <w:pStyle w:val="2"/>
              <w:keepNext w:val="0"/>
              <w:keepLines w:val="0"/>
              <w:suppressLineNumbers w:val="0"/>
              <w:spacing w:before="0" w:beforeAutospacing="0" w:afterAutospacing="0"/>
              <w:ind w:right="0"/>
              <w:rPr>
                <w:rFonts w:hint="default" w:eastAsia="宋体" w:cs="Times New Roman"/>
                <w:lang w:val="en-US" w:eastAsia="zh-CN"/>
              </w:rPr>
            </w:pPr>
            <w:r>
              <w:rPr>
                <w:rFonts w:hint="eastAsia" w:cs="Times New Roman"/>
                <w:lang w:val="en-US" w:eastAsia="zh-CN"/>
              </w:rPr>
              <w:t xml:space="preserve">  </w:t>
            </w:r>
          </w:p>
        </w:tc>
      </w:tr>
    </w:tbl>
    <w:p w14:paraId="52E63D62">
      <w:pPr>
        <w:pStyle w:val="32"/>
        <w:jc w:val="center"/>
        <w:rPr>
          <w:rFonts w:hint="default" w:ascii="Times New Roman" w:hAnsi="Times New Roman" w:eastAsia="黑体" w:cs="Times New Roman"/>
          <w:snapToGrid w:val="0"/>
          <w:color w:val="auto"/>
          <w:sz w:val="36"/>
          <w:szCs w:val="36"/>
          <w:highlight w:val="none"/>
        </w:rPr>
        <w:sectPr>
          <w:pgSz w:w="11906" w:h="16838"/>
          <w:pgMar w:top="1417" w:right="1134" w:bottom="1417" w:left="1134"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08D77948">
      <w:pPr>
        <w:pStyle w:val="32"/>
        <w:adjustRightInd w:val="0"/>
        <w:snapToGrid w:val="0"/>
        <w:spacing w:before="0" w:beforeAutospacing="0" w:after="0" w:afterAutospacing="0" w:line="14" w:lineRule="auto"/>
        <w:jc w:val="both"/>
        <w:rPr>
          <w:rFonts w:hint="default" w:ascii="Times New Roman" w:hAnsi="Times New Roman" w:eastAsia="黑体" w:cs="Times New Roman"/>
          <w:snapToGrid w:val="0"/>
          <w:color w:val="auto"/>
          <w:sz w:val="30"/>
          <w:szCs w:val="30"/>
          <w:highlight w:val="none"/>
        </w:rPr>
      </w:pPr>
    </w:p>
    <w:p w14:paraId="61F79B5B">
      <w:pPr>
        <w:pStyle w:val="3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11" w:name="_Toc25963"/>
      <w:bookmarkStart w:id="12" w:name="_Toc26072"/>
      <w:bookmarkStart w:id="13" w:name="_Toc23207"/>
      <w:r>
        <w:rPr>
          <w:rFonts w:hint="default" w:ascii="Times New Roman" w:hAnsi="Times New Roman" w:eastAsia="黑体" w:cs="Times New Roman"/>
          <w:snapToGrid w:val="0"/>
          <w:color w:val="auto"/>
          <w:sz w:val="30"/>
          <w:szCs w:val="30"/>
          <w:highlight w:val="none"/>
        </w:rPr>
        <w:t>三、区域环境质量现状、环境保护目标及评价标准</w:t>
      </w:r>
      <w:bookmarkEnd w:id="11"/>
      <w:bookmarkEnd w:id="12"/>
      <w:bookmarkEnd w:id="13"/>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7"/>
        <w:gridCol w:w="8978"/>
      </w:tblGrid>
      <w:tr w14:paraId="13CF2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00" w:type="dxa"/>
            <w:noWrap w:val="0"/>
            <w:vAlign w:val="center"/>
          </w:tcPr>
          <w:p w14:paraId="7C6A23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区域</w:t>
            </w:r>
          </w:p>
          <w:p w14:paraId="0204CCB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环境</w:t>
            </w:r>
          </w:p>
          <w:p w14:paraId="6FE6F6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质量</w:t>
            </w:r>
          </w:p>
          <w:p w14:paraId="5AEC904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highlight w:val="none"/>
              </w:rPr>
              <w:t>现状</w:t>
            </w:r>
          </w:p>
        </w:tc>
        <w:tc>
          <w:tcPr>
            <w:tcW w:w="8190" w:type="dxa"/>
            <w:noWrap w:val="0"/>
            <w:vAlign w:val="center"/>
          </w:tcPr>
          <w:p w14:paraId="3C1B9CBF">
            <w:pPr>
              <w:keepNext w:val="0"/>
              <w:keepLines w:val="0"/>
              <w:suppressLineNumbers w:val="0"/>
              <w:adjustRightInd w:val="0"/>
              <w:snapToGrid w:val="0"/>
              <w:spacing w:before="0" w:beforeAutospacing="0" w:after="0" w:afterAutospacing="0" w:line="440" w:lineRule="exact"/>
              <w:ind w:left="0" w:right="0"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1、环境功能区划</w:t>
            </w:r>
          </w:p>
          <w:p w14:paraId="00161441">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根据《淄博市城区环境空气质量功能区管理规定的通知》（淄政发[1999]113 号），及淄博市水资源管理办公室、淄博市水文局发布的《淄博市水功能区划》（2012.2）、《淄博市地下水功能区划分及保护现状评价》</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淄博市人民政府办公室《关于印发淄博市声环境功能区划方案的通知》（淄政办发[2025]5号）</w:t>
            </w:r>
            <w:r>
              <w:rPr>
                <w:rFonts w:hint="default" w:ascii="Times New Roman" w:hAnsi="Times New Roman" w:cs="Times New Roman"/>
                <w:color w:val="auto"/>
                <w:kern w:val="0"/>
                <w:sz w:val="24"/>
                <w:highlight w:val="none"/>
              </w:rPr>
              <w:t>等文件，项目所在区域属于《环境空气质量标准》（GB</w:t>
            </w:r>
            <w:r>
              <w:rPr>
                <w:rFonts w:hint="eastAsia" w:cs="Times New Roman"/>
                <w:color w:val="auto"/>
                <w:kern w:val="0"/>
                <w:sz w:val="24"/>
                <w:highlight w:val="none"/>
                <w:lang w:eastAsia="zh-CN"/>
              </w:rPr>
              <w:t>3095-2026</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过渡阶段</w:t>
            </w:r>
            <w:r>
              <w:rPr>
                <w:rFonts w:hint="default" w:ascii="Times New Roman" w:hAnsi="Times New Roman" w:eastAsia="宋体" w:cs="Times New Roman"/>
                <w:color w:val="auto"/>
                <w:kern w:val="0"/>
                <w:sz w:val="24"/>
                <w:highlight w:val="none"/>
              </w:rPr>
              <w:t>二级</w:t>
            </w:r>
            <w:r>
              <w:rPr>
                <w:rFonts w:hint="default" w:ascii="Times New Roman" w:hAnsi="Times New Roman" w:cs="Times New Roman"/>
                <w:color w:val="auto"/>
                <w:kern w:val="0"/>
                <w:sz w:val="24"/>
                <w:highlight w:val="none"/>
              </w:rPr>
              <w:t>标准，地下水环境执行《地下水质量标准》（GB/T14848-2017）Ⅲ类标准，区域地表水为</w:t>
            </w:r>
            <w:r>
              <w:rPr>
                <w:rFonts w:hint="eastAsia" w:cs="Times New Roman"/>
                <w:color w:val="auto"/>
                <w:kern w:val="0"/>
                <w:sz w:val="24"/>
                <w:highlight w:val="none"/>
                <w:lang w:eastAsia="zh-CN"/>
              </w:rPr>
              <w:t>漫泗河（孝妇河支流）</w:t>
            </w:r>
            <w:r>
              <w:rPr>
                <w:rFonts w:hint="default" w:ascii="Times New Roman" w:hAnsi="Times New Roman" w:cs="Times New Roman"/>
                <w:color w:val="auto"/>
                <w:kern w:val="0"/>
                <w:sz w:val="24"/>
                <w:highlight w:val="none"/>
              </w:rPr>
              <w:t>，执行《地表水环境质量标准》（GB3838-2002）V类标准，声环境执行《声环境质量标准》（GB3096-2008）</w:t>
            </w:r>
            <w:r>
              <w:rPr>
                <w:rFonts w:hint="eastAsia" w:cs="Times New Roman"/>
                <w:color w:val="auto"/>
                <w:kern w:val="0"/>
                <w:sz w:val="24"/>
                <w:highlight w:val="none"/>
                <w:lang w:val="en-US" w:eastAsia="zh-CN"/>
              </w:rPr>
              <w:t>2类</w:t>
            </w:r>
            <w:r>
              <w:rPr>
                <w:rFonts w:hint="default" w:ascii="Times New Roman" w:hAnsi="Times New Roman" w:cs="Times New Roman"/>
                <w:color w:val="auto"/>
                <w:kern w:val="0"/>
                <w:sz w:val="24"/>
                <w:highlight w:val="none"/>
              </w:rPr>
              <w:t>区标准。</w:t>
            </w:r>
          </w:p>
          <w:p w14:paraId="6377EFED">
            <w:pPr>
              <w:keepNext w:val="0"/>
              <w:keepLines w:val="0"/>
              <w:suppressLineNumbers w:val="0"/>
              <w:adjustRightInd w:val="0"/>
              <w:snapToGrid w:val="0"/>
              <w:spacing w:before="0" w:beforeAutospacing="0" w:after="0" w:afterAutospacing="0" w:line="440" w:lineRule="exact"/>
              <w:ind w:left="0" w:right="0" w:firstLine="482" w:firstLineChars="20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2、环境质量现状</w:t>
            </w:r>
          </w:p>
          <w:p w14:paraId="29405466">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cs="Times New Roman"/>
                <w:color w:val="auto"/>
                <w:kern w:val="0"/>
                <w:sz w:val="24"/>
                <w:highlight w:val="none"/>
              </w:rPr>
              <w:t>（1）大气环境：</w:t>
            </w:r>
            <w:r>
              <w:rPr>
                <w:rFonts w:hint="default" w:ascii="Times New Roman" w:hAnsi="Times New Roman" w:eastAsia="宋体" w:cs="Times New Roman"/>
                <w:color w:val="auto"/>
                <w:kern w:val="0"/>
                <w:sz w:val="24"/>
                <w:highlight w:val="none"/>
              </w:rPr>
              <w:t>项目所在区域环境质量达标情况根据淄博市生态环境局20</w:t>
            </w:r>
            <w:r>
              <w:rPr>
                <w:rFonts w:hint="eastAsia" w:ascii="Times New Roman" w:hAnsi="Times New Roman" w:eastAsia="宋体" w:cs="Times New Roman"/>
                <w:color w:val="auto"/>
                <w:kern w:val="0"/>
                <w:sz w:val="24"/>
                <w:highlight w:val="none"/>
                <w:lang w:val="en-US" w:eastAsia="zh-CN"/>
              </w:rPr>
              <w:t>25</w:t>
            </w:r>
            <w:r>
              <w:rPr>
                <w:rFonts w:hint="default" w:ascii="Times New Roman" w:hAnsi="Times New Roman" w:eastAsia="宋体" w:cs="Times New Roman"/>
                <w:color w:val="auto"/>
                <w:kern w:val="0"/>
                <w:sz w:val="24"/>
                <w:highlight w:val="none"/>
              </w:rPr>
              <w:t>年</w:t>
            </w:r>
            <w:r>
              <w:rPr>
                <w:rFonts w:hint="eastAsia"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rPr>
              <w:t>月</w:t>
            </w:r>
            <w:r>
              <w:rPr>
                <w:rFonts w:hint="eastAsia" w:ascii="Times New Roman" w:hAnsi="Times New Roman" w:eastAsia="宋体" w:cs="Times New Roman"/>
                <w:color w:val="auto"/>
                <w:kern w:val="0"/>
                <w:sz w:val="24"/>
                <w:highlight w:val="none"/>
                <w:lang w:val="en-US" w:eastAsia="zh-CN"/>
              </w:rPr>
              <w:t>27</w:t>
            </w:r>
            <w:r>
              <w:rPr>
                <w:rFonts w:hint="default" w:ascii="Times New Roman" w:hAnsi="Times New Roman" w:eastAsia="宋体" w:cs="Times New Roman"/>
                <w:color w:val="auto"/>
                <w:kern w:val="0"/>
                <w:sz w:val="24"/>
                <w:highlight w:val="none"/>
              </w:rPr>
              <w:t>日公布的《2024年</w:t>
            </w:r>
            <w:r>
              <w:rPr>
                <w:rFonts w:hint="eastAsia" w:ascii="Times New Roman" w:hAnsi="Times New Roman" w:eastAsia="宋体" w:cs="Times New Roman"/>
                <w:color w:val="auto"/>
                <w:kern w:val="0"/>
                <w:sz w:val="24"/>
                <w:highlight w:val="none"/>
                <w:lang w:val="en-US" w:eastAsia="zh-CN"/>
              </w:rPr>
              <w:t>12</w:t>
            </w:r>
            <w:r>
              <w:rPr>
                <w:rFonts w:hint="default" w:ascii="Times New Roman" w:hAnsi="Times New Roman" w:eastAsia="宋体" w:cs="Times New Roman"/>
                <w:color w:val="auto"/>
                <w:kern w:val="0"/>
                <w:sz w:val="24"/>
                <w:highlight w:val="none"/>
              </w:rPr>
              <w:t>月份</w:t>
            </w:r>
            <w:r>
              <w:rPr>
                <w:rFonts w:hint="eastAsia" w:ascii="Times New Roman" w:hAnsi="Times New Roman" w:eastAsia="宋体" w:cs="Times New Roman"/>
                <w:color w:val="auto"/>
                <w:kern w:val="0"/>
                <w:sz w:val="24"/>
                <w:highlight w:val="none"/>
                <w:lang w:val="en-US" w:eastAsia="zh-CN"/>
              </w:rPr>
              <w:t>全</w:t>
            </w:r>
            <w:r>
              <w:rPr>
                <w:rFonts w:hint="default" w:ascii="Times New Roman" w:hAnsi="Times New Roman" w:eastAsia="宋体" w:cs="Times New Roman"/>
                <w:color w:val="auto"/>
                <w:kern w:val="0"/>
                <w:sz w:val="24"/>
                <w:highlight w:val="none"/>
              </w:rPr>
              <w:t>年环境空气质量情况通报》，2024年，全市良好天数238天（国控），同比增加19天。重污染天数4天，同比减少4天。其中，二氧化硫13微克/立方米，同比恶化8.3%；二氧化氮33微克/立方米，同比改善2.9%；可吸入颗粒物69微克/立方米，同比改善8.0%；细颗粒物40微克/立方米，同比改善2.4%；一氧化碳1.2毫克/立方米，同比恶化9.1%；臭氧194克/立方米，同比改善2.0%。</w:t>
            </w:r>
          </w:p>
          <w:p w14:paraId="0B41DE90">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项目所在区域环境空气质量进行达标判断，数据统计及评价情况见下表。</w:t>
            </w:r>
          </w:p>
          <w:p w14:paraId="2F0D6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表3-1 淄川区空气质量现状评价结果一览表</w:t>
            </w:r>
          </w:p>
          <w:tbl>
            <w:tblPr>
              <w:tblStyle w:val="37"/>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07"/>
              <w:gridCol w:w="3815"/>
              <w:gridCol w:w="1177"/>
              <w:gridCol w:w="1177"/>
              <w:gridCol w:w="1177"/>
            </w:tblGrid>
            <w:tr w14:paraId="4C1517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4" w:type="pct"/>
                  <w:tcBorders>
                    <w:tl2br w:val="nil"/>
                    <w:tr2bl w:val="nil"/>
                  </w:tcBorders>
                  <w:noWrap w:val="0"/>
                  <w:vAlign w:val="center"/>
                </w:tcPr>
                <w:p w14:paraId="29D0FD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污染物名称</w:t>
                  </w:r>
                </w:p>
              </w:tc>
              <w:tc>
                <w:tcPr>
                  <w:tcW w:w="2178" w:type="pct"/>
                  <w:tcBorders>
                    <w:tl2br w:val="nil"/>
                    <w:tr2bl w:val="nil"/>
                  </w:tcBorders>
                  <w:noWrap w:val="0"/>
                  <w:vAlign w:val="center"/>
                </w:tcPr>
                <w:p w14:paraId="4847F40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年度评价指标</w:t>
                  </w:r>
                </w:p>
              </w:tc>
              <w:tc>
                <w:tcPr>
                  <w:tcW w:w="672" w:type="pct"/>
                  <w:tcBorders>
                    <w:tl2br w:val="nil"/>
                    <w:tr2bl w:val="nil"/>
                  </w:tcBorders>
                  <w:noWrap w:val="0"/>
                  <w:vAlign w:val="center"/>
                </w:tcPr>
                <w:p w14:paraId="6739172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现状浓度</w:t>
                  </w:r>
                </w:p>
              </w:tc>
              <w:tc>
                <w:tcPr>
                  <w:tcW w:w="672" w:type="pct"/>
                  <w:tcBorders>
                    <w:tl2br w:val="nil"/>
                    <w:tr2bl w:val="nil"/>
                  </w:tcBorders>
                  <w:noWrap w:val="0"/>
                  <w:vAlign w:val="center"/>
                </w:tcPr>
                <w:p w14:paraId="48BB94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评价标准</w:t>
                  </w:r>
                </w:p>
              </w:tc>
              <w:tc>
                <w:tcPr>
                  <w:tcW w:w="672" w:type="pct"/>
                  <w:tcBorders>
                    <w:tl2br w:val="nil"/>
                    <w:tr2bl w:val="nil"/>
                  </w:tcBorders>
                  <w:noWrap w:val="0"/>
                  <w:vAlign w:val="center"/>
                </w:tcPr>
                <w:p w14:paraId="51E053F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达标情况</w:t>
                  </w:r>
                </w:p>
              </w:tc>
            </w:tr>
            <w:tr w14:paraId="6B21D6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4" w:type="pct"/>
                  <w:tcBorders>
                    <w:tl2br w:val="nil"/>
                    <w:tr2bl w:val="nil"/>
                  </w:tcBorders>
                  <w:noWrap w:val="0"/>
                  <w:vAlign w:val="center"/>
                </w:tcPr>
                <w:p w14:paraId="5EF28D55">
                  <w:pPr>
                    <w:pStyle w:val="73"/>
                    <w:keepNext w:val="0"/>
                    <w:keepLines w:val="0"/>
                    <w:suppressLineNumbers w:val="0"/>
                    <w:spacing w:before="0" w:beforeAutospacing="0" w:after="0" w:afterAutospacing="0" w:line="240" w:lineRule="auto"/>
                    <w:ind w:left="0" w:right="0"/>
                    <w:rPr>
                      <w:rFonts w:hint="default" w:ascii="Times New Roman" w:hAnsi="Times New Roman" w:cs="Times New Roman"/>
                      <w:color w:val="auto"/>
                      <w:kern w:val="0"/>
                      <w:highlight w:val="none"/>
                      <w:vertAlign w:val="subscript"/>
                    </w:rPr>
                  </w:pPr>
                  <w:r>
                    <w:rPr>
                      <w:rFonts w:hint="default" w:ascii="Times New Roman" w:hAnsi="Times New Roman" w:cs="Times New Roman"/>
                      <w:color w:val="auto"/>
                      <w:kern w:val="0"/>
                      <w:highlight w:val="none"/>
                    </w:rPr>
                    <w:t>SO</w:t>
                  </w:r>
                  <w:r>
                    <w:rPr>
                      <w:rFonts w:hint="default" w:ascii="Times New Roman" w:hAnsi="Times New Roman" w:cs="Times New Roman"/>
                      <w:color w:val="auto"/>
                      <w:kern w:val="0"/>
                      <w:highlight w:val="none"/>
                      <w:vertAlign w:val="subscript"/>
                    </w:rPr>
                    <w:t>2</w:t>
                  </w:r>
                </w:p>
              </w:tc>
              <w:tc>
                <w:tcPr>
                  <w:tcW w:w="2178" w:type="pct"/>
                  <w:vMerge w:val="restart"/>
                  <w:tcBorders>
                    <w:tl2br w:val="nil"/>
                    <w:tr2bl w:val="nil"/>
                  </w:tcBorders>
                  <w:noWrap w:val="0"/>
                  <w:vAlign w:val="center"/>
                </w:tcPr>
                <w:p w14:paraId="3E2CB6C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年平均质量浓度</w:t>
                  </w:r>
                </w:p>
              </w:tc>
              <w:tc>
                <w:tcPr>
                  <w:tcW w:w="672" w:type="pct"/>
                  <w:tcBorders>
                    <w:tl2br w:val="nil"/>
                    <w:tr2bl w:val="nil"/>
                  </w:tcBorders>
                  <w:noWrap w:val="0"/>
                  <w:vAlign w:val="center"/>
                </w:tcPr>
                <w:p w14:paraId="79C63C8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i w:val="0"/>
                      <w:iCs w:val="0"/>
                      <w:caps w:val="0"/>
                      <w:color w:val="auto"/>
                      <w:spacing w:val="0"/>
                      <w:sz w:val="19"/>
                      <w:szCs w:val="19"/>
                      <w:shd w:val="clear" w:color="auto" w:fill="FFFFFF"/>
                    </w:rPr>
                    <w:t>1</w:t>
                  </w:r>
                  <w:r>
                    <w:rPr>
                      <w:rFonts w:hint="eastAsia" w:ascii="Times New Roman" w:hAnsi="Times New Roman" w:eastAsia="宋体" w:cs="Times New Roman"/>
                      <w:i w:val="0"/>
                      <w:iCs w:val="0"/>
                      <w:caps w:val="0"/>
                      <w:color w:val="auto"/>
                      <w:spacing w:val="0"/>
                      <w:sz w:val="19"/>
                      <w:szCs w:val="19"/>
                      <w:shd w:val="clear" w:color="auto" w:fill="FFFFFF"/>
                      <w:lang w:val="en-US" w:eastAsia="zh-CN"/>
                    </w:rPr>
                    <w:t>2</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7741A0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60</w:t>
                  </w:r>
                  <w:r>
                    <w:rPr>
                      <w:rFonts w:hint="default"/>
                      <w:kern w:val="0"/>
                      <w:szCs w:val="21"/>
                    </w:rPr>
                    <w:t>μg/m</w:t>
                  </w:r>
                  <w:r>
                    <w:rPr>
                      <w:rFonts w:hint="default"/>
                      <w:kern w:val="0"/>
                      <w:szCs w:val="21"/>
                      <w:vertAlign w:val="superscript"/>
                    </w:rPr>
                    <w:t>3</w:t>
                  </w:r>
                </w:p>
              </w:tc>
              <w:tc>
                <w:tcPr>
                  <w:tcW w:w="672" w:type="pct"/>
                  <w:tcBorders>
                    <w:tl2br w:val="nil"/>
                    <w:tr2bl w:val="nil"/>
                  </w:tcBorders>
                  <w:noWrap w:val="0"/>
                  <w:vAlign w:val="center"/>
                </w:tcPr>
                <w:p w14:paraId="761541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rPr>
                    <w:t>达标</w:t>
                  </w:r>
                </w:p>
              </w:tc>
            </w:tr>
            <w:tr w14:paraId="0824E0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4" w:type="pct"/>
                  <w:tcBorders>
                    <w:tl2br w:val="nil"/>
                    <w:tr2bl w:val="nil"/>
                  </w:tcBorders>
                  <w:noWrap w:val="0"/>
                  <w:vAlign w:val="center"/>
                </w:tcPr>
                <w:p w14:paraId="65B19A1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NO</w:t>
                  </w:r>
                  <w:r>
                    <w:rPr>
                      <w:rFonts w:hint="default" w:ascii="Times New Roman" w:hAnsi="Times New Roman" w:cs="Times New Roman"/>
                      <w:color w:val="auto"/>
                      <w:kern w:val="0"/>
                      <w:szCs w:val="21"/>
                      <w:highlight w:val="none"/>
                      <w:vertAlign w:val="subscript"/>
                    </w:rPr>
                    <w:t>2</w:t>
                  </w:r>
                </w:p>
              </w:tc>
              <w:tc>
                <w:tcPr>
                  <w:tcW w:w="2178" w:type="pct"/>
                  <w:vMerge w:val="continue"/>
                  <w:tcBorders>
                    <w:tl2br w:val="nil"/>
                    <w:tr2bl w:val="nil"/>
                  </w:tcBorders>
                  <w:noWrap w:val="0"/>
                  <w:vAlign w:val="center"/>
                </w:tcPr>
                <w:p w14:paraId="0539A59D">
                  <w:pPr>
                    <w:keepNext w:val="0"/>
                    <w:keepLines w:val="0"/>
                    <w:suppressLineNumbers w:val="0"/>
                    <w:adjustRightInd w:val="0"/>
                    <w:snapToGrid w:val="0"/>
                    <w:spacing w:before="0" w:beforeAutospacing="0" w:after="0" w:afterAutospacing="0"/>
                    <w:ind w:left="0" w:right="0" w:firstLine="422"/>
                    <w:jc w:val="center"/>
                    <w:rPr>
                      <w:rFonts w:hint="default" w:ascii="Times New Roman" w:hAnsi="Times New Roman" w:cs="Times New Roman"/>
                      <w:color w:val="auto"/>
                      <w:kern w:val="0"/>
                      <w:szCs w:val="21"/>
                      <w:highlight w:val="none"/>
                    </w:rPr>
                  </w:pPr>
                </w:p>
              </w:tc>
              <w:tc>
                <w:tcPr>
                  <w:tcW w:w="672" w:type="pct"/>
                  <w:tcBorders>
                    <w:tl2br w:val="nil"/>
                    <w:tr2bl w:val="nil"/>
                  </w:tcBorders>
                  <w:noWrap w:val="0"/>
                  <w:vAlign w:val="center"/>
                </w:tcPr>
                <w:p w14:paraId="3E3D38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30</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6EF0DD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40</w:t>
                  </w:r>
                  <w:r>
                    <w:rPr>
                      <w:rFonts w:hint="default"/>
                      <w:kern w:val="0"/>
                      <w:szCs w:val="21"/>
                    </w:rPr>
                    <w:t>μg/m</w:t>
                  </w:r>
                  <w:r>
                    <w:rPr>
                      <w:rFonts w:hint="default"/>
                      <w:kern w:val="0"/>
                      <w:szCs w:val="21"/>
                      <w:vertAlign w:val="superscript"/>
                    </w:rPr>
                    <w:t>3</w:t>
                  </w:r>
                </w:p>
              </w:tc>
              <w:tc>
                <w:tcPr>
                  <w:tcW w:w="672" w:type="pct"/>
                  <w:tcBorders>
                    <w:tl2br w:val="nil"/>
                    <w:tr2bl w:val="nil"/>
                  </w:tcBorders>
                  <w:noWrap w:val="0"/>
                  <w:vAlign w:val="center"/>
                </w:tcPr>
                <w:p w14:paraId="73E8F8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rPr>
                    <w:t>达标</w:t>
                  </w:r>
                </w:p>
              </w:tc>
            </w:tr>
            <w:tr w14:paraId="11C318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4" w:type="pct"/>
                  <w:tcBorders>
                    <w:tl2br w:val="nil"/>
                    <w:tr2bl w:val="nil"/>
                  </w:tcBorders>
                  <w:noWrap w:val="0"/>
                  <w:vAlign w:val="center"/>
                </w:tcPr>
                <w:p w14:paraId="5DA8258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vertAlign w:val="subscript"/>
                    </w:rPr>
                  </w:pPr>
                  <w:r>
                    <w:rPr>
                      <w:rFonts w:hint="default" w:ascii="Times New Roman" w:hAnsi="Times New Roman" w:cs="Times New Roman"/>
                      <w:color w:val="auto"/>
                      <w:kern w:val="0"/>
                      <w:szCs w:val="21"/>
                      <w:highlight w:val="none"/>
                    </w:rPr>
                    <w:t>PM</w:t>
                  </w:r>
                  <w:r>
                    <w:rPr>
                      <w:rFonts w:hint="default" w:ascii="Times New Roman" w:hAnsi="Times New Roman" w:cs="Times New Roman"/>
                      <w:color w:val="auto"/>
                      <w:kern w:val="0"/>
                      <w:szCs w:val="21"/>
                      <w:highlight w:val="none"/>
                      <w:vertAlign w:val="subscript"/>
                    </w:rPr>
                    <w:t>10</w:t>
                  </w:r>
                </w:p>
              </w:tc>
              <w:tc>
                <w:tcPr>
                  <w:tcW w:w="2178" w:type="pct"/>
                  <w:vMerge w:val="continue"/>
                  <w:tcBorders>
                    <w:tl2br w:val="nil"/>
                    <w:tr2bl w:val="nil"/>
                  </w:tcBorders>
                  <w:noWrap w:val="0"/>
                  <w:vAlign w:val="center"/>
                </w:tcPr>
                <w:p w14:paraId="6978D20F">
                  <w:pPr>
                    <w:keepNext w:val="0"/>
                    <w:keepLines w:val="0"/>
                    <w:suppressLineNumbers w:val="0"/>
                    <w:adjustRightInd w:val="0"/>
                    <w:snapToGrid w:val="0"/>
                    <w:spacing w:before="0" w:beforeAutospacing="0" w:after="0" w:afterAutospacing="0"/>
                    <w:ind w:left="0" w:right="0" w:firstLine="422"/>
                    <w:jc w:val="center"/>
                    <w:rPr>
                      <w:rFonts w:hint="default" w:ascii="Times New Roman" w:hAnsi="Times New Roman" w:cs="Times New Roman"/>
                      <w:color w:val="auto"/>
                      <w:kern w:val="0"/>
                      <w:szCs w:val="21"/>
                      <w:highlight w:val="none"/>
                    </w:rPr>
                  </w:pPr>
                </w:p>
              </w:tc>
              <w:tc>
                <w:tcPr>
                  <w:tcW w:w="672" w:type="pct"/>
                  <w:tcBorders>
                    <w:tl2br w:val="nil"/>
                    <w:tr2bl w:val="nil"/>
                  </w:tcBorders>
                  <w:noWrap w:val="0"/>
                  <w:vAlign w:val="center"/>
                </w:tcPr>
                <w:p w14:paraId="763978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eastAsia" w:ascii="Times New Roman" w:hAnsi="Times New Roman" w:eastAsia="宋体" w:cs="Times New Roman"/>
                      <w:i w:val="0"/>
                      <w:iCs w:val="0"/>
                      <w:caps w:val="0"/>
                      <w:color w:val="auto"/>
                      <w:spacing w:val="0"/>
                      <w:sz w:val="19"/>
                      <w:szCs w:val="19"/>
                      <w:shd w:val="clear" w:color="auto" w:fill="FFFFFF"/>
                      <w:lang w:val="en-US" w:eastAsia="zh-CN"/>
                    </w:rPr>
                    <w:t>69</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03B212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60</w:t>
                  </w:r>
                  <w:r>
                    <w:rPr>
                      <w:rFonts w:hint="default"/>
                      <w:kern w:val="0"/>
                      <w:szCs w:val="21"/>
                    </w:rPr>
                    <w:t>μg/m</w:t>
                  </w:r>
                  <w:r>
                    <w:rPr>
                      <w:rFonts w:hint="default"/>
                      <w:kern w:val="0"/>
                      <w:szCs w:val="21"/>
                      <w:vertAlign w:val="superscript"/>
                    </w:rPr>
                    <w:t>3</w:t>
                  </w:r>
                </w:p>
              </w:tc>
              <w:tc>
                <w:tcPr>
                  <w:tcW w:w="672" w:type="pct"/>
                  <w:tcBorders>
                    <w:tl2br w:val="nil"/>
                    <w:tr2bl w:val="nil"/>
                  </w:tcBorders>
                  <w:noWrap w:val="0"/>
                  <w:vAlign w:val="center"/>
                </w:tcPr>
                <w:p w14:paraId="78BFC7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bCs/>
                      <w:kern w:val="0"/>
                      <w:szCs w:val="21"/>
                      <w:lang w:val="en-US" w:eastAsia="zh-CN"/>
                    </w:rPr>
                    <w:t>超标</w:t>
                  </w:r>
                </w:p>
              </w:tc>
            </w:tr>
            <w:tr w14:paraId="27F37C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4" w:type="pct"/>
                  <w:tcBorders>
                    <w:tl2br w:val="nil"/>
                    <w:tr2bl w:val="nil"/>
                  </w:tcBorders>
                  <w:noWrap w:val="0"/>
                  <w:vAlign w:val="center"/>
                </w:tcPr>
                <w:p w14:paraId="388D1F6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vertAlign w:val="subscript"/>
                    </w:rPr>
                  </w:pPr>
                  <w:r>
                    <w:rPr>
                      <w:rFonts w:hint="default" w:ascii="Times New Roman" w:hAnsi="Times New Roman" w:cs="Times New Roman"/>
                      <w:color w:val="auto"/>
                      <w:kern w:val="0"/>
                      <w:szCs w:val="21"/>
                      <w:highlight w:val="none"/>
                    </w:rPr>
                    <w:t>PM</w:t>
                  </w:r>
                  <w:r>
                    <w:rPr>
                      <w:rFonts w:hint="default" w:ascii="Times New Roman" w:hAnsi="Times New Roman" w:cs="Times New Roman"/>
                      <w:color w:val="auto"/>
                      <w:kern w:val="0"/>
                      <w:szCs w:val="21"/>
                      <w:highlight w:val="none"/>
                      <w:vertAlign w:val="subscript"/>
                    </w:rPr>
                    <w:t>2.5</w:t>
                  </w:r>
                </w:p>
              </w:tc>
              <w:tc>
                <w:tcPr>
                  <w:tcW w:w="2178" w:type="pct"/>
                  <w:vMerge w:val="continue"/>
                  <w:tcBorders>
                    <w:tl2br w:val="nil"/>
                    <w:tr2bl w:val="nil"/>
                  </w:tcBorders>
                  <w:noWrap w:val="0"/>
                  <w:vAlign w:val="center"/>
                </w:tcPr>
                <w:p w14:paraId="23D26986">
                  <w:pPr>
                    <w:keepNext w:val="0"/>
                    <w:keepLines w:val="0"/>
                    <w:suppressLineNumbers w:val="0"/>
                    <w:adjustRightInd w:val="0"/>
                    <w:snapToGrid w:val="0"/>
                    <w:spacing w:before="0" w:beforeAutospacing="0" w:after="0" w:afterAutospacing="0"/>
                    <w:ind w:left="0" w:right="0" w:firstLine="422"/>
                    <w:jc w:val="center"/>
                    <w:rPr>
                      <w:rFonts w:hint="default" w:ascii="Times New Roman" w:hAnsi="Times New Roman" w:cs="Times New Roman"/>
                      <w:color w:val="auto"/>
                      <w:kern w:val="0"/>
                      <w:szCs w:val="21"/>
                      <w:highlight w:val="none"/>
                    </w:rPr>
                  </w:pPr>
                </w:p>
              </w:tc>
              <w:tc>
                <w:tcPr>
                  <w:tcW w:w="672" w:type="pct"/>
                  <w:tcBorders>
                    <w:tl2br w:val="nil"/>
                    <w:tr2bl w:val="nil"/>
                  </w:tcBorders>
                  <w:noWrap w:val="0"/>
                  <w:vAlign w:val="center"/>
                </w:tcPr>
                <w:p w14:paraId="7536C64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i w:val="0"/>
                      <w:iCs w:val="0"/>
                      <w:caps w:val="0"/>
                      <w:color w:val="auto"/>
                      <w:spacing w:val="-9"/>
                      <w:sz w:val="19"/>
                      <w:szCs w:val="19"/>
                      <w:shd w:val="clear" w:color="auto" w:fill="FFFFFF"/>
                    </w:rPr>
                    <w:t>4</w:t>
                  </w:r>
                  <w:r>
                    <w:rPr>
                      <w:rFonts w:hint="eastAsia" w:ascii="Times New Roman" w:hAnsi="Times New Roman" w:eastAsia="宋体" w:cs="Times New Roman"/>
                      <w:i w:val="0"/>
                      <w:iCs w:val="0"/>
                      <w:caps w:val="0"/>
                      <w:color w:val="auto"/>
                      <w:spacing w:val="-9"/>
                      <w:sz w:val="19"/>
                      <w:szCs w:val="19"/>
                      <w:shd w:val="clear" w:color="auto" w:fill="FFFFFF"/>
                      <w:lang w:val="en-US" w:eastAsia="zh-CN"/>
                    </w:rPr>
                    <w:t>2</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495CA2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30</w:t>
                  </w:r>
                  <w:r>
                    <w:rPr>
                      <w:rFonts w:hint="default"/>
                      <w:kern w:val="0"/>
                      <w:szCs w:val="21"/>
                    </w:rPr>
                    <w:t>μg/m</w:t>
                  </w:r>
                  <w:r>
                    <w:rPr>
                      <w:rFonts w:hint="default"/>
                      <w:kern w:val="0"/>
                      <w:szCs w:val="21"/>
                      <w:vertAlign w:val="superscript"/>
                    </w:rPr>
                    <w:t>3</w:t>
                  </w:r>
                </w:p>
              </w:tc>
              <w:tc>
                <w:tcPr>
                  <w:tcW w:w="672" w:type="pct"/>
                  <w:tcBorders>
                    <w:tl2br w:val="nil"/>
                    <w:tr2bl w:val="nil"/>
                  </w:tcBorders>
                  <w:noWrap w:val="0"/>
                  <w:vAlign w:val="center"/>
                </w:tcPr>
                <w:p w14:paraId="58D75F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bCs/>
                      <w:kern w:val="0"/>
                      <w:szCs w:val="21"/>
                    </w:rPr>
                    <w:t>超标</w:t>
                  </w:r>
                </w:p>
              </w:tc>
            </w:tr>
            <w:tr w14:paraId="69B383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4" w:type="pct"/>
                  <w:tcBorders>
                    <w:tl2br w:val="nil"/>
                    <w:tr2bl w:val="nil"/>
                  </w:tcBorders>
                  <w:noWrap w:val="0"/>
                  <w:vAlign w:val="center"/>
                </w:tcPr>
                <w:p w14:paraId="688C551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CO</w:t>
                  </w:r>
                </w:p>
              </w:tc>
              <w:tc>
                <w:tcPr>
                  <w:tcW w:w="2178" w:type="pct"/>
                  <w:tcBorders>
                    <w:tl2br w:val="nil"/>
                    <w:tr2bl w:val="nil"/>
                  </w:tcBorders>
                  <w:noWrap w:val="0"/>
                  <w:vAlign w:val="center"/>
                </w:tcPr>
                <w:p w14:paraId="519B97E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95%保证率日平均浓度</w:t>
                  </w:r>
                </w:p>
              </w:tc>
              <w:tc>
                <w:tcPr>
                  <w:tcW w:w="672" w:type="pct"/>
                  <w:tcBorders>
                    <w:tl2br w:val="nil"/>
                    <w:tr2bl w:val="nil"/>
                  </w:tcBorders>
                  <w:noWrap w:val="0"/>
                  <w:vAlign w:val="center"/>
                </w:tcPr>
                <w:p w14:paraId="471D8E2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i w:val="0"/>
                      <w:iCs w:val="0"/>
                      <w:caps w:val="0"/>
                      <w:color w:val="auto"/>
                      <w:spacing w:val="0"/>
                      <w:sz w:val="19"/>
                      <w:szCs w:val="19"/>
                      <w:shd w:val="clear" w:color="auto" w:fill="FFFFFF"/>
                    </w:rPr>
                    <w:t>1.2</w:t>
                  </w:r>
                  <w:r>
                    <w:rPr>
                      <w:rFonts w:hint="default" w:ascii="Times New Roman" w:hAnsi="Times New Roman" w:cs="Times New Roman"/>
                      <w:color w:val="auto"/>
                      <w:kern w:val="0"/>
                      <w:szCs w:val="21"/>
                      <w:highlight w:val="none"/>
                    </w:rPr>
                    <w:t>mg/m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0C266E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4</w:t>
                  </w:r>
                  <w:r>
                    <w:rPr>
                      <w:rFonts w:hint="default"/>
                      <w:kern w:val="0"/>
                      <w:szCs w:val="21"/>
                    </w:rPr>
                    <w:t>mg/m</w:t>
                  </w:r>
                  <w:r>
                    <w:rPr>
                      <w:rFonts w:hint="default"/>
                      <w:kern w:val="0"/>
                      <w:szCs w:val="21"/>
                      <w:vertAlign w:val="superscript"/>
                    </w:rPr>
                    <w:t>3</w:t>
                  </w:r>
                </w:p>
              </w:tc>
              <w:tc>
                <w:tcPr>
                  <w:tcW w:w="672" w:type="pct"/>
                  <w:tcBorders>
                    <w:tl2br w:val="nil"/>
                    <w:tr2bl w:val="nil"/>
                  </w:tcBorders>
                  <w:noWrap w:val="0"/>
                  <w:vAlign w:val="center"/>
                </w:tcPr>
                <w:p w14:paraId="066F95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rPr>
                    <w:t>达标</w:t>
                  </w:r>
                </w:p>
              </w:tc>
            </w:tr>
            <w:tr w14:paraId="3B4C2B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4" w:type="pct"/>
                  <w:tcBorders>
                    <w:tl2br w:val="nil"/>
                    <w:tr2bl w:val="nil"/>
                  </w:tcBorders>
                  <w:noWrap w:val="0"/>
                  <w:vAlign w:val="center"/>
                </w:tcPr>
                <w:p w14:paraId="1B8F0C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vertAlign w:val="subscript"/>
                    </w:rPr>
                  </w:pPr>
                  <w:r>
                    <w:rPr>
                      <w:rFonts w:hint="default" w:ascii="Times New Roman" w:hAnsi="Times New Roman" w:cs="Times New Roman"/>
                      <w:color w:val="auto"/>
                      <w:kern w:val="0"/>
                      <w:szCs w:val="21"/>
                      <w:highlight w:val="none"/>
                    </w:rPr>
                    <w:t>O</w:t>
                  </w:r>
                  <w:r>
                    <w:rPr>
                      <w:rFonts w:hint="default" w:ascii="Times New Roman" w:hAnsi="Times New Roman" w:cs="Times New Roman"/>
                      <w:color w:val="auto"/>
                      <w:kern w:val="0"/>
                      <w:szCs w:val="21"/>
                      <w:highlight w:val="none"/>
                      <w:vertAlign w:val="subscript"/>
                    </w:rPr>
                    <w:t>3</w:t>
                  </w:r>
                </w:p>
              </w:tc>
              <w:tc>
                <w:tcPr>
                  <w:tcW w:w="2178" w:type="pct"/>
                  <w:tcBorders>
                    <w:tl2br w:val="nil"/>
                    <w:tr2bl w:val="nil"/>
                  </w:tcBorders>
                  <w:noWrap w:val="0"/>
                  <w:vAlign w:val="center"/>
                </w:tcPr>
                <w:p w14:paraId="045C3D7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90%保证率日最大8h</w:t>
                  </w:r>
                  <w:r>
                    <w:rPr>
                      <w:rFonts w:hint="default" w:ascii="Times New Roman" w:hAnsi="Times New Roman" w:cs="Times New Roman"/>
                      <w:color w:val="auto"/>
                      <w:kern w:val="0"/>
                      <w:szCs w:val="21"/>
                      <w:highlight w:val="none"/>
                      <w:lang w:val="en-US" w:eastAsia="zh-CN"/>
                    </w:rPr>
                    <w:t>滑动</w:t>
                  </w:r>
                  <w:r>
                    <w:rPr>
                      <w:rFonts w:hint="default" w:ascii="Times New Roman" w:hAnsi="Times New Roman" w:cs="Times New Roman"/>
                      <w:color w:val="auto"/>
                      <w:kern w:val="0"/>
                      <w:szCs w:val="21"/>
                      <w:highlight w:val="none"/>
                    </w:rPr>
                    <w:t>平均浓度</w:t>
                  </w:r>
                </w:p>
              </w:tc>
              <w:tc>
                <w:tcPr>
                  <w:tcW w:w="672" w:type="pct"/>
                  <w:tcBorders>
                    <w:tl2br w:val="nil"/>
                    <w:tr2bl w:val="nil"/>
                  </w:tcBorders>
                  <w:noWrap w:val="0"/>
                  <w:vAlign w:val="center"/>
                </w:tcPr>
                <w:p w14:paraId="56AA7DF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eastAsia" w:ascii="Times New Roman" w:hAnsi="Times New Roman" w:eastAsia="宋体" w:cs="Times New Roman"/>
                      <w:i w:val="0"/>
                      <w:iCs w:val="0"/>
                      <w:caps w:val="0"/>
                      <w:color w:val="auto"/>
                      <w:spacing w:val="0"/>
                      <w:sz w:val="19"/>
                      <w:szCs w:val="19"/>
                      <w:shd w:val="clear" w:color="auto" w:fill="FFFFFF"/>
                      <w:lang w:val="en-US" w:eastAsia="zh-CN"/>
                    </w:rPr>
                    <w:t>190</w:t>
                  </w:r>
                  <w:r>
                    <w:rPr>
                      <w:rFonts w:hint="default" w:ascii="Times New Roman" w:hAnsi="Times New Roman" w:cs="Times New Roman"/>
                      <w:color w:val="auto"/>
                      <w:kern w:val="0"/>
                      <w:szCs w:val="21"/>
                      <w:highlight w:val="none"/>
                    </w:rPr>
                    <w:t>μg/m</w:t>
                  </w:r>
                  <w:r>
                    <w:rPr>
                      <w:rFonts w:hint="default" w:ascii="Times New Roman" w:hAnsi="Times New Roman" w:cs="Times New Roman"/>
                      <w:color w:val="auto"/>
                      <w:kern w:val="0"/>
                      <w:szCs w:val="21"/>
                      <w:highlight w:val="none"/>
                      <w:vertAlign w:val="superscript"/>
                    </w:rPr>
                    <w:t>3</w:t>
                  </w:r>
                </w:p>
              </w:tc>
              <w:tc>
                <w:tcPr>
                  <w:tcW w:w="672" w:type="pct"/>
                  <w:tcBorders>
                    <w:tl2br w:val="nil"/>
                    <w:tr2bl w:val="nil"/>
                  </w:tcBorders>
                  <w:noWrap w:val="0"/>
                  <w:vAlign w:val="center"/>
                </w:tcPr>
                <w:p w14:paraId="76F493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160</w:t>
                  </w:r>
                  <w:r>
                    <w:rPr>
                      <w:rFonts w:hint="default"/>
                      <w:kern w:val="0"/>
                      <w:szCs w:val="21"/>
                    </w:rPr>
                    <w:t>μg/m</w:t>
                  </w:r>
                  <w:r>
                    <w:rPr>
                      <w:rFonts w:hint="default"/>
                      <w:kern w:val="0"/>
                      <w:szCs w:val="21"/>
                      <w:vertAlign w:val="superscript"/>
                    </w:rPr>
                    <w:t>3</w:t>
                  </w:r>
                </w:p>
              </w:tc>
              <w:tc>
                <w:tcPr>
                  <w:tcW w:w="672" w:type="pct"/>
                  <w:tcBorders>
                    <w:tl2br w:val="nil"/>
                    <w:tr2bl w:val="nil"/>
                  </w:tcBorders>
                  <w:noWrap w:val="0"/>
                  <w:vAlign w:val="center"/>
                </w:tcPr>
                <w:p w14:paraId="414735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bCs/>
                      <w:kern w:val="0"/>
                      <w:szCs w:val="21"/>
                    </w:rPr>
                    <w:t>超标</w:t>
                  </w:r>
                </w:p>
              </w:tc>
            </w:tr>
          </w:tbl>
          <w:p w14:paraId="66D9BF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color w:val="000000"/>
                <w:kern w:val="0"/>
                <w:sz w:val="24"/>
                <w:lang w:bidi="ar"/>
              </w:rPr>
              <w:t>根据上述内容，SO</w:t>
            </w:r>
            <w:r>
              <w:rPr>
                <w:rFonts w:hint="default"/>
                <w:color w:val="000000"/>
                <w:kern w:val="0"/>
                <w:sz w:val="24"/>
                <w:vertAlign w:val="subscript"/>
                <w:lang w:bidi="ar"/>
              </w:rPr>
              <w:t>2</w:t>
            </w:r>
            <w:r>
              <w:rPr>
                <w:rFonts w:hint="default"/>
                <w:color w:val="000000"/>
                <w:kern w:val="0"/>
                <w:sz w:val="24"/>
                <w:lang w:bidi="ar"/>
              </w:rPr>
              <w:t>、NO</w:t>
            </w:r>
            <w:r>
              <w:rPr>
                <w:rFonts w:hint="default"/>
                <w:color w:val="000000"/>
                <w:kern w:val="0"/>
                <w:sz w:val="24"/>
                <w:vertAlign w:val="subscript"/>
                <w:lang w:bidi="ar"/>
              </w:rPr>
              <w:t>2</w:t>
            </w:r>
            <w:r>
              <w:rPr>
                <w:rFonts w:hint="default"/>
                <w:color w:val="000000"/>
                <w:kern w:val="0"/>
                <w:sz w:val="24"/>
                <w:lang w:bidi="ar"/>
              </w:rPr>
              <w:t>、</w:t>
            </w:r>
            <w:r>
              <w:rPr>
                <w:rFonts w:hint="eastAsia"/>
                <w:color w:val="000000"/>
                <w:kern w:val="0"/>
                <w:sz w:val="24"/>
                <w:lang w:bidi="ar"/>
              </w:rPr>
              <w:t>CO</w:t>
            </w:r>
            <w:r>
              <w:rPr>
                <w:rFonts w:hint="eastAsia"/>
                <w:color w:val="000000"/>
                <w:kern w:val="0"/>
                <w:sz w:val="24"/>
                <w:lang w:val="en-US" w:eastAsia="zh-CN" w:bidi="ar"/>
              </w:rPr>
              <w:t>现状浓度值满足</w:t>
            </w:r>
            <w:r>
              <w:rPr>
                <w:rFonts w:hint="default"/>
                <w:color w:val="000000"/>
                <w:kern w:val="0"/>
                <w:sz w:val="24"/>
                <w:lang w:bidi="ar"/>
              </w:rPr>
              <w:t>《环境空气质量标准》（GB3095-20</w:t>
            </w:r>
            <w:r>
              <w:rPr>
                <w:rFonts w:hint="eastAsia"/>
                <w:color w:val="000000"/>
                <w:kern w:val="0"/>
                <w:sz w:val="24"/>
                <w:lang w:val="en-US" w:eastAsia="zh-CN" w:bidi="ar"/>
              </w:rPr>
              <w:t>26</w:t>
            </w:r>
            <w:r>
              <w:rPr>
                <w:rFonts w:hint="default"/>
                <w:color w:val="000000"/>
                <w:kern w:val="0"/>
                <w:sz w:val="24"/>
                <w:lang w:bidi="ar"/>
              </w:rPr>
              <w:t>）</w:t>
            </w:r>
            <w:r>
              <w:rPr>
                <w:rFonts w:hint="eastAsia"/>
                <w:color w:val="000000"/>
                <w:kern w:val="0"/>
                <w:sz w:val="24"/>
                <w:lang w:val="en-US" w:eastAsia="zh-CN" w:bidi="ar"/>
              </w:rPr>
              <w:t>中过渡阶段二级标准限值，</w:t>
            </w:r>
            <w:r>
              <w:rPr>
                <w:rFonts w:hint="default"/>
                <w:color w:val="000000"/>
                <w:kern w:val="0"/>
                <w:sz w:val="24"/>
                <w:lang w:bidi="ar"/>
              </w:rPr>
              <w:t>PM</w:t>
            </w:r>
            <w:r>
              <w:rPr>
                <w:rFonts w:hint="eastAsia"/>
                <w:color w:val="000000"/>
                <w:kern w:val="0"/>
                <w:sz w:val="24"/>
                <w:vertAlign w:val="subscript"/>
                <w:lang w:val="en-US" w:eastAsia="zh-CN" w:bidi="ar"/>
              </w:rPr>
              <w:t>10</w:t>
            </w:r>
            <w:r>
              <w:rPr>
                <w:rFonts w:hint="eastAsia"/>
                <w:color w:val="000000"/>
                <w:kern w:val="0"/>
                <w:sz w:val="24"/>
                <w:lang w:bidi="ar"/>
              </w:rPr>
              <w:t>、</w:t>
            </w:r>
            <w:r>
              <w:rPr>
                <w:rFonts w:hint="default"/>
                <w:color w:val="000000"/>
                <w:kern w:val="0"/>
                <w:sz w:val="24"/>
                <w:lang w:bidi="ar"/>
              </w:rPr>
              <w:t>PM</w:t>
            </w:r>
            <w:r>
              <w:rPr>
                <w:rFonts w:hint="eastAsia"/>
                <w:color w:val="000000"/>
                <w:kern w:val="0"/>
                <w:sz w:val="24"/>
                <w:vertAlign w:val="subscript"/>
                <w:lang w:bidi="ar"/>
              </w:rPr>
              <w:t>2.5</w:t>
            </w:r>
            <w:r>
              <w:rPr>
                <w:rFonts w:hint="eastAsia"/>
                <w:color w:val="000000"/>
                <w:kern w:val="0"/>
                <w:sz w:val="24"/>
                <w:lang w:bidi="ar"/>
              </w:rPr>
              <w:t>、</w:t>
            </w:r>
            <w:r>
              <w:rPr>
                <w:rFonts w:hint="default"/>
                <w:color w:val="000000"/>
                <w:kern w:val="0"/>
                <w:sz w:val="24"/>
                <w:lang w:bidi="ar"/>
              </w:rPr>
              <w:t>O</w:t>
            </w:r>
            <w:r>
              <w:rPr>
                <w:rFonts w:hint="default"/>
                <w:color w:val="000000"/>
                <w:kern w:val="0"/>
                <w:sz w:val="24"/>
                <w:vertAlign w:val="subscript"/>
                <w:lang w:bidi="ar"/>
              </w:rPr>
              <w:t>3</w:t>
            </w:r>
            <w:r>
              <w:rPr>
                <w:rFonts w:hint="eastAsia"/>
                <w:color w:val="000000"/>
                <w:kern w:val="0"/>
                <w:sz w:val="24"/>
                <w:lang w:val="en-US" w:eastAsia="zh-CN" w:bidi="ar"/>
              </w:rPr>
              <w:t>现状浓度值</w:t>
            </w:r>
            <w:r>
              <w:rPr>
                <w:rFonts w:hint="default"/>
                <w:color w:val="000000"/>
                <w:kern w:val="0"/>
                <w:sz w:val="24"/>
                <w:lang w:bidi="ar"/>
              </w:rPr>
              <w:t>不能满足《环境空气质量标准》（GB3095-20</w:t>
            </w:r>
            <w:r>
              <w:rPr>
                <w:rFonts w:hint="eastAsia"/>
                <w:color w:val="000000"/>
                <w:kern w:val="0"/>
                <w:sz w:val="24"/>
                <w:lang w:val="en-US" w:eastAsia="zh-CN" w:bidi="ar"/>
              </w:rPr>
              <w:t>26</w:t>
            </w:r>
            <w:r>
              <w:rPr>
                <w:rFonts w:hint="default"/>
                <w:color w:val="000000"/>
                <w:kern w:val="0"/>
                <w:sz w:val="24"/>
                <w:lang w:bidi="ar"/>
              </w:rPr>
              <w:t>）</w:t>
            </w:r>
            <w:r>
              <w:rPr>
                <w:rFonts w:hint="eastAsia"/>
                <w:color w:val="000000"/>
                <w:kern w:val="0"/>
                <w:sz w:val="24"/>
                <w:lang w:val="en-US" w:eastAsia="zh-CN" w:bidi="ar"/>
              </w:rPr>
              <w:t>中过渡阶段二级标准限值</w:t>
            </w:r>
            <w:r>
              <w:rPr>
                <w:rFonts w:hint="default" w:ascii="Times New Roman" w:hAnsi="Times New Roman" w:eastAsia="宋体" w:cs="Times New Roman"/>
                <w:color w:val="000000"/>
                <w:kern w:val="0"/>
                <w:sz w:val="24"/>
                <w:szCs w:val="24"/>
                <w:highlight w:val="none"/>
                <w:lang w:val="en-US" w:eastAsia="zh-CN" w:bidi="ar"/>
              </w:rPr>
              <w:t>，超标主要与工业源、交通源、生活源污染有关。根据《环境影响评价技术导则大气环境》（HJ2.2-2018）：“城市环境空气质量达标情况评价指标为SO</w:t>
            </w:r>
            <w:r>
              <w:rPr>
                <w:rFonts w:hint="default" w:ascii="Times New Roman" w:hAnsi="Times New Roman" w:eastAsia="宋体" w:cs="Times New Roman"/>
                <w:color w:val="000000"/>
                <w:kern w:val="0"/>
                <w:sz w:val="24"/>
                <w:szCs w:val="24"/>
                <w:highlight w:val="none"/>
                <w:vertAlign w:val="subscript"/>
                <w:lang w:val="en-US" w:eastAsia="zh-CN" w:bidi="ar"/>
              </w:rPr>
              <w:t>2</w:t>
            </w:r>
            <w:r>
              <w:rPr>
                <w:rFonts w:hint="default" w:ascii="Times New Roman" w:hAnsi="Times New Roman" w:eastAsia="宋体" w:cs="Times New Roman"/>
                <w:color w:val="000000"/>
                <w:kern w:val="0"/>
                <w:sz w:val="24"/>
                <w:szCs w:val="24"/>
                <w:highlight w:val="none"/>
                <w:lang w:val="en-US" w:eastAsia="zh-CN" w:bidi="ar"/>
              </w:rPr>
              <w:t>、NO</w:t>
            </w:r>
            <w:r>
              <w:rPr>
                <w:rFonts w:hint="default" w:ascii="Times New Roman" w:hAnsi="Times New Roman" w:eastAsia="宋体" w:cs="Times New Roman"/>
                <w:color w:val="000000"/>
                <w:kern w:val="0"/>
                <w:sz w:val="24"/>
                <w:szCs w:val="24"/>
                <w:highlight w:val="none"/>
                <w:vertAlign w:val="subscript"/>
                <w:lang w:val="en-US" w:eastAsia="zh-CN" w:bidi="ar"/>
              </w:rPr>
              <w:t>2</w:t>
            </w:r>
            <w:r>
              <w:rPr>
                <w:rFonts w:hint="default" w:ascii="Times New Roman" w:hAnsi="Times New Roman" w:eastAsia="宋体" w:cs="Times New Roman"/>
                <w:color w:val="000000"/>
                <w:kern w:val="0"/>
                <w:sz w:val="24"/>
                <w:szCs w:val="24"/>
                <w:highlight w:val="none"/>
                <w:lang w:val="en-US" w:eastAsia="zh-CN" w:bidi="ar"/>
              </w:rPr>
              <w:t>、PM</w:t>
            </w:r>
            <w:r>
              <w:rPr>
                <w:rFonts w:hint="default" w:ascii="Times New Roman" w:hAnsi="Times New Roman" w:eastAsia="宋体" w:cs="Times New Roman"/>
                <w:color w:val="000000"/>
                <w:kern w:val="0"/>
                <w:sz w:val="24"/>
                <w:szCs w:val="24"/>
                <w:highlight w:val="none"/>
                <w:vertAlign w:val="subscript"/>
                <w:lang w:val="en-US" w:eastAsia="zh-CN" w:bidi="ar"/>
              </w:rPr>
              <w:t>10</w:t>
            </w:r>
            <w:r>
              <w:rPr>
                <w:rFonts w:hint="default" w:ascii="Times New Roman" w:hAnsi="Times New Roman" w:eastAsia="宋体" w:cs="Times New Roman"/>
                <w:color w:val="000000"/>
                <w:kern w:val="0"/>
                <w:sz w:val="24"/>
                <w:szCs w:val="24"/>
                <w:highlight w:val="none"/>
                <w:lang w:val="en-US" w:eastAsia="zh-CN" w:bidi="ar"/>
              </w:rPr>
              <w:t>、PM</w:t>
            </w:r>
            <w:r>
              <w:rPr>
                <w:rFonts w:hint="default" w:ascii="Times New Roman" w:hAnsi="Times New Roman" w:eastAsia="宋体" w:cs="Times New Roman"/>
                <w:color w:val="000000"/>
                <w:kern w:val="0"/>
                <w:sz w:val="24"/>
                <w:szCs w:val="24"/>
                <w:highlight w:val="none"/>
                <w:vertAlign w:val="subscript"/>
                <w:lang w:val="en-US" w:eastAsia="zh-CN" w:bidi="ar"/>
              </w:rPr>
              <w:t>2.5</w:t>
            </w:r>
            <w:r>
              <w:rPr>
                <w:rFonts w:hint="default" w:ascii="Times New Roman" w:hAnsi="Times New Roman" w:eastAsia="宋体" w:cs="Times New Roman"/>
                <w:color w:val="000000"/>
                <w:kern w:val="0"/>
                <w:sz w:val="24"/>
                <w:szCs w:val="24"/>
                <w:highlight w:val="none"/>
                <w:lang w:val="en-US" w:eastAsia="zh-CN" w:bidi="ar"/>
              </w:rPr>
              <w:t>、CO和O</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，六项污染物全部达标即为城市环境空气质量达标”。</w:t>
            </w:r>
          </w:p>
          <w:p w14:paraId="6C393C82">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综上分析，</w:t>
            </w:r>
            <w:r>
              <w:rPr>
                <w:rFonts w:hint="default" w:ascii="Times New Roman" w:hAnsi="Times New Roman" w:eastAsia="宋体" w:cs="Times New Roman"/>
                <w:color w:val="000000"/>
                <w:sz w:val="24"/>
                <w:szCs w:val="24"/>
                <w:highlight w:val="none"/>
              </w:rPr>
              <w:t>污染物没有全部达标，因此本项目所在区域的环境空气质量属于不达标区。</w:t>
            </w:r>
          </w:p>
          <w:p w14:paraId="7571DD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根据《淄博市“十四五”生态环境保护规划》要求，以持续降低PM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浓度，不断提高空气质量优良天数比例，逐步消除重污染天气为目标任务，实施产业结构升级、清洁能源替代、运输结构优化、扬尘精细管控、VOCs深度治理、氮氧化物深度治理“六大减排工程”，全面推进重点行业、重点领域的全流程污染治理，治理后环境空气质量将得到改善。</w:t>
            </w:r>
          </w:p>
          <w:p w14:paraId="3BCD55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highlight w:val="none"/>
              </w:rPr>
              <w:t>（2）地表水：</w:t>
            </w:r>
            <w:r>
              <w:rPr>
                <w:rFonts w:hint="default" w:ascii="Times New Roman" w:hAnsi="Times New Roman" w:cs="Times New Roman"/>
                <w:color w:val="auto"/>
                <w:sz w:val="24"/>
                <w:szCs w:val="24"/>
                <w:highlight w:val="none"/>
              </w:rPr>
              <w:t>该区域主要地表河流为</w:t>
            </w:r>
            <w:r>
              <w:rPr>
                <w:rFonts w:hint="eastAsia" w:cs="Times New Roman"/>
                <w:color w:val="auto"/>
                <w:sz w:val="24"/>
                <w:szCs w:val="24"/>
                <w:highlight w:val="none"/>
                <w:lang w:eastAsia="zh-CN"/>
              </w:rPr>
              <w:t>漫泗河（孝妇河支流）</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本项目</w:t>
            </w:r>
            <w:r>
              <w:rPr>
                <w:rFonts w:hint="eastAsia" w:cs="Times New Roman"/>
                <w:color w:val="auto"/>
                <w:sz w:val="24"/>
                <w:szCs w:val="24"/>
                <w:highlight w:val="none"/>
                <w:lang w:val="en-US" w:eastAsia="zh-CN"/>
              </w:rPr>
              <w:t>厂区东</w:t>
            </w:r>
            <w:r>
              <w:rPr>
                <w:rFonts w:hint="default" w:ascii="Times New Roman" w:hAnsi="Times New Roman" w:cs="Times New Roman"/>
                <w:color w:val="auto"/>
                <w:sz w:val="24"/>
                <w:szCs w:val="24"/>
                <w:highlight w:val="none"/>
                <w:lang w:val="en-US" w:eastAsia="zh-CN"/>
              </w:rPr>
              <w:t>侧距离</w:t>
            </w:r>
            <w:r>
              <w:rPr>
                <w:rFonts w:hint="eastAsia" w:cs="Times New Roman"/>
                <w:color w:val="auto"/>
                <w:sz w:val="24"/>
                <w:szCs w:val="24"/>
                <w:highlight w:val="none"/>
                <w:lang w:val="en-US" w:eastAsia="zh-CN"/>
              </w:rPr>
              <w:t>漫泗河（孝妇河支流）</w:t>
            </w:r>
            <w:r>
              <w:rPr>
                <w:rFonts w:hint="default" w:ascii="Times New Roman" w:hAnsi="Times New Roman" w:cs="Times New Roman"/>
                <w:color w:val="auto"/>
                <w:sz w:val="24"/>
                <w:szCs w:val="24"/>
                <w:highlight w:val="none"/>
                <w:lang w:val="en-US" w:eastAsia="zh-CN"/>
              </w:rPr>
              <w:t>约</w:t>
            </w:r>
            <w:r>
              <w:rPr>
                <w:rFonts w:hint="eastAsia" w:cs="Times New Roman"/>
                <w:color w:val="auto"/>
                <w:sz w:val="24"/>
                <w:szCs w:val="24"/>
                <w:highlight w:val="none"/>
                <w:lang w:val="en-US" w:eastAsia="zh-CN"/>
              </w:rPr>
              <w:t>85</w:t>
            </w:r>
            <w:r>
              <w:rPr>
                <w:rFonts w:hint="default" w:ascii="Times New Roman" w:hAnsi="Times New Roman" w:cs="Times New Roman"/>
                <w:color w:val="auto"/>
                <w:sz w:val="24"/>
                <w:szCs w:val="24"/>
                <w:highlight w:val="none"/>
                <w:lang w:val="en-US" w:eastAsia="zh-CN"/>
              </w:rPr>
              <w:t>米。</w:t>
            </w:r>
            <w:r>
              <w:rPr>
                <w:rFonts w:hint="default" w:ascii="Times New Roman" w:hAnsi="Times New Roman" w:cs="Times New Roman"/>
                <w:color w:val="auto"/>
                <w:sz w:val="24"/>
                <w:szCs w:val="24"/>
                <w:highlight w:val="none"/>
              </w:rPr>
              <w:t>根据淄博市生态环境局202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日发布的《2024年1</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月全市地表水环境质量状况》，</w:t>
            </w:r>
            <w:r>
              <w:rPr>
                <w:rFonts w:hint="default" w:ascii="Times New Roman" w:hAnsi="Times New Roman" w:eastAsia="宋体" w:cs="Times New Roman"/>
                <w:color w:val="auto"/>
                <w:sz w:val="24"/>
                <w:szCs w:val="24"/>
                <w:highlight w:val="none"/>
              </w:rPr>
              <w:t>南外环断面</w:t>
            </w:r>
            <w:r>
              <w:rPr>
                <w:rFonts w:hint="default" w:ascii="Times New Roman" w:hAnsi="Times New Roman" w:eastAsia="宋体" w:cs="Times New Roman"/>
                <w:bCs/>
                <w:color w:val="auto"/>
                <w:sz w:val="24"/>
                <w:highlight w:val="none"/>
                <w:lang w:val="zh-CN"/>
              </w:rPr>
              <w:t>水质</w:t>
            </w:r>
            <w:r>
              <w:rPr>
                <w:rFonts w:hint="default" w:ascii="Times New Roman" w:hAnsi="Times New Roman" w:eastAsia="宋体" w:cs="Times New Roman"/>
                <w:bCs/>
                <w:color w:val="auto"/>
                <w:sz w:val="24"/>
                <w:highlight w:val="none"/>
                <w:lang w:val="en-US" w:eastAsia="zh-CN"/>
              </w:rPr>
              <w:t>不能</w:t>
            </w:r>
            <w:r>
              <w:rPr>
                <w:rFonts w:hint="default" w:ascii="Times New Roman" w:hAnsi="Times New Roman" w:eastAsia="宋体" w:cs="Times New Roman"/>
                <w:bCs/>
                <w:color w:val="auto"/>
                <w:sz w:val="24"/>
                <w:highlight w:val="none"/>
                <w:lang w:val="zh-CN"/>
              </w:rPr>
              <w:t>满足《地表水环境质量标准》（GB3838-2002）</w:t>
            </w:r>
            <w:r>
              <w:rPr>
                <w:rFonts w:hint="default" w:ascii="Times New Roman" w:hAnsi="Times New Roman" w:eastAsia="宋体" w:cs="Times New Roman"/>
                <w:bCs/>
                <w:color w:val="auto"/>
                <w:sz w:val="24"/>
                <w:highlight w:val="none"/>
                <w:lang w:val="en-US" w:eastAsia="zh-CN"/>
              </w:rPr>
              <w:t>V</w:t>
            </w:r>
            <w:r>
              <w:rPr>
                <w:rFonts w:hint="default" w:ascii="Times New Roman" w:hAnsi="Times New Roman" w:eastAsia="宋体" w:cs="Times New Roman"/>
                <w:bCs/>
                <w:color w:val="auto"/>
                <w:sz w:val="24"/>
                <w:highlight w:val="none"/>
                <w:lang w:val="zh-CN"/>
              </w:rPr>
              <w:t>类标准。</w:t>
            </w:r>
          </w:p>
          <w:p w14:paraId="3317DC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（3）声环境：项目厂界外周边50米范围内不存在声环境保护目标。根据区域例行监测资料，项目区域噪声符合《声环境质量标准》（GB3096-2008）</w:t>
            </w:r>
            <w:r>
              <w:rPr>
                <w:rFonts w:hint="eastAsia" w:cs="Times New Roman"/>
                <w:color w:val="auto"/>
                <w:kern w:val="0"/>
                <w:sz w:val="24"/>
                <w:highlight w:val="none"/>
                <w:lang w:val="en-US" w:eastAsia="zh-CN"/>
              </w:rPr>
              <w:t>2类</w:t>
            </w:r>
            <w:r>
              <w:rPr>
                <w:rFonts w:hint="default" w:ascii="Times New Roman" w:hAnsi="Times New Roman" w:cs="Times New Roman"/>
                <w:color w:val="auto"/>
                <w:kern w:val="0"/>
                <w:sz w:val="24"/>
                <w:highlight w:val="none"/>
              </w:rPr>
              <w:t>区标准的要求，声环境质量良好。</w:t>
            </w:r>
          </w:p>
          <w:p w14:paraId="1E0040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（4）生态环境：</w:t>
            </w:r>
          </w:p>
          <w:p w14:paraId="6F9FDE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项目用地范围内无珍稀动植物物种，生态环境质量一般。</w:t>
            </w:r>
          </w:p>
          <w:p w14:paraId="6F9372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（5）电磁辐射：</w:t>
            </w:r>
          </w:p>
          <w:p w14:paraId="246D87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本项目不涉及电磁辐射，不需对项目电磁辐射现状开展监测与评价。</w:t>
            </w:r>
          </w:p>
          <w:p w14:paraId="54B82F4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szCs w:val="24"/>
                <w:lang w:val="en-US" w:eastAsia="zh-CN" w:bidi="ar-SA"/>
              </w:rPr>
              <w:t>（6）</w:t>
            </w:r>
            <w:r>
              <w:rPr>
                <w:rFonts w:hint="default" w:ascii="Times New Roman" w:hAnsi="Times New Roman" w:cs="Times New Roman"/>
                <w:color w:val="auto"/>
                <w:kern w:val="0"/>
                <w:sz w:val="24"/>
                <w:highlight w:val="none"/>
              </w:rPr>
              <w:t xml:space="preserve">地下水、土壤环境： </w:t>
            </w:r>
          </w:p>
          <w:p w14:paraId="0E3C7E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项目厂房地面采取硬化</w:t>
            </w:r>
            <w:r>
              <w:rPr>
                <w:rFonts w:hint="default" w:ascii="Times New Roman" w:hAnsi="Times New Roman" w:cs="Times New Roman"/>
                <w:color w:val="auto"/>
                <w:sz w:val="24"/>
                <w:highlight w:val="none"/>
                <w:lang w:eastAsia="zh-CN"/>
              </w:rPr>
              <w:t>防渗</w:t>
            </w:r>
            <w:r>
              <w:rPr>
                <w:rFonts w:hint="default" w:ascii="Times New Roman" w:hAnsi="Times New Roman" w:cs="Times New Roman"/>
                <w:color w:val="auto"/>
                <w:sz w:val="24"/>
                <w:highlight w:val="none"/>
              </w:rPr>
              <w:t>措施。项目正常运营情况下，不存在污染土壤及地下水环境的途径，</w:t>
            </w:r>
            <w:r>
              <w:rPr>
                <w:rFonts w:hint="default" w:ascii="Times New Roman" w:hAnsi="Times New Roman" w:cs="Times New Roman"/>
                <w:color w:val="auto"/>
                <w:sz w:val="24"/>
                <w:szCs w:val="24"/>
                <w:highlight w:val="none"/>
                <w:lang w:eastAsia="zh-CN"/>
              </w:rPr>
              <w:t>根据《建设项目环境影响报告表编制技术指南（污染影响类）（试行）》（环办环评〔2020〕33号），原则上可</w:t>
            </w:r>
            <w:r>
              <w:rPr>
                <w:rFonts w:hint="default" w:ascii="Times New Roman" w:hAnsi="Times New Roman" w:cs="Times New Roman"/>
                <w:color w:val="auto"/>
                <w:sz w:val="24"/>
                <w:highlight w:val="none"/>
              </w:rPr>
              <w:t>不开展地下水、土壤环境质量现状调查</w:t>
            </w:r>
            <w:r>
              <w:rPr>
                <w:rFonts w:hint="default" w:ascii="Times New Roman" w:hAnsi="Times New Roman" w:cs="Times New Roman"/>
                <w:color w:val="auto"/>
                <w:sz w:val="24"/>
                <w:highlight w:val="none"/>
                <w:lang w:eastAsia="zh-CN"/>
              </w:rPr>
              <w:t>。</w:t>
            </w:r>
          </w:p>
        </w:tc>
      </w:tr>
      <w:tr w14:paraId="3C06A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045AE2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环境</w:t>
            </w:r>
          </w:p>
          <w:p w14:paraId="668068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保护</w:t>
            </w:r>
          </w:p>
          <w:p w14:paraId="07DCDA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highlight w:val="none"/>
              </w:rPr>
              <w:t>目标</w:t>
            </w:r>
          </w:p>
        </w:tc>
        <w:tc>
          <w:tcPr>
            <w:tcW w:w="8190" w:type="dxa"/>
            <w:noWrap w:val="0"/>
            <w:vAlign w:val="center"/>
          </w:tcPr>
          <w:p w14:paraId="1A975D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表3-2 主要环境保护目标</w:t>
            </w:r>
          </w:p>
          <w:tbl>
            <w:tblPr>
              <w:tblStyle w:val="36"/>
              <w:tblW w:w="498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88"/>
              <w:gridCol w:w="1009"/>
              <w:gridCol w:w="1377"/>
              <w:gridCol w:w="659"/>
              <w:gridCol w:w="1048"/>
              <w:gridCol w:w="1282"/>
              <w:gridCol w:w="2968"/>
            </w:tblGrid>
            <w:tr w14:paraId="6F6622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tcBorders>
                    <w:right w:val="single" w:color="auto" w:sz="4" w:space="0"/>
                  </w:tcBorders>
                  <w:noWrap w:val="0"/>
                  <w:vAlign w:val="center"/>
                </w:tcPr>
                <w:p w14:paraId="3E8E1CA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序号</w:t>
                  </w:r>
                </w:p>
              </w:tc>
              <w:tc>
                <w:tcPr>
                  <w:tcW w:w="1009" w:type="dxa"/>
                  <w:tcBorders>
                    <w:left w:val="single" w:color="auto" w:sz="4" w:space="0"/>
                  </w:tcBorders>
                  <w:noWrap w:val="0"/>
                  <w:vAlign w:val="center"/>
                </w:tcPr>
                <w:p w14:paraId="5BF360A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类别</w:t>
                  </w:r>
                </w:p>
              </w:tc>
              <w:tc>
                <w:tcPr>
                  <w:tcW w:w="1377" w:type="dxa"/>
                  <w:noWrap w:val="0"/>
                  <w:vAlign w:val="center"/>
                </w:tcPr>
                <w:p w14:paraId="4E6BCB1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环境保护</w:t>
                  </w:r>
                </w:p>
                <w:p w14:paraId="7E8CE89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目标</w:t>
                  </w:r>
                </w:p>
              </w:tc>
              <w:tc>
                <w:tcPr>
                  <w:tcW w:w="659" w:type="dxa"/>
                  <w:noWrap w:val="0"/>
                  <w:vAlign w:val="center"/>
                </w:tcPr>
                <w:p w14:paraId="16A3E0E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方位</w:t>
                  </w:r>
                </w:p>
              </w:tc>
              <w:tc>
                <w:tcPr>
                  <w:tcW w:w="1048" w:type="dxa"/>
                  <w:noWrap w:val="0"/>
                  <w:vAlign w:val="center"/>
                </w:tcPr>
                <w:p w14:paraId="10668E6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保护对象</w:t>
                  </w:r>
                </w:p>
              </w:tc>
              <w:tc>
                <w:tcPr>
                  <w:tcW w:w="1282" w:type="dxa"/>
                  <w:noWrap w:val="0"/>
                  <w:vAlign w:val="center"/>
                </w:tcPr>
                <w:p w14:paraId="0669845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距厂界距离（m）</w:t>
                  </w:r>
                </w:p>
              </w:tc>
              <w:tc>
                <w:tcPr>
                  <w:tcW w:w="2968" w:type="dxa"/>
                  <w:noWrap w:val="0"/>
                  <w:vAlign w:val="center"/>
                </w:tcPr>
                <w:p w14:paraId="4172B2A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highlight w:val="none"/>
                    </w:rPr>
                    <w:t>环境保护级别</w:t>
                  </w:r>
                </w:p>
              </w:tc>
            </w:tr>
            <w:tr w14:paraId="434D63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vMerge w:val="restart"/>
                  <w:tcBorders>
                    <w:right w:val="single" w:color="auto" w:sz="4" w:space="0"/>
                  </w:tcBorders>
                  <w:noWrap w:val="0"/>
                  <w:vAlign w:val="center"/>
                </w:tcPr>
                <w:p w14:paraId="5729DB6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1</w:t>
                  </w:r>
                </w:p>
              </w:tc>
              <w:tc>
                <w:tcPr>
                  <w:tcW w:w="1009" w:type="dxa"/>
                  <w:vMerge w:val="restart"/>
                  <w:tcBorders>
                    <w:left w:val="single" w:color="auto" w:sz="4" w:space="0"/>
                  </w:tcBorders>
                  <w:noWrap w:val="0"/>
                  <w:vAlign w:val="center"/>
                </w:tcPr>
                <w:p w14:paraId="3EA5B78F">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大气</w:t>
                  </w:r>
                </w:p>
              </w:tc>
              <w:tc>
                <w:tcPr>
                  <w:tcW w:w="1377" w:type="dxa"/>
                  <w:tcBorders>
                    <w:bottom w:val="single" w:color="auto" w:sz="4" w:space="0"/>
                  </w:tcBorders>
                  <w:noWrap w:val="0"/>
                  <w:vAlign w:val="center"/>
                </w:tcPr>
                <w:p w14:paraId="17E34C07">
                  <w:pPr>
                    <w:pStyle w:val="78"/>
                    <w:keepNext w:val="0"/>
                    <w:keepLines w:val="0"/>
                    <w:pageBreakBefore w:val="0"/>
                    <w:suppressLineNumbers w:val="0"/>
                    <w:kinsoku/>
                    <w:wordWrap/>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洪五社区</w:t>
                  </w:r>
                </w:p>
              </w:tc>
              <w:tc>
                <w:tcPr>
                  <w:tcW w:w="659" w:type="dxa"/>
                  <w:tcBorders>
                    <w:bottom w:val="single" w:color="auto" w:sz="4" w:space="0"/>
                  </w:tcBorders>
                  <w:noWrap w:val="0"/>
                  <w:vAlign w:val="center"/>
                </w:tcPr>
                <w:p w14:paraId="05DB5F1F">
                  <w:pPr>
                    <w:keepNext w:val="0"/>
                    <w:keepLines w:val="0"/>
                    <w:suppressLineNumbers w:val="0"/>
                    <w:tabs>
                      <w:tab w:val="left" w:pos="1680"/>
                    </w:tabs>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Cs w:val="21"/>
                      <w:highlight w:val="none"/>
                      <w:lang w:val="en-US" w:eastAsia="zh-CN"/>
                    </w:rPr>
                    <w:t>北</w:t>
                  </w:r>
                </w:p>
              </w:tc>
              <w:tc>
                <w:tcPr>
                  <w:tcW w:w="1048" w:type="dxa"/>
                  <w:tcBorders>
                    <w:bottom w:val="single" w:color="auto" w:sz="4" w:space="0"/>
                  </w:tcBorders>
                  <w:noWrap w:val="0"/>
                  <w:vAlign w:val="center"/>
                </w:tcPr>
                <w:p w14:paraId="2394B2A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居民区</w:t>
                  </w:r>
                </w:p>
              </w:tc>
              <w:tc>
                <w:tcPr>
                  <w:tcW w:w="1282" w:type="dxa"/>
                  <w:tcBorders>
                    <w:bottom w:val="single" w:color="auto" w:sz="4" w:space="0"/>
                  </w:tcBorders>
                  <w:noWrap w:val="0"/>
                  <w:vAlign w:val="center"/>
                </w:tcPr>
                <w:p w14:paraId="4EB99D63">
                  <w:pPr>
                    <w:keepNext w:val="0"/>
                    <w:keepLines w:val="0"/>
                    <w:suppressLineNumbers w:val="0"/>
                    <w:tabs>
                      <w:tab w:val="left" w:pos="1680"/>
                    </w:tabs>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szCs w:val="21"/>
                      <w:highlight w:val="none"/>
                      <w:lang w:val="en-US" w:eastAsia="zh-CN"/>
                    </w:rPr>
                    <w:t>160</w:t>
                  </w:r>
                </w:p>
              </w:tc>
              <w:tc>
                <w:tcPr>
                  <w:tcW w:w="2968" w:type="dxa"/>
                  <w:vMerge w:val="restart"/>
                  <w:noWrap w:val="0"/>
                  <w:vAlign w:val="center"/>
                </w:tcPr>
                <w:p w14:paraId="5604E42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《环境空气质量标准》（GB</w:t>
                  </w:r>
                  <w:r>
                    <w:rPr>
                      <w:rFonts w:hint="eastAsia" w:cs="Times New Roman"/>
                      <w:color w:val="auto"/>
                      <w:highlight w:val="none"/>
                      <w:lang w:eastAsia="zh-CN"/>
                    </w:rPr>
                    <w:t>3095-2026</w:t>
                  </w:r>
                  <w:r>
                    <w:rPr>
                      <w:rFonts w:hint="default" w:ascii="Times New Roman" w:hAnsi="Times New Roman" w:cs="Times New Roman"/>
                      <w:color w:val="auto"/>
                      <w:highlight w:val="none"/>
                    </w:rPr>
                    <w:t>）</w:t>
                  </w:r>
                  <w:r>
                    <w:rPr>
                      <w:rFonts w:hint="eastAsia" w:cs="Times New Roman"/>
                      <w:color w:val="auto"/>
                      <w:highlight w:val="none"/>
                      <w:lang w:eastAsia="zh-CN"/>
                    </w:rPr>
                    <w:t>过渡阶段</w:t>
                  </w:r>
                  <w:r>
                    <w:rPr>
                      <w:rFonts w:hint="default" w:ascii="Times New Roman" w:hAnsi="Times New Roman" w:cs="Times New Roman"/>
                      <w:color w:val="auto"/>
                      <w:highlight w:val="none"/>
                    </w:rPr>
                    <w:t>二级标准</w:t>
                  </w:r>
                </w:p>
              </w:tc>
            </w:tr>
            <w:tr w14:paraId="07234D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vMerge w:val="continue"/>
                  <w:tcBorders>
                    <w:right w:val="single" w:color="auto" w:sz="4" w:space="0"/>
                  </w:tcBorders>
                  <w:noWrap w:val="0"/>
                  <w:vAlign w:val="center"/>
                </w:tcPr>
                <w:p w14:paraId="49260D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1009" w:type="dxa"/>
                  <w:vMerge w:val="continue"/>
                  <w:tcBorders>
                    <w:left w:val="single" w:color="auto" w:sz="4" w:space="0"/>
                  </w:tcBorders>
                  <w:noWrap w:val="0"/>
                  <w:vAlign w:val="center"/>
                </w:tcPr>
                <w:p w14:paraId="2D4A8825">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377" w:type="dxa"/>
                  <w:tcBorders>
                    <w:bottom w:val="single" w:color="auto" w:sz="4" w:space="0"/>
                  </w:tcBorders>
                  <w:shd w:val="clear" w:color="auto" w:fill="auto"/>
                  <w:noWrap w:val="0"/>
                  <w:vAlign w:val="center"/>
                </w:tcPr>
                <w:p w14:paraId="4C671E22">
                  <w:pPr>
                    <w:pStyle w:val="78"/>
                    <w:keepNext w:val="0"/>
                    <w:keepLines w:val="0"/>
                    <w:pageBreakBefore w:val="0"/>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道口村</w:t>
                  </w:r>
                </w:p>
              </w:tc>
              <w:tc>
                <w:tcPr>
                  <w:tcW w:w="659" w:type="dxa"/>
                  <w:tcBorders>
                    <w:bottom w:val="single" w:color="auto" w:sz="4" w:space="0"/>
                  </w:tcBorders>
                  <w:shd w:val="clear" w:color="auto" w:fill="auto"/>
                  <w:noWrap w:val="0"/>
                  <w:vAlign w:val="center"/>
                </w:tcPr>
                <w:p w14:paraId="33829D31">
                  <w:pPr>
                    <w:keepNext w:val="0"/>
                    <w:keepLines w:val="0"/>
                    <w:suppressLineNumbers w:val="0"/>
                    <w:tabs>
                      <w:tab w:val="left" w:pos="1680"/>
                    </w:tabs>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西南</w:t>
                  </w:r>
                </w:p>
              </w:tc>
              <w:tc>
                <w:tcPr>
                  <w:tcW w:w="1048" w:type="dxa"/>
                  <w:tcBorders>
                    <w:bottom w:val="single" w:color="auto" w:sz="4" w:space="0"/>
                  </w:tcBorders>
                  <w:shd w:val="clear" w:color="auto" w:fill="auto"/>
                  <w:noWrap w:val="0"/>
                  <w:vAlign w:val="center"/>
                </w:tcPr>
                <w:p w14:paraId="6E7045E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居民区</w:t>
                  </w:r>
                </w:p>
              </w:tc>
              <w:tc>
                <w:tcPr>
                  <w:tcW w:w="1282" w:type="dxa"/>
                  <w:tcBorders>
                    <w:bottom w:val="single" w:color="auto" w:sz="4" w:space="0"/>
                  </w:tcBorders>
                  <w:shd w:val="clear" w:color="auto" w:fill="auto"/>
                  <w:noWrap w:val="0"/>
                  <w:vAlign w:val="center"/>
                </w:tcPr>
                <w:p w14:paraId="73D7DD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256</w:t>
                  </w:r>
                </w:p>
              </w:tc>
              <w:tc>
                <w:tcPr>
                  <w:tcW w:w="2968" w:type="dxa"/>
                  <w:vMerge w:val="continue"/>
                  <w:noWrap w:val="0"/>
                  <w:vAlign w:val="center"/>
                </w:tcPr>
                <w:p w14:paraId="1C1AD0F0">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r>
            <w:tr w14:paraId="4CDDCC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vMerge w:val="continue"/>
                  <w:tcBorders>
                    <w:right w:val="single" w:color="auto" w:sz="4" w:space="0"/>
                  </w:tcBorders>
                  <w:noWrap w:val="0"/>
                  <w:vAlign w:val="center"/>
                </w:tcPr>
                <w:p w14:paraId="62B6E332">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p>
              </w:tc>
              <w:tc>
                <w:tcPr>
                  <w:tcW w:w="1009" w:type="dxa"/>
                  <w:vMerge w:val="continue"/>
                  <w:tcBorders>
                    <w:left w:val="single" w:color="auto" w:sz="4" w:space="0"/>
                  </w:tcBorders>
                  <w:noWrap w:val="0"/>
                  <w:vAlign w:val="center"/>
                </w:tcPr>
                <w:p w14:paraId="1F7E80CF">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377" w:type="dxa"/>
                  <w:tcBorders>
                    <w:bottom w:val="single" w:color="auto" w:sz="4" w:space="0"/>
                  </w:tcBorders>
                  <w:shd w:val="clear" w:color="auto" w:fill="auto"/>
                  <w:noWrap w:val="0"/>
                  <w:vAlign w:val="center"/>
                </w:tcPr>
                <w:p w14:paraId="1632D940">
                  <w:pPr>
                    <w:pStyle w:val="78"/>
                    <w:keepNext w:val="0"/>
                    <w:keepLines w:val="0"/>
                    <w:pageBreakBefore w:val="0"/>
                    <w:suppressLineNumbers w:val="0"/>
                    <w:kinsoku/>
                    <w:wordWrap/>
                    <w:topLinePunct w:val="0"/>
                    <w:autoSpaceDE/>
                    <w:autoSpaceDN/>
                    <w:bidi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大王庄村</w:t>
                  </w:r>
                </w:p>
              </w:tc>
              <w:tc>
                <w:tcPr>
                  <w:tcW w:w="659" w:type="dxa"/>
                  <w:tcBorders>
                    <w:bottom w:val="single" w:color="auto" w:sz="4" w:space="0"/>
                  </w:tcBorders>
                  <w:shd w:val="clear" w:color="auto" w:fill="auto"/>
                  <w:noWrap w:val="0"/>
                  <w:vAlign w:val="center"/>
                </w:tcPr>
                <w:p w14:paraId="295C3895">
                  <w:pPr>
                    <w:keepNext w:val="0"/>
                    <w:keepLines w:val="0"/>
                    <w:suppressLineNumbers w:val="0"/>
                    <w:tabs>
                      <w:tab w:val="left" w:pos="1680"/>
                    </w:tabs>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东</w:t>
                  </w:r>
                </w:p>
              </w:tc>
              <w:tc>
                <w:tcPr>
                  <w:tcW w:w="1048" w:type="dxa"/>
                  <w:tcBorders>
                    <w:bottom w:val="single" w:color="auto" w:sz="4" w:space="0"/>
                  </w:tcBorders>
                  <w:shd w:val="clear" w:color="auto" w:fill="auto"/>
                  <w:noWrap w:val="0"/>
                  <w:vAlign w:val="center"/>
                </w:tcPr>
                <w:p w14:paraId="4503D6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居民区</w:t>
                  </w:r>
                </w:p>
              </w:tc>
              <w:tc>
                <w:tcPr>
                  <w:tcW w:w="1282" w:type="dxa"/>
                  <w:tcBorders>
                    <w:bottom w:val="single" w:color="auto" w:sz="4" w:space="0"/>
                  </w:tcBorders>
                  <w:shd w:val="clear" w:color="auto" w:fill="auto"/>
                  <w:noWrap w:val="0"/>
                  <w:vAlign w:val="center"/>
                </w:tcPr>
                <w:p w14:paraId="66FF8E4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284</w:t>
                  </w:r>
                </w:p>
              </w:tc>
              <w:tc>
                <w:tcPr>
                  <w:tcW w:w="2968" w:type="dxa"/>
                  <w:vMerge w:val="continue"/>
                  <w:noWrap w:val="0"/>
                  <w:vAlign w:val="center"/>
                </w:tcPr>
                <w:p w14:paraId="5DB187AB">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r>
            <w:tr w14:paraId="05A89F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vMerge w:val="continue"/>
                  <w:tcBorders>
                    <w:right w:val="single" w:color="auto" w:sz="4" w:space="0"/>
                  </w:tcBorders>
                  <w:noWrap w:val="0"/>
                  <w:vAlign w:val="center"/>
                </w:tcPr>
                <w:p w14:paraId="514351B6">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p>
              </w:tc>
              <w:tc>
                <w:tcPr>
                  <w:tcW w:w="1009" w:type="dxa"/>
                  <w:vMerge w:val="continue"/>
                  <w:tcBorders>
                    <w:left w:val="single" w:color="auto" w:sz="4" w:space="0"/>
                  </w:tcBorders>
                  <w:noWrap w:val="0"/>
                  <w:vAlign w:val="center"/>
                </w:tcPr>
                <w:p w14:paraId="7F0E358C">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377" w:type="dxa"/>
                  <w:tcBorders>
                    <w:bottom w:val="single" w:color="auto" w:sz="4" w:space="0"/>
                  </w:tcBorders>
                  <w:shd w:val="clear" w:color="auto" w:fill="auto"/>
                  <w:noWrap w:val="0"/>
                  <w:vAlign w:val="center"/>
                </w:tcPr>
                <w:p w14:paraId="0A9A04C0">
                  <w:pPr>
                    <w:pStyle w:val="78"/>
                    <w:keepNext w:val="0"/>
                    <w:keepLines w:val="0"/>
                    <w:pageBreakBefore w:val="0"/>
                    <w:suppressLineNumbers w:val="0"/>
                    <w:kinsoku/>
                    <w:wordWrap/>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演礼庄村</w:t>
                  </w:r>
                </w:p>
              </w:tc>
              <w:tc>
                <w:tcPr>
                  <w:tcW w:w="659" w:type="dxa"/>
                  <w:tcBorders>
                    <w:bottom w:val="single" w:color="auto" w:sz="4" w:space="0"/>
                  </w:tcBorders>
                  <w:shd w:val="clear" w:color="auto" w:fill="auto"/>
                  <w:noWrap w:val="0"/>
                  <w:vAlign w:val="center"/>
                </w:tcPr>
                <w:p w14:paraId="180899BF">
                  <w:pPr>
                    <w:keepNext w:val="0"/>
                    <w:keepLines w:val="0"/>
                    <w:suppressLineNumbers w:val="0"/>
                    <w:tabs>
                      <w:tab w:val="left" w:pos="1680"/>
                    </w:tabs>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西北</w:t>
                  </w:r>
                </w:p>
              </w:tc>
              <w:tc>
                <w:tcPr>
                  <w:tcW w:w="1048" w:type="dxa"/>
                  <w:tcBorders>
                    <w:bottom w:val="single" w:color="auto" w:sz="4" w:space="0"/>
                  </w:tcBorders>
                  <w:shd w:val="clear" w:color="auto" w:fill="auto"/>
                  <w:noWrap w:val="0"/>
                  <w:vAlign w:val="center"/>
                </w:tcPr>
                <w:p w14:paraId="1D39ED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居民区</w:t>
                  </w:r>
                </w:p>
              </w:tc>
              <w:tc>
                <w:tcPr>
                  <w:tcW w:w="1282" w:type="dxa"/>
                  <w:tcBorders>
                    <w:bottom w:val="single" w:color="auto" w:sz="4" w:space="0"/>
                  </w:tcBorders>
                  <w:shd w:val="clear" w:color="auto" w:fill="auto"/>
                  <w:noWrap w:val="0"/>
                  <w:vAlign w:val="center"/>
                </w:tcPr>
                <w:p w14:paraId="6C7921E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452</w:t>
                  </w:r>
                </w:p>
              </w:tc>
              <w:tc>
                <w:tcPr>
                  <w:tcW w:w="2968" w:type="dxa"/>
                  <w:vMerge w:val="continue"/>
                  <w:noWrap w:val="0"/>
                  <w:vAlign w:val="center"/>
                </w:tcPr>
                <w:p w14:paraId="7A2BD96F">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r>
            <w:tr w14:paraId="75F087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tcBorders>
                    <w:right w:val="single" w:color="auto" w:sz="4" w:space="0"/>
                  </w:tcBorders>
                  <w:noWrap w:val="0"/>
                  <w:vAlign w:val="center"/>
                </w:tcPr>
                <w:p w14:paraId="31CF1B9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2</w:t>
                  </w:r>
                </w:p>
              </w:tc>
              <w:tc>
                <w:tcPr>
                  <w:tcW w:w="1009" w:type="dxa"/>
                  <w:tcBorders>
                    <w:left w:val="single" w:color="auto" w:sz="4" w:space="0"/>
                  </w:tcBorders>
                  <w:noWrap w:val="0"/>
                  <w:vAlign w:val="center"/>
                </w:tcPr>
                <w:p w14:paraId="1F7FC4F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4366" w:type="dxa"/>
                  <w:gridSpan w:val="4"/>
                  <w:noWrap w:val="0"/>
                  <w:vAlign w:val="center"/>
                </w:tcPr>
                <w:p w14:paraId="67997EB1">
                  <w:pPr>
                    <w:keepNext w:val="0"/>
                    <w:keepLines w:val="0"/>
                    <w:suppressLineNumbers w:val="0"/>
                    <w:tabs>
                      <w:tab w:val="left" w:pos="1680"/>
                    </w:tabs>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项目厂界50米不存在声环境保护目标</w:t>
                  </w:r>
                </w:p>
              </w:tc>
              <w:tc>
                <w:tcPr>
                  <w:tcW w:w="2968" w:type="dxa"/>
                  <w:noWrap w:val="0"/>
                  <w:vAlign w:val="center"/>
                </w:tcPr>
                <w:p w14:paraId="4DC30C5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《声环境质量标准》（GB3096-2008）</w:t>
                  </w:r>
                  <w:r>
                    <w:rPr>
                      <w:rFonts w:hint="eastAsia" w:cs="Times New Roman"/>
                      <w:color w:val="auto"/>
                      <w:highlight w:val="none"/>
                      <w:lang w:val="en-US" w:eastAsia="zh-CN"/>
                    </w:rPr>
                    <w:t>2类</w:t>
                  </w:r>
                  <w:r>
                    <w:rPr>
                      <w:rFonts w:hint="default" w:ascii="Times New Roman" w:hAnsi="Times New Roman" w:cs="Times New Roman"/>
                      <w:color w:val="auto"/>
                      <w:highlight w:val="none"/>
                    </w:rPr>
                    <w:t>标准</w:t>
                  </w:r>
                </w:p>
              </w:tc>
            </w:tr>
            <w:tr w14:paraId="21F4E3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tcBorders>
                    <w:right w:val="single" w:color="auto" w:sz="4" w:space="0"/>
                  </w:tcBorders>
                  <w:noWrap w:val="0"/>
                  <w:vAlign w:val="center"/>
                </w:tcPr>
                <w:p w14:paraId="2ACD2004">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009" w:type="dxa"/>
                  <w:tcBorders>
                    <w:left w:val="single" w:color="auto" w:sz="4" w:space="0"/>
                  </w:tcBorders>
                  <w:noWrap w:val="0"/>
                  <w:vAlign w:val="center"/>
                </w:tcPr>
                <w:p w14:paraId="2C20E87A">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10"/>
                      <w:szCs w:val="21"/>
                      <w:highlight w:val="none"/>
                    </w:rPr>
                  </w:pPr>
                  <w:r>
                    <w:rPr>
                      <w:rFonts w:hint="default" w:ascii="Times New Roman" w:hAnsi="Times New Roman" w:cs="Times New Roman"/>
                      <w:color w:val="auto"/>
                      <w:spacing w:val="10"/>
                      <w:szCs w:val="21"/>
                      <w:highlight w:val="none"/>
                    </w:rPr>
                    <w:t>地表水</w:t>
                  </w:r>
                </w:p>
              </w:tc>
              <w:tc>
                <w:tcPr>
                  <w:tcW w:w="1377" w:type="dxa"/>
                  <w:noWrap w:val="0"/>
                  <w:vAlign w:val="center"/>
                </w:tcPr>
                <w:p w14:paraId="6083D752">
                  <w:pPr>
                    <w:keepNext w:val="0"/>
                    <w:keepLines w:val="0"/>
                    <w:suppressLineNumbers w:val="0"/>
                    <w:tabs>
                      <w:tab w:val="left" w:pos="1680"/>
                    </w:tabs>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漫泗河（孝妇河支流）</w:t>
                  </w:r>
                </w:p>
              </w:tc>
              <w:tc>
                <w:tcPr>
                  <w:tcW w:w="659" w:type="dxa"/>
                  <w:noWrap w:val="0"/>
                  <w:vAlign w:val="center"/>
                </w:tcPr>
                <w:p w14:paraId="242A1B51">
                  <w:pPr>
                    <w:keepNext w:val="0"/>
                    <w:keepLines w:val="0"/>
                    <w:suppressLineNumbers w:val="0"/>
                    <w:tabs>
                      <w:tab w:val="left" w:pos="1680"/>
                    </w:tabs>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东</w:t>
                  </w:r>
                </w:p>
              </w:tc>
              <w:tc>
                <w:tcPr>
                  <w:tcW w:w="1048" w:type="dxa"/>
                  <w:noWrap w:val="0"/>
                  <w:vAlign w:val="center"/>
                </w:tcPr>
                <w:p w14:paraId="36B696A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82" w:type="dxa"/>
                  <w:noWrap w:val="0"/>
                  <w:vAlign w:val="center"/>
                </w:tcPr>
                <w:p w14:paraId="5F988E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85</w:t>
                  </w:r>
                </w:p>
              </w:tc>
              <w:tc>
                <w:tcPr>
                  <w:tcW w:w="2968" w:type="dxa"/>
                  <w:noWrap w:val="0"/>
                  <w:vAlign w:val="center"/>
                </w:tcPr>
                <w:p w14:paraId="6D981E2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color w:val="auto"/>
                      <w:highlight w:val="none"/>
                    </w:rPr>
                    <w:t>《地表水环境质量标准》V类</w:t>
                  </w:r>
                </w:p>
              </w:tc>
            </w:tr>
            <w:tr w14:paraId="3498EE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88" w:type="dxa"/>
                  <w:tcBorders>
                    <w:right w:val="single" w:color="auto" w:sz="4" w:space="0"/>
                  </w:tcBorders>
                  <w:noWrap w:val="0"/>
                  <w:vAlign w:val="center"/>
                </w:tcPr>
                <w:p w14:paraId="19648281">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009" w:type="dxa"/>
                  <w:tcBorders>
                    <w:left w:val="single" w:color="auto" w:sz="4" w:space="0"/>
                  </w:tcBorders>
                  <w:noWrap w:val="0"/>
                  <w:vAlign w:val="center"/>
                </w:tcPr>
                <w:p w14:paraId="679C9FCC">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地下水</w:t>
                  </w:r>
                </w:p>
              </w:tc>
              <w:tc>
                <w:tcPr>
                  <w:tcW w:w="4366" w:type="dxa"/>
                  <w:gridSpan w:val="4"/>
                  <w:noWrap w:val="0"/>
                  <w:vAlign w:val="center"/>
                </w:tcPr>
                <w:p w14:paraId="252DC2E9">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厂界周边500m范围内无地下水集中式饮用水水源和热水、矿泉水、温泉等特殊地下水资源。</w:t>
                  </w:r>
                </w:p>
              </w:tc>
              <w:tc>
                <w:tcPr>
                  <w:tcW w:w="2968" w:type="dxa"/>
                  <w:noWrap w:val="0"/>
                  <w:vAlign w:val="center"/>
                </w:tcPr>
                <w:p w14:paraId="6ED668C4">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《地下水质量标准》</w:t>
                  </w:r>
                </w:p>
                <w:p w14:paraId="1A04DEC8">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（GB/T 14848-2017）Ⅲ类</w:t>
                  </w:r>
                </w:p>
              </w:tc>
            </w:tr>
          </w:tbl>
          <w:p w14:paraId="41F476F9">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kern w:val="0"/>
                <w:sz w:val="10"/>
                <w:szCs w:val="10"/>
                <w:highlight w:val="none"/>
                <w:lang w:val="en-US" w:eastAsia="zh-CN"/>
              </w:rPr>
            </w:pPr>
            <w:r>
              <w:rPr>
                <w:rFonts w:hint="default" w:ascii="Times New Roman" w:hAnsi="Times New Roman" w:eastAsia="宋体" w:cs="Times New Roman"/>
                <w:color w:val="auto"/>
                <w:kern w:val="0"/>
                <w:sz w:val="10"/>
                <w:szCs w:val="10"/>
                <w:highlight w:val="none"/>
                <w:lang w:val="en-US" w:eastAsia="zh-CN"/>
              </w:rPr>
              <w:t xml:space="preserve">  </w:t>
            </w:r>
            <w:r>
              <w:rPr>
                <w:rFonts w:hint="default" w:ascii="Times New Roman" w:hAnsi="Times New Roman" w:eastAsia="宋体" w:cs="Times New Roman"/>
                <w:color w:val="auto"/>
                <w:kern w:val="0"/>
                <w:sz w:val="24"/>
                <w:highlight w:val="none"/>
                <w:lang w:val="en-US" w:eastAsia="zh-CN" w:bidi="ar"/>
              </w:rPr>
              <w:t xml:space="preserve"> </w:t>
            </w:r>
          </w:p>
        </w:tc>
      </w:tr>
      <w:tr w14:paraId="3EBBEC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14:paraId="4854CA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污染</w:t>
            </w:r>
          </w:p>
          <w:p w14:paraId="1CB7879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物排</w:t>
            </w:r>
          </w:p>
          <w:p w14:paraId="7ECACBF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放控</w:t>
            </w:r>
          </w:p>
          <w:p w14:paraId="414D95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制标</w:t>
            </w:r>
          </w:p>
          <w:p w14:paraId="3A57F8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准</w:t>
            </w:r>
          </w:p>
        </w:tc>
        <w:tc>
          <w:tcPr>
            <w:tcW w:w="8190" w:type="dxa"/>
            <w:noWrap w:val="0"/>
            <w:vAlign w:val="center"/>
          </w:tcPr>
          <w:p w14:paraId="0396248C">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一、废气</w:t>
            </w:r>
          </w:p>
          <w:p w14:paraId="55F3010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highlight w:val="none"/>
                <w:lang w:val="en-US" w:eastAsia="zh-CN" w:bidi="ar"/>
              </w:rPr>
              <w:t>营运期</w:t>
            </w:r>
            <w:r>
              <w:rPr>
                <w:rFonts w:hint="default" w:ascii="Times New Roman" w:hAnsi="Times New Roman" w:eastAsia="宋体" w:cs="Times New Roman"/>
                <w:color w:val="auto"/>
                <w:kern w:val="0"/>
                <w:sz w:val="24"/>
                <w:highlight w:val="none"/>
                <w:lang w:val="en-US" w:eastAsia="zh-CN" w:bidi="ar"/>
              </w:rPr>
              <w:t>有组织颗粒物执行山东省地方标准《区域性大气污染物综合排放标准》（DB37/2376-2019）表1重点控制区标准限值（颗粒物：10mg/m</w:t>
            </w:r>
            <w:r>
              <w:rPr>
                <w:rFonts w:hint="default" w:ascii="Times New Roman" w:hAnsi="Times New Roman" w:eastAsia="宋体" w:cs="Times New Roman"/>
                <w:color w:val="auto"/>
                <w:kern w:val="0"/>
                <w:sz w:val="24"/>
                <w:highlight w:val="none"/>
                <w:vertAlign w:val="superscript"/>
                <w:lang w:val="en-US" w:eastAsia="zh-CN" w:bidi="ar"/>
              </w:rPr>
              <w:t>3</w:t>
            </w:r>
            <w:r>
              <w:rPr>
                <w:rFonts w:hint="default" w:ascii="Times New Roman" w:hAnsi="Times New Roman" w:eastAsia="宋体" w:cs="Times New Roman"/>
                <w:color w:val="auto"/>
                <w:kern w:val="0"/>
                <w:sz w:val="24"/>
                <w:highlight w:val="none"/>
                <w:lang w:val="en-US" w:eastAsia="zh-CN" w:bidi="ar"/>
              </w:rPr>
              <w:t>）；无组</w:t>
            </w:r>
            <w:r>
              <w:rPr>
                <w:rFonts w:hint="default" w:ascii="Times New Roman" w:hAnsi="Times New Roman" w:eastAsia="宋体" w:cs="Times New Roman"/>
                <w:color w:val="auto"/>
                <w:kern w:val="0"/>
                <w:sz w:val="24"/>
                <w:szCs w:val="24"/>
                <w:highlight w:val="none"/>
                <w:lang w:val="en-US" w:eastAsia="zh-CN" w:bidi="ar"/>
              </w:rPr>
              <w:t>织颗粒物执行</w:t>
            </w:r>
            <w:r>
              <w:rPr>
                <w:rFonts w:hint="eastAsia" w:ascii="Times New Roman" w:hAnsi="Times New Roman" w:eastAsia="宋体" w:cs="Times New Roman"/>
                <w:color w:val="auto"/>
                <w:kern w:val="0"/>
                <w:sz w:val="24"/>
                <w:szCs w:val="24"/>
                <w:highlight w:val="none"/>
                <w:lang w:val="en-US" w:eastAsia="zh-CN" w:bidi="ar"/>
              </w:rPr>
              <w:t>《大气污染物综合排放标准》 (GB16297-1996)表2中的无组织排放监控浓度限值（颗粒物：1.0mg/m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p>
          <w:p w14:paraId="61DBB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表3-3废气排放执行标准一览表</w:t>
            </w:r>
          </w:p>
          <w:tbl>
            <w:tblPr>
              <w:tblStyle w:val="36"/>
              <w:tblW w:w="498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2"/>
              <w:gridCol w:w="1393"/>
              <w:gridCol w:w="3279"/>
              <w:gridCol w:w="2780"/>
            </w:tblGrid>
            <w:tr w14:paraId="44E478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72" w:type="dxa"/>
                  <w:noWrap w:val="0"/>
                  <w:vAlign w:val="center"/>
                </w:tcPr>
                <w:p w14:paraId="1410D2B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污染因子</w:t>
                  </w:r>
                </w:p>
              </w:tc>
              <w:tc>
                <w:tcPr>
                  <w:tcW w:w="1393" w:type="dxa"/>
                  <w:noWrap w:val="0"/>
                  <w:vAlign w:val="center"/>
                </w:tcPr>
                <w:p w14:paraId="73AE751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排放形式</w:t>
                  </w:r>
                </w:p>
              </w:tc>
              <w:tc>
                <w:tcPr>
                  <w:tcW w:w="3279" w:type="dxa"/>
                  <w:noWrap w:val="0"/>
                  <w:vAlign w:val="center"/>
                </w:tcPr>
                <w:p w14:paraId="7888FAF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最高允许排放浓度（mg/m³）</w:t>
                  </w:r>
                </w:p>
              </w:tc>
              <w:tc>
                <w:tcPr>
                  <w:tcW w:w="2780" w:type="dxa"/>
                  <w:noWrap w:val="0"/>
                  <w:vAlign w:val="center"/>
                </w:tcPr>
                <w:p w14:paraId="2D8B7F7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标准来源</w:t>
                  </w:r>
                </w:p>
              </w:tc>
            </w:tr>
            <w:tr w14:paraId="26FFF4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2" w:hRule="atLeast"/>
                <w:jc w:val="center"/>
              </w:trPr>
              <w:tc>
                <w:tcPr>
                  <w:tcW w:w="1272" w:type="dxa"/>
                  <w:noWrap w:val="0"/>
                  <w:vAlign w:val="center"/>
                </w:tcPr>
                <w:p w14:paraId="60EED2CC">
                  <w:pPr>
                    <w:keepNext w:val="0"/>
                    <w:keepLines w:val="0"/>
                    <w:suppressLineNumbers w:val="0"/>
                    <w:spacing w:before="0" w:beforeAutospacing="0" w:after="0" w:afterAutospacing="0"/>
                    <w:ind w:left="0" w:right="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颗粒物</w:t>
                  </w:r>
                </w:p>
              </w:tc>
              <w:tc>
                <w:tcPr>
                  <w:tcW w:w="1393" w:type="dxa"/>
                  <w:noWrap w:val="0"/>
                  <w:vAlign w:val="center"/>
                </w:tcPr>
                <w:p w14:paraId="3A3BDB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有组织</w:t>
                  </w:r>
                </w:p>
              </w:tc>
              <w:tc>
                <w:tcPr>
                  <w:tcW w:w="3279" w:type="dxa"/>
                  <w:noWrap w:val="0"/>
                  <w:vAlign w:val="center"/>
                </w:tcPr>
                <w:p w14:paraId="005AFA9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2780" w:type="dxa"/>
                  <w:noWrap w:val="0"/>
                  <w:vAlign w:val="center"/>
                </w:tcPr>
                <w:p w14:paraId="33069A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DB37/2376-2019</w:t>
                  </w:r>
                </w:p>
              </w:tc>
            </w:tr>
            <w:tr w14:paraId="22A558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5" w:hRule="atLeast"/>
                <w:jc w:val="center"/>
              </w:trPr>
              <w:tc>
                <w:tcPr>
                  <w:tcW w:w="1272" w:type="dxa"/>
                  <w:noWrap w:val="0"/>
                  <w:vAlign w:val="center"/>
                </w:tcPr>
                <w:p w14:paraId="38DBEB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颗粒物</w:t>
                  </w:r>
                </w:p>
              </w:tc>
              <w:tc>
                <w:tcPr>
                  <w:tcW w:w="1393" w:type="dxa"/>
                  <w:noWrap w:val="0"/>
                  <w:vAlign w:val="center"/>
                </w:tcPr>
                <w:p w14:paraId="112900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无组织</w:t>
                  </w:r>
                </w:p>
              </w:tc>
              <w:tc>
                <w:tcPr>
                  <w:tcW w:w="3279" w:type="dxa"/>
                  <w:noWrap w:val="0"/>
                  <w:vAlign w:val="center"/>
                </w:tcPr>
                <w:p w14:paraId="46AF04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w:t>
                  </w:r>
                  <w:r>
                    <w:rPr>
                      <w:rFonts w:hint="eastAsia" w:cs="Times New Roman"/>
                      <w:color w:val="auto"/>
                      <w:szCs w:val="21"/>
                      <w:lang w:val="en-US" w:eastAsia="zh-CN"/>
                    </w:rPr>
                    <w:t>.0</w:t>
                  </w:r>
                </w:p>
              </w:tc>
              <w:tc>
                <w:tcPr>
                  <w:tcW w:w="2780" w:type="dxa"/>
                  <w:noWrap w:val="0"/>
                  <w:vAlign w:val="center"/>
                </w:tcPr>
                <w:p w14:paraId="50650A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GB16297-1996</w:t>
                  </w:r>
                </w:p>
              </w:tc>
            </w:tr>
          </w:tbl>
          <w:p w14:paraId="7EBD474E">
            <w:pPr>
              <w:keepNext w:val="0"/>
              <w:keepLines w:val="0"/>
              <w:suppressLineNumbers w:val="0"/>
              <w:snapToGrid w:val="0"/>
              <w:spacing w:before="0" w:beforeAutospacing="0" w:after="0" w:afterAutospacing="0" w:line="360" w:lineRule="auto"/>
              <w:ind w:left="0" w:right="0" w:firstLine="470" w:firstLineChars="196"/>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二、噪声</w:t>
            </w:r>
          </w:p>
          <w:p w14:paraId="051B7FC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营运期厂界噪声排放执行《工业企业厂界环境噪声排放标准》（GB12348-2008）</w:t>
            </w:r>
            <w:r>
              <w:rPr>
                <w:rFonts w:hint="eastAsia" w:cs="Times New Roman"/>
                <w:color w:val="auto"/>
                <w:sz w:val="24"/>
                <w:szCs w:val="32"/>
                <w:highlight w:val="none"/>
                <w:lang w:val="en-US" w:eastAsia="zh-CN"/>
              </w:rPr>
              <w:t>2类</w:t>
            </w:r>
            <w:r>
              <w:rPr>
                <w:rFonts w:hint="default" w:ascii="Times New Roman" w:hAnsi="Times New Roman" w:cs="Times New Roman"/>
                <w:color w:val="auto"/>
                <w:sz w:val="24"/>
                <w:szCs w:val="32"/>
                <w:highlight w:val="none"/>
              </w:rPr>
              <w:t>标准，具体标准见</w:t>
            </w:r>
            <w:r>
              <w:rPr>
                <w:rFonts w:hint="eastAsia" w:ascii="Times New Roman" w:hAnsi="Times New Roman" w:cs="Times New Roman"/>
                <w:color w:val="auto"/>
                <w:sz w:val="24"/>
                <w:szCs w:val="32"/>
                <w:highlight w:val="none"/>
                <w:lang w:val="en-US" w:eastAsia="zh-CN"/>
              </w:rPr>
              <w:t>下</w:t>
            </w:r>
            <w:r>
              <w:rPr>
                <w:rFonts w:hint="default" w:ascii="Times New Roman" w:hAnsi="Times New Roman" w:cs="Times New Roman"/>
                <w:color w:val="auto"/>
                <w:sz w:val="24"/>
                <w:szCs w:val="32"/>
                <w:highlight w:val="none"/>
              </w:rPr>
              <w:t>表。</w:t>
            </w:r>
          </w:p>
          <w:p w14:paraId="7136C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表3-4《工业企业厂界环境噪声排放标准》</w:t>
            </w:r>
          </w:p>
          <w:tbl>
            <w:tblPr>
              <w:tblStyle w:val="36"/>
              <w:tblW w:w="881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708"/>
              <w:gridCol w:w="5111"/>
            </w:tblGrid>
            <w:tr w14:paraId="2C5EE2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5" w:hRule="atLeast"/>
                <w:jc w:val="center"/>
              </w:trPr>
              <w:tc>
                <w:tcPr>
                  <w:tcW w:w="3708" w:type="dxa"/>
                  <w:noWrap w:val="0"/>
                  <w:vAlign w:val="center"/>
                </w:tcPr>
                <w:p w14:paraId="7B9C8494">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  别</w:t>
                  </w:r>
                </w:p>
              </w:tc>
              <w:tc>
                <w:tcPr>
                  <w:tcW w:w="5111" w:type="dxa"/>
                  <w:noWrap w:val="0"/>
                  <w:vAlign w:val="center"/>
                </w:tcPr>
                <w:p w14:paraId="3E6CB6B8">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昼间Leq[dB（A）]</w:t>
                  </w:r>
                </w:p>
              </w:tc>
            </w:tr>
            <w:tr w14:paraId="4E1D13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3708" w:type="dxa"/>
                  <w:noWrap w:val="0"/>
                  <w:vAlign w:val="center"/>
                </w:tcPr>
                <w:p w14:paraId="46A27F1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w:t>
                  </w:r>
                </w:p>
              </w:tc>
              <w:tc>
                <w:tcPr>
                  <w:tcW w:w="5111" w:type="dxa"/>
                  <w:noWrap w:val="0"/>
                  <w:vAlign w:val="center"/>
                </w:tcPr>
                <w:p w14:paraId="5790EC6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r>
          </w:tbl>
          <w:p w14:paraId="726907CA">
            <w:pPr>
              <w:pStyle w:val="79"/>
              <w:keepNext w:val="0"/>
              <w:keepLines w:val="0"/>
              <w:numPr>
                <w:ilvl w:val="0"/>
                <w:numId w:val="2"/>
              </w:numPr>
              <w:suppressLineNumbers w:val="0"/>
              <w:spacing w:before="0" w:beforeAutospacing="0" w:after="0" w:afterAutospacing="0" w:line="360" w:lineRule="auto"/>
              <w:ind w:left="0" w:right="0" w:firstLine="480"/>
              <w:jc w:val="both"/>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固废</w:t>
            </w:r>
          </w:p>
          <w:p w14:paraId="34A28F4A">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一般固体废物参照《中华人民共和国固体废物污染环境防治法》</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中华人民共和国主席令第四十三号)的要求妥善处理，贮存过程应满足相应防渗漏、防雨淋、防扬尘等环境保护要求。危险废物贮存执行《危险废物贮存污染控制标准》（GB18597-2023），转移执行《危险废物转移管理办法》。</w:t>
            </w:r>
          </w:p>
          <w:p w14:paraId="4A6E1A67">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624A2CF9">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5A8A3A76">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003807F3">
            <w:pPr>
              <w:keepNext w:val="0"/>
              <w:keepLines w:val="0"/>
              <w:suppressLineNumbers w:val="0"/>
              <w:snapToGrid w:val="0"/>
              <w:spacing w:before="0" w:beforeAutospacing="0" w:after="0" w:afterAutospacing="0" w:line="360" w:lineRule="auto"/>
              <w:ind w:left="0" w:right="0"/>
              <w:rPr>
                <w:rFonts w:hint="eastAsia" w:ascii="Times New Roman" w:hAnsi="Times New Roman" w:eastAsia="宋体" w:cs="Times New Roman"/>
                <w:color w:val="auto"/>
                <w:lang w:val="en-US" w:eastAsia="zh-CN"/>
              </w:rPr>
            </w:pPr>
            <w:r>
              <w:rPr>
                <w:rFonts w:hint="eastAsia" w:cs="Times New Roman"/>
                <w:color w:val="auto"/>
                <w:sz w:val="24"/>
                <w:szCs w:val="32"/>
                <w:highlight w:val="none"/>
                <w:lang w:val="en-US" w:eastAsia="zh-CN"/>
              </w:rPr>
              <w:t xml:space="preserve"> </w:t>
            </w:r>
          </w:p>
        </w:tc>
      </w:tr>
      <w:tr w14:paraId="1BFDF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7" w:hRule="atLeast"/>
          <w:jc w:val="center"/>
        </w:trPr>
        <w:tc>
          <w:tcPr>
            <w:tcW w:w="800" w:type="dxa"/>
            <w:noWrap w:val="0"/>
            <w:vAlign w:val="center"/>
          </w:tcPr>
          <w:p w14:paraId="44F153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总量</w:t>
            </w:r>
          </w:p>
          <w:p w14:paraId="2F08115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控制</w:t>
            </w:r>
          </w:p>
          <w:p w14:paraId="3F3A214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指标</w:t>
            </w:r>
          </w:p>
        </w:tc>
        <w:tc>
          <w:tcPr>
            <w:tcW w:w="8190" w:type="dxa"/>
            <w:noWrap w:val="0"/>
            <w:vAlign w:val="center"/>
          </w:tcPr>
          <w:p w14:paraId="16AE7E22">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3E668E2D">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7100D1D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260920E1">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29C53165">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6048FE7B">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3D5EE8A1">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333BE0C9">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40FAA5F4">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rPr>
              <w:t>本项目废水主要为职工生活污水，</w:t>
            </w:r>
            <w:r>
              <w:rPr>
                <w:rFonts w:hint="eastAsia" w:cs="Times New Roman"/>
                <w:color w:val="auto"/>
                <w:sz w:val="24"/>
                <w:szCs w:val="32"/>
                <w:highlight w:val="none"/>
                <w:lang w:val="en-US" w:eastAsia="zh-CN"/>
              </w:rPr>
              <w:t>生活污水经化粪池处理后，由环卫部门定期清运</w:t>
            </w:r>
            <w:r>
              <w:rPr>
                <w:rFonts w:hint="eastAsia" w:cs="Times New Roman"/>
                <w:color w:val="auto"/>
                <w:sz w:val="24"/>
                <w:szCs w:val="32"/>
                <w:highlight w:val="none"/>
                <w:lang w:eastAsia="zh-CN"/>
              </w:rPr>
              <w:t>，</w:t>
            </w:r>
            <w:r>
              <w:rPr>
                <w:rFonts w:hint="eastAsia" w:cs="Times New Roman"/>
                <w:color w:val="auto"/>
                <w:sz w:val="24"/>
                <w:szCs w:val="32"/>
                <w:highlight w:val="none"/>
                <w:lang w:val="en-US" w:eastAsia="zh-CN"/>
              </w:rPr>
              <w:t>无需申请总量</w:t>
            </w:r>
            <w:r>
              <w:rPr>
                <w:rFonts w:hint="eastAsia" w:ascii="Times New Roman" w:hAnsi="Times New Roman" w:eastAsia="宋体" w:cs="Times New Roman"/>
                <w:color w:val="auto"/>
                <w:sz w:val="24"/>
                <w:szCs w:val="32"/>
                <w:highlight w:val="none"/>
                <w:lang w:val="en-US" w:eastAsia="zh-CN"/>
              </w:rPr>
              <w:t>；</w:t>
            </w:r>
          </w:p>
          <w:p w14:paraId="7E2465BC">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根据工程分析可知，本项目有组织颗粒物排放量为</w:t>
            </w:r>
            <w:r>
              <w:rPr>
                <w:rFonts w:hint="eastAsia" w:cs="Times New Roman"/>
                <w:color w:val="auto"/>
                <w:sz w:val="24"/>
                <w:szCs w:val="32"/>
                <w:highlight w:val="none"/>
                <w:lang w:val="en-US" w:eastAsia="zh-CN"/>
              </w:rPr>
              <w:t>0.26</w:t>
            </w:r>
            <w:r>
              <w:rPr>
                <w:rFonts w:hint="default" w:ascii="Times New Roman" w:hAnsi="Times New Roman" w:eastAsia="宋体" w:cs="Times New Roman"/>
                <w:color w:val="auto"/>
                <w:sz w:val="24"/>
                <w:szCs w:val="32"/>
                <w:highlight w:val="none"/>
              </w:rPr>
              <w:t>t/a；</w:t>
            </w:r>
          </w:p>
          <w:p w14:paraId="0F8F8806">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由于本项目属于</w:t>
            </w:r>
            <w:r>
              <w:rPr>
                <w:rFonts w:hint="default" w:ascii="Times New Roman" w:hAnsi="Times New Roman" w:eastAsia="宋体" w:cs="Times New Roman"/>
                <w:color w:val="auto"/>
                <w:sz w:val="24"/>
                <w:szCs w:val="32"/>
                <w:highlight w:val="none"/>
                <w:lang w:eastAsia="zh-CN"/>
              </w:rPr>
              <w:t>新建</w:t>
            </w:r>
            <w:r>
              <w:rPr>
                <w:rFonts w:hint="default" w:ascii="Times New Roman" w:hAnsi="Times New Roman" w:eastAsia="宋体" w:cs="Times New Roman"/>
                <w:color w:val="auto"/>
                <w:sz w:val="24"/>
                <w:szCs w:val="32"/>
                <w:highlight w:val="none"/>
              </w:rPr>
              <w:t>项目，</w:t>
            </w:r>
            <w:r>
              <w:rPr>
                <w:rFonts w:hint="default" w:ascii="Times New Roman" w:hAnsi="Times New Roman" w:eastAsia="宋体" w:cs="Times New Roman"/>
                <w:color w:val="auto"/>
                <w:sz w:val="24"/>
                <w:szCs w:val="32"/>
                <w:highlight w:val="none"/>
                <w:lang w:eastAsia="zh-CN"/>
              </w:rPr>
              <w:t>需</w:t>
            </w:r>
            <w:r>
              <w:rPr>
                <w:rFonts w:hint="default" w:ascii="Times New Roman" w:hAnsi="Times New Roman" w:eastAsia="宋体" w:cs="Times New Roman"/>
                <w:color w:val="auto"/>
                <w:sz w:val="24"/>
                <w:szCs w:val="32"/>
                <w:highlight w:val="none"/>
              </w:rPr>
              <w:t>申请总量颗粒物</w:t>
            </w:r>
            <w:r>
              <w:rPr>
                <w:rFonts w:hint="eastAsia" w:cs="Times New Roman"/>
                <w:color w:val="auto"/>
                <w:sz w:val="24"/>
                <w:szCs w:val="32"/>
                <w:highlight w:val="none"/>
                <w:lang w:val="en-US" w:eastAsia="zh-CN"/>
              </w:rPr>
              <w:t>0.26</w:t>
            </w:r>
            <w:r>
              <w:rPr>
                <w:rFonts w:hint="default" w:ascii="Times New Roman" w:hAnsi="Times New Roman" w:eastAsia="宋体" w:cs="Times New Roman"/>
                <w:color w:val="auto"/>
                <w:sz w:val="24"/>
                <w:szCs w:val="32"/>
                <w:highlight w:val="none"/>
              </w:rPr>
              <w:t>t/a。</w:t>
            </w:r>
          </w:p>
          <w:p w14:paraId="5A934CE5">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根据《山东省建设项目主要大气污染物排放总量替代指标核算及管理办法的通知》（鲁环发[2019]132号）以及淄博市生态环境局《关于统筹使用“十四五”建设项目主要大气污染物总量指标的通知》（淄环函〔2021〕55号）规定，上一年度环境空气质量年平均浓度不达标的城市，相关污染物应按照建设项目所需替代的污染物排放总量指标的2倍进行削减替代（燃煤发电机组大气污染物排放浓度达到超低排放标准的进行等量替代）。上一年度细颗粒物年平均浓度超标的设区的市，实行二氧化硫、氮氧化物、烟粉尘、挥发性有机物四项污染物排放总量指标2倍削减替代。</w:t>
            </w:r>
          </w:p>
          <w:p w14:paraId="567EAD49">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rPr>
              <w:t>建设单位需向当地环保主管部门申请总量控制指标</w:t>
            </w:r>
            <w:r>
              <w:rPr>
                <w:rFonts w:hint="default" w:ascii="Times New Roman" w:hAnsi="Times New Roman" w:eastAsia="宋体" w:cs="Times New Roman"/>
                <w:color w:val="auto"/>
                <w:sz w:val="24"/>
                <w:szCs w:val="32"/>
                <w:highlight w:val="none"/>
                <w:lang w:eastAsia="zh-CN"/>
              </w:rPr>
              <w:t>：</w:t>
            </w:r>
          </w:p>
          <w:p w14:paraId="3CF3D3AD">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颗粒物：</w:t>
            </w:r>
            <w:r>
              <w:rPr>
                <w:rFonts w:hint="eastAsia" w:cs="Times New Roman"/>
                <w:color w:val="auto"/>
                <w:sz w:val="24"/>
                <w:szCs w:val="32"/>
                <w:highlight w:val="none"/>
                <w:lang w:val="en-US" w:eastAsia="zh-CN"/>
              </w:rPr>
              <w:t>0.52</w:t>
            </w:r>
            <w:r>
              <w:rPr>
                <w:rFonts w:hint="default" w:ascii="Times New Roman" w:hAnsi="Times New Roman" w:eastAsia="宋体" w:cs="Times New Roman"/>
                <w:color w:val="auto"/>
                <w:sz w:val="24"/>
                <w:szCs w:val="32"/>
                <w:highlight w:val="none"/>
              </w:rPr>
              <w:t>t/a</w:t>
            </w:r>
          </w:p>
          <w:p w14:paraId="6CE05344">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778C8962">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26BDF638">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261097B6">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79577EE5">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03C06EA3">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09D76D3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p>
          <w:p w14:paraId="70E8126E">
            <w:pPr>
              <w:keepNext w:val="0"/>
              <w:keepLines w:val="0"/>
              <w:suppressLineNumbers w:val="0"/>
              <w:snapToGrid w:val="0"/>
              <w:spacing w:before="0" w:beforeAutospacing="0" w:after="0" w:afterAutospacing="0" w:line="360" w:lineRule="auto"/>
              <w:ind w:left="0" w:right="0"/>
              <w:rPr>
                <w:rFonts w:hint="eastAsia" w:cs="Times New Roman"/>
                <w:color w:val="auto"/>
                <w:highlight w:val="none"/>
                <w:lang w:val="en-US" w:eastAsia="zh-CN"/>
              </w:rPr>
            </w:pPr>
          </w:p>
          <w:p w14:paraId="5585EBFF">
            <w:pPr>
              <w:keepNext w:val="0"/>
              <w:keepLines w:val="0"/>
              <w:suppressLineNumbers w:val="0"/>
              <w:snapToGrid w:val="0"/>
              <w:spacing w:before="0" w:beforeAutospacing="0" w:after="0" w:afterAutospacing="0" w:line="360" w:lineRule="auto"/>
              <w:ind w:left="0" w:right="0"/>
              <w:rPr>
                <w:rFonts w:hint="eastAsia" w:cs="Times New Roman"/>
                <w:color w:val="auto"/>
                <w:highlight w:val="none"/>
                <w:lang w:val="en-US" w:eastAsia="zh-CN"/>
              </w:rPr>
            </w:pPr>
          </w:p>
          <w:p w14:paraId="73A337A3">
            <w:pPr>
              <w:keepNext w:val="0"/>
              <w:keepLines w:val="0"/>
              <w:suppressLineNumbers w:val="0"/>
              <w:snapToGrid w:val="0"/>
              <w:spacing w:before="0" w:beforeAutospacing="0" w:after="0" w:afterAutospacing="0" w:line="360" w:lineRule="auto"/>
              <w:ind w:left="0" w:right="0"/>
              <w:rPr>
                <w:rFonts w:hint="eastAsia" w:cs="Times New Roman"/>
                <w:color w:val="auto"/>
                <w:highlight w:val="none"/>
                <w:lang w:val="en-US" w:eastAsia="zh-CN"/>
              </w:rPr>
            </w:pPr>
          </w:p>
          <w:p w14:paraId="743FD6B7">
            <w:pPr>
              <w:keepNext w:val="0"/>
              <w:keepLines w:val="0"/>
              <w:suppressLineNumbers w:val="0"/>
              <w:snapToGrid w:val="0"/>
              <w:spacing w:before="0" w:beforeAutospacing="0" w:after="0" w:afterAutospacing="0" w:line="360" w:lineRule="auto"/>
              <w:ind w:left="0" w:right="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 xml:space="preserve"> </w:t>
            </w:r>
          </w:p>
        </w:tc>
      </w:tr>
    </w:tbl>
    <w:p w14:paraId="4E445691">
      <w:pPr>
        <w:pStyle w:val="32"/>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14" w:name="_Toc444"/>
      <w:bookmarkStart w:id="15" w:name="_Toc16142"/>
      <w:bookmarkStart w:id="16" w:name="_Toc22746"/>
      <w:r>
        <w:rPr>
          <w:rFonts w:hint="default" w:ascii="Times New Roman" w:hAnsi="Times New Roman" w:eastAsia="黑体" w:cs="Times New Roman"/>
          <w:snapToGrid w:val="0"/>
          <w:color w:val="auto"/>
          <w:sz w:val="30"/>
          <w:szCs w:val="30"/>
          <w:highlight w:val="none"/>
        </w:rPr>
        <w:t>四、主要环境影响和保护措施</w:t>
      </w:r>
      <w:bookmarkEnd w:id="14"/>
      <w:bookmarkEnd w:id="15"/>
      <w:bookmarkEnd w:id="16"/>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9"/>
        <w:gridCol w:w="8956"/>
      </w:tblGrid>
      <w:tr w14:paraId="7AB97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832" w:type="dxa"/>
            <w:noWrap w:val="0"/>
            <w:tcMar>
              <w:left w:w="28" w:type="dxa"/>
              <w:right w:w="28" w:type="dxa"/>
            </w:tcMar>
            <w:vAlign w:val="center"/>
          </w:tcPr>
          <w:p w14:paraId="0C4C7E7C">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施工期环境保</w:t>
            </w:r>
          </w:p>
          <w:p w14:paraId="37BA2EF9">
            <w:pPr>
              <w:pStyle w:val="3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Cs w:val="24"/>
                <w:highlight w:val="none"/>
              </w:rPr>
            </w:pPr>
            <w:r>
              <w:rPr>
                <w:rFonts w:hint="default" w:ascii="Times New Roman" w:hAnsi="Times New Roman" w:cs="Times New Roman"/>
                <w:color w:val="auto"/>
                <w:kern w:val="2"/>
                <w:szCs w:val="24"/>
                <w:highlight w:val="none"/>
              </w:rPr>
              <w:t>护措施</w:t>
            </w:r>
          </w:p>
        </w:tc>
        <w:tc>
          <w:tcPr>
            <w:tcW w:w="9103" w:type="dxa"/>
            <w:noWrap w:val="0"/>
            <w:vAlign w:val="center"/>
          </w:tcPr>
          <w:p w14:paraId="283C9C4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snapToGrid w:val="0"/>
                <w:color w:val="auto"/>
                <w:kern w:val="0"/>
                <w:sz w:val="24"/>
                <w:szCs w:val="24"/>
                <w:highlight w:val="none"/>
              </w:rPr>
            </w:pPr>
            <w:r>
              <w:rPr>
                <w:rFonts w:hint="default" w:ascii="Times New Roman" w:hAnsi="Times New Roman" w:cs="Times New Roman"/>
                <w:bCs/>
                <w:snapToGrid w:val="0"/>
                <w:color w:val="auto"/>
                <w:kern w:val="0"/>
                <w:sz w:val="24"/>
                <w:szCs w:val="24"/>
                <w:highlight w:val="none"/>
              </w:rPr>
              <w:t>根据项目施工期工艺流程及产排污环节识别，确定项目施工期主要环境影响有废气、废水、噪声及固体废物。根据主要环境影响确定其环保措施如下。</w:t>
            </w:r>
          </w:p>
          <w:p w14:paraId="7D1062E9">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 xml:space="preserve">1、施工期扬尘防治措施 </w:t>
            </w:r>
          </w:p>
          <w:p w14:paraId="1C21B4CE">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施工期中基础开挖、出渣装卸、钻孔、散装水泥和建筑材料运输等产生的二次扬尘。根据类似工程实地监测资料，在正常情况下，施工活动产生的粉尘在区域近地面环境空气中</w:t>
            </w:r>
            <w:r>
              <w:rPr>
                <w:rFonts w:hint="default" w:ascii="Times New Roman" w:hAnsi="Times New Roman" w:eastAsia="宋体" w:cs="Times New Roman"/>
                <w:sz w:val="24"/>
                <w:szCs w:val="24"/>
                <w:highlight w:val="none"/>
                <w:lang w:val="en-US" w:eastAsia="zh-CN"/>
              </w:rPr>
              <w:t>TSP</w:t>
            </w:r>
            <w:r>
              <w:rPr>
                <w:rFonts w:hint="eastAsia" w:ascii="Times New Roman" w:hAnsi="Times New Roman" w:eastAsia="宋体" w:cs="Times New Roman"/>
                <w:sz w:val="24"/>
                <w:szCs w:val="24"/>
                <w:highlight w:val="none"/>
                <w:lang w:val="en-US" w:eastAsia="zh-CN"/>
              </w:rPr>
              <w:t>浓度可达</w:t>
            </w:r>
            <w:r>
              <w:rPr>
                <w:rFonts w:hint="default" w:ascii="Times New Roman" w:hAnsi="Times New Roman" w:eastAsia="宋体" w:cs="Times New Roman"/>
                <w:sz w:val="24"/>
                <w:szCs w:val="24"/>
                <w:highlight w:val="none"/>
                <w:lang w:val="en-US" w:eastAsia="zh-CN"/>
              </w:rPr>
              <w:t>1.5-3.0mg/m</w:t>
            </w:r>
            <w:r>
              <w:rPr>
                <w:rFonts w:hint="default"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，对施工区域周围</w:t>
            </w:r>
            <w:r>
              <w:rPr>
                <w:rFonts w:hint="default" w:ascii="Times New Roman" w:hAnsi="Times New Roman" w:eastAsia="宋体" w:cs="Times New Roman"/>
                <w:sz w:val="24"/>
                <w:szCs w:val="24"/>
                <w:highlight w:val="none"/>
                <w:lang w:val="en-US" w:eastAsia="zh-CN"/>
              </w:rPr>
              <w:t>50-100</w:t>
            </w:r>
            <w:r>
              <w:rPr>
                <w:rFonts w:hint="eastAsia" w:ascii="Times New Roman" w:hAnsi="Times New Roman" w:eastAsia="宋体" w:cs="Times New Roman"/>
                <w:sz w:val="24"/>
                <w:szCs w:val="24"/>
                <w:highlight w:val="none"/>
                <w:lang w:val="en-US" w:eastAsia="zh-CN"/>
              </w:rPr>
              <w:t>米以外的贡献值符合二级标准；在大风（＞</w:t>
            </w:r>
            <w:r>
              <w:rPr>
                <w:rFonts w:hint="default"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4"/>
                <w:szCs w:val="24"/>
                <w:highlight w:val="none"/>
                <w:lang w:val="en-US" w:eastAsia="zh-CN"/>
              </w:rPr>
              <w:t>级）情况下，施工粉尘对施工区域周围</w:t>
            </w:r>
            <w:r>
              <w:rPr>
                <w:rFonts w:hint="default" w:ascii="Times New Roman" w:hAnsi="Times New Roman" w:eastAsia="宋体" w:cs="Times New Roman"/>
                <w:sz w:val="24"/>
                <w:szCs w:val="24"/>
                <w:highlight w:val="none"/>
                <w:lang w:val="en-US" w:eastAsia="zh-CN"/>
              </w:rPr>
              <w:t>100-300</w:t>
            </w:r>
            <w:r>
              <w:rPr>
                <w:rFonts w:hint="eastAsia" w:ascii="Times New Roman" w:hAnsi="Times New Roman" w:eastAsia="宋体" w:cs="Times New Roman"/>
                <w:sz w:val="24"/>
                <w:szCs w:val="24"/>
                <w:highlight w:val="none"/>
                <w:lang w:val="en-US" w:eastAsia="zh-CN"/>
              </w:rPr>
              <w:t>米以外的贡献值符合二级标准。为了有效防止施工期扬尘，本评价根据《大气污染防治条例》、《城市扬尘防治技术规范》的要求，提出如下建议:</w:t>
            </w:r>
          </w:p>
          <w:p w14:paraId="57B962D1">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建设单位应采取以下环境保护措施：</w:t>
            </w:r>
          </w:p>
          <w:p w14:paraId="23B5C3C1">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）施工围挡。施工现场周边设置连续封闭围挡，围挡高度不低于</w:t>
            </w:r>
            <w:r>
              <w:rPr>
                <w:rFonts w:hint="default" w:ascii="Times New Roman" w:hAnsi="Times New Roman" w:eastAsia="宋体" w:cs="Times New Roman"/>
                <w:sz w:val="24"/>
                <w:szCs w:val="24"/>
                <w:highlight w:val="none"/>
                <w:lang w:val="en-US" w:eastAsia="zh-CN"/>
              </w:rPr>
              <w:t>1.8</w:t>
            </w:r>
            <w:r>
              <w:rPr>
                <w:rFonts w:hint="eastAsia" w:ascii="Times New Roman" w:hAnsi="Times New Roman" w:eastAsia="宋体" w:cs="Times New Roman"/>
                <w:sz w:val="24"/>
                <w:szCs w:val="24"/>
                <w:highlight w:val="none"/>
                <w:lang w:val="en-US" w:eastAsia="zh-CN"/>
              </w:rPr>
              <w:t xml:space="preserve">米。围挡发生破损的，及时进行修复或更换。 </w:t>
            </w:r>
          </w:p>
          <w:p w14:paraId="7B739CA8">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lang w:val="en-US" w:eastAsia="zh-CN"/>
              </w:rPr>
              <w:t>）现场硬化。施工现场出入口、施工便道和主要材料的堆放地进行硬化处理，其中主要出入口采用混凝土硬化，短期、临时使用的施工便道采用碎石等填充物硬化处理，硬化标准和填充厚度满足重载汽车、设备的密集、反复通行条件。</w:t>
            </w:r>
          </w:p>
          <w:p w14:paraId="3606A04E">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3</w:t>
            </w:r>
            <w:r>
              <w:rPr>
                <w:rFonts w:hint="eastAsia" w:ascii="Times New Roman" w:hAnsi="Times New Roman" w:eastAsia="宋体" w:cs="Times New Roman"/>
                <w:sz w:val="24"/>
                <w:szCs w:val="24"/>
                <w:highlight w:val="none"/>
                <w:lang w:val="en-US" w:eastAsia="zh-CN"/>
              </w:rPr>
              <w:t>）物料覆盖。施工现场的灰砂等散料，以及暂时不清运的建筑垃圾、渣土等，采用密度不低于</w:t>
            </w:r>
            <w:r>
              <w:rPr>
                <w:rFonts w:hint="default" w:ascii="Times New Roman" w:hAnsi="Times New Roman" w:eastAsia="宋体" w:cs="Times New Roman"/>
                <w:sz w:val="24"/>
                <w:szCs w:val="24"/>
                <w:highlight w:val="none"/>
                <w:lang w:val="en-US" w:eastAsia="zh-CN"/>
              </w:rPr>
              <w:t>800</w:t>
            </w:r>
            <w:r>
              <w:rPr>
                <w:rFonts w:hint="eastAsia" w:ascii="Times New Roman" w:hAnsi="Times New Roman" w:eastAsia="宋体" w:cs="Times New Roman"/>
                <w:sz w:val="24"/>
                <w:szCs w:val="24"/>
                <w:highlight w:val="none"/>
                <w:lang w:val="en-US" w:eastAsia="zh-CN"/>
              </w:rPr>
              <w:t>目</w:t>
            </w:r>
            <w:r>
              <w:rPr>
                <w:rFonts w:hint="default" w:ascii="Times New Roman" w:hAnsi="Times New Roman" w:eastAsia="宋体" w:cs="Times New Roman"/>
                <w:sz w:val="24"/>
                <w:szCs w:val="24"/>
                <w:highlight w:val="none"/>
                <w:lang w:val="en-US" w:eastAsia="zh-CN"/>
              </w:rPr>
              <w:t>/100</w:t>
            </w:r>
            <w:r>
              <w:rPr>
                <w:rFonts w:hint="eastAsia" w:ascii="Times New Roman" w:hAnsi="Times New Roman" w:eastAsia="宋体" w:cs="Times New Roman"/>
                <w:sz w:val="24"/>
                <w:szCs w:val="24"/>
                <w:highlight w:val="none"/>
                <w:lang w:val="en-US" w:eastAsia="zh-CN"/>
              </w:rPr>
              <w:t>平方厘米的防尘网进行覆盖。合理安排水泥、石灰粉煤灰等易产生扬尘的混合料施工时序，及时做好铺筑、压实、养护和覆盖。</w:t>
            </w:r>
          </w:p>
          <w:p w14:paraId="79858FA8">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4</w:t>
            </w:r>
            <w:r>
              <w:rPr>
                <w:rFonts w:hint="eastAsia" w:ascii="Times New Roman" w:hAnsi="Times New Roman" w:eastAsia="宋体" w:cs="Times New Roman"/>
                <w:sz w:val="24"/>
                <w:szCs w:val="24"/>
                <w:highlight w:val="none"/>
                <w:lang w:val="en-US" w:eastAsia="zh-CN"/>
              </w:rPr>
              <w:t>）车辆冲洗。施工现场的主要出入口设置车辆冲洗台，配备高压冲洗设备。</w:t>
            </w:r>
          </w:p>
          <w:p w14:paraId="311195C9">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4"/>
                <w:szCs w:val="24"/>
                <w:highlight w:val="none"/>
                <w:lang w:val="en-US" w:eastAsia="zh-CN"/>
              </w:rPr>
              <w:t xml:space="preserve">）洒水抑尘。土方作业采用湿法作业，土方作业面周边安装喷淋装置或配置雾炮进行洒水压尘，使用雾炮降尘设施的喷雾间隔时间不超过1小时。构筑物拆除、挖土、装土、堆土、使用风钻挖掘地面、路面切割、石材切割、清扫施工现场等作业时，同步进行洒水降尘，必要时使用喷淋、喷雾式降尘设施。施工现场的路面等易产生扬尘的区域，根据不同季节、气温、土壤湿度等因素，安排洒水抑尘。 </w:t>
            </w:r>
          </w:p>
          <w:p w14:paraId="24D1D01E">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6</w:t>
            </w:r>
            <w:r>
              <w:rPr>
                <w:rFonts w:hint="eastAsia" w:ascii="Times New Roman" w:hAnsi="Times New Roman" w:eastAsia="宋体" w:cs="Times New Roman"/>
                <w:sz w:val="24"/>
                <w:szCs w:val="24"/>
                <w:highlight w:val="none"/>
                <w:lang w:val="en-US" w:eastAsia="zh-CN"/>
              </w:rPr>
              <w:t>）车辆密闭运输。渣土运输全部采用经相关部门核准的渣土运输公司的专用渣土运输车辆密闭运输，覆盖不到位不允许驶离施工现场。运送砂石、各类粉状物、建筑垃圾及渣土的车辆必须手续齐全、必须按指定的线路运输。渣土装车时要使用降尘设备进行喷雾降尘，并安排专人清扫散落的渣土。</w:t>
            </w:r>
          </w:p>
          <w:p w14:paraId="03FAB656">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7</w:t>
            </w:r>
            <w:r>
              <w:rPr>
                <w:rFonts w:hint="eastAsia" w:ascii="Times New Roman" w:hAnsi="Times New Roman" w:eastAsia="宋体" w:cs="Times New Roman"/>
                <w:sz w:val="24"/>
                <w:szCs w:val="24"/>
                <w:highlight w:val="none"/>
                <w:lang w:val="en-US" w:eastAsia="zh-CN"/>
              </w:rPr>
              <w:t>）工地管理。各类地下管线施工工程，开挖后及时进行回填，并对回填后的沟槽采取洒水、覆盖等降尘措施。推行清洁作业方法，施工现场使用预拌混凝土、预拌砂浆。</w:t>
            </w:r>
          </w:p>
          <w:p w14:paraId="5006A6E6">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8</w:t>
            </w:r>
            <w:r>
              <w:rPr>
                <w:rFonts w:hint="eastAsia" w:ascii="Times New Roman" w:hAnsi="Times New Roman" w:eastAsia="宋体" w:cs="Times New Roman"/>
                <w:sz w:val="24"/>
                <w:szCs w:val="24"/>
                <w:highlight w:val="none"/>
                <w:lang w:val="en-US" w:eastAsia="zh-CN"/>
              </w:rPr>
              <w:t>）现场公示。施工现场门口设置扬尘防治管理公示牌。公示牌要明确责任主体扬尘防治责任人及电话、渣土运输单位负责人及电话、混凝土配送单位负责人及电话、外出车辆冲洗、蓬盖、检查和施工现场保洁人员姓名电话，以及相关工作标准要求等内容。</w:t>
            </w:r>
          </w:p>
          <w:p w14:paraId="6CBC996C">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9</w:t>
            </w:r>
            <w:r>
              <w:rPr>
                <w:rFonts w:hint="eastAsia" w:ascii="Times New Roman" w:hAnsi="Times New Roman" w:eastAsia="宋体" w:cs="Times New Roman"/>
                <w:sz w:val="24"/>
                <w:szCs w:val="24"/>
                <w:highlight w:val="none"/>
                <w:lang w:val="en-US" w:eastAsia="zh-CN"/>
              </w:rPr>
              <w:t xml:space="preserve">）机械设备。要求各参建单位不得租赁、购买、使用排放不合格的非道路移动机械设备，并切实加强日常管理，采取有效措施，防止、减少非道路移动机械排气污染。 </w:t>
            </w:r>
          </w:p>
          <w:p w14:paraId="59DDB5F6">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 xml:space="preserve">建设单位采取的措施可以明显的降低扬尘影响。项目施工阶段建筑扬尘对周围敏感点的影响较大，要求建设单位应严格按照有关环保要求施工，在采取严格的防尘抑尘等环保措施的情况下，尽量减少对周围环境敏感保护目标的影响。施工期影响虽然很难避免但是影响会随施工期结束而结束。 </w:t>
            </w:r>
          </w:p>
          <w:p w14:paraId="5B895434">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 xml:space="preserve">2、施工期废水防治措施 </w:t>
            </w:r>
          </w:p>
          <w:p w14:paraId="0BE6E6A0">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 xml:space="preserve">施工废水主要包括施工废水和施工工人生活污水。 </w:t>
            </w:r>
          </w:p>
          <w:p w14:paraId="54CA5E04">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 xml:space="preserve">生活污水依托场地内现有化粪池处理后由环卫部门定期清运。 </w:t>
            </w:r>
          </w:p>
          <w:p w14:paraId="3B688589">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施工废水主要为土石方阶段废水，结构阶段混凝土养护排水、各种设备冲洗水，废水中</w:t>
            </w:r>
            <w:r>
              <w:rPr>
                <w:rFonts w:hint="default" w:ascii="Times New Roman" w:hAnsi="Times New Roman" w:eastAsia="宋体" w:cs="Times New Roman"/>
                <w:sz w:val="24"/>
                <w:szCs w:val="24"/>
                <w:highlight w:val="none"/>
                <w:lang w:val="en-US" w:eastAsia="zh-CN"/>
              </w:rPr>
              <w:t>SS</w:t>
            </w:r>
            <w:r>
              <w:rPr>
                <w:rFonts w:hint="eastAsia" w:ascii="Times New Roman" w:hAnsi="Times New Roman" w:eastAsia="宋体" w:cs="Times New Roman"/>
                <w:sz w:val="24"/>
                <w:szCs w:val="24"/>
                <w:highlight w:val="none"/>
                <w:lang w:val="en-US" w:eastAsia="zh-CN"/>
              </w:rPr>
              <w:t>含量较高。施工废水无序排放会导致废水横流，影响城市形象。根据产生污水的位置情况，在施工区建排水明沟，经沉淀池沉淀后再用于堆场、料场喷淋防尘、道路冲洗、输入施工区的车辆轮胎冲洗等，禁止外排，对周围环境影响不大。</w:t>
            </w:r>
          </w:p>
          <w:p w14:paraId="73E9CFB7">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3</w:t>
            </w:r>
            <w:r>
              <w:rPr>
                <w:rFonts w:hint="eastAsia" w:ascii="Times New Roman" w:hAnsi="Times New Roman" w:eastAsia="宋体" w:cs="Times New Roman"/>
                <w:sz w:val="24"/>
                <w:szCs w:val="24"/>
                <w:highlight w:val="none"/>
                <w:lang w:val="en-US" w:eastAsia="zh-CN"/>
              </w:rPr>
              <w:t>、噪声防治措施</w:t>
            </w:r>
          </w:p>
          <w:p w14:paraId="13E28CDA">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）施工噪声源强分析</w:t>
            </w:r>
          </w:p>
          <w:p w14:paraId="48653BE3">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《关于加强环境噪声污染防治工作改善城乡声环境质量的指导意见》(环发[2010]144号)强调要强化施工噪声污染防治。严格执行《</w:t>
            </w:r>
            <w:r>
              <w:rPr>
                <w:rFonts w:hint="eastAsia" w:cs="Times New Roman"/>
                <w:sz w:val="24"/>
                <w:szCs w:val="24"/>
                <w:highlight w:val="none"/>
                <w:lang w:val="en-US" w:eastAsia="zh-CN"/>
              </w:rPr>
              <w:t>建筑施工噪声排放标准</w:t>
            </w:r>
            <w:r>
              <w:rPr>
                <w:rFonts w:hint="eastAsia" w:ascii="Times New Roman" w:hAnsi="Times New Roman" w:eastAsia="宋体" w:cs="Times New Roman"/>
                <w:sz w:val="24"/>
                <w:szCs w:val="24"/>
                <w:highlight w:val="none"/>
                <w:lang w:val="en-US" w:eastAsia="zh-CN"/>
              </w:rPr>
              <w:t>》，查处施工噪声超过排放标准的行为。加强施工噪声排放申报管理，实施城市建筑施工环保公告制度。城市人民政府依法限定施工作业时间，严格限制在敏感区内夜间进行产生噪声污染的施工作业。实施城市夜间施工审批管理，推进噪声自动监测系统对建筑施工进行实时监督，鼓励使用低噪声施工设备和工艺。</w:t>
            </w:r>
          </w:p>
          <w:p w14:paraId="5C227924">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施工期噪声包括各种建筑机械和运输车辆噪声，其中建筑机械作用产生的噪声十分严重，如推土机、挖掘机、载重汽车、振捣器等。虽然施工噪声仅在施工期的土建施工阶段产生，随着施工的结束而消失，但由于噪声较强，且日夜连续工作，将会对周围声环境产生严重影响，极易引起人们的反感,所以必须重视对施工期噪声的控制。距施工机械不同距离处的声级见表:</w:t>
            </w:r>
          </w:p>
          <w:p w14:paraId="453A21C2">
            <w:pPr>
              <w:pStyle w:val="79"/>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4-1</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kern w:val="0"/>
                <w:sz w:val="21"/>
                <w:szCs w:val="21"/>
                <w:highlight w:val="none"/>
              </w:rPr>
              <w:t>项目施工期</w:t>
            </w:r>
            <w:r>
              <w:rPr>
                <w:rFonts w:hint="eastAsia" w:ascii="Times New Roman" w:hAnsi="Times New Roman" w:cs="Times New Roman"/>
                <w:b/>
                <w:bCs/>
                <w:color w:val="auto"/>
                <w:kern w:val="0"/>
                <w:sz w:val="21"/>
                <w:szCs w:val="21"/>
                <w:highlight w:val="none"/>
                <w:lang w:val="en-US" w:eastAsia="zh-CN"/>
              </w:rPr>
              <w:t>距设备不同距离处噪声级</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091"/>
              <w:gridCol w:w="1091"/>
              <w:gridCol w:w="1091"/>
              <w:gridCol w:w="1091"/>
              <w:gridCol w:w="1091"/>
              <w:gridCol w:w="1091"/>
              <w:gridCol w:w="1091"/>
            </w:tblGrid>
            <w:tr w14:paraId="7D37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vMerge w:val="restart"/>
                  <w:noWrap w:val="0"/>
                  <w:vAlign w:val="center"/>
                </w:tcPr>
                <w:p w14:paraId="1831B3FC">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序号</w:t>
                  </w:r>
                </w:p>
              </w:tc>
              <w:tc>
                <w:tcPr>
                  <w:tcW w:w="1072" w:type="dxa"/>
                  <w:vMerge w:val="restart"/>
                  <w:noWrap w:val="0"/>
                  <w:vAlign w:val="center"/>
                </w:tcPr>
                <w:p w14:paraId="73E0F7ED">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设备名称</w:t>
                  </w:r>
                </w:p>
              </w:tc>
              <w:tc>
                <w:tcPr>
                  <w:tcW w:w="6432" w:type="dxa"/>
                  <w:gridSpan w:val="6"/>
                  <w:noWrap w:val="0"/>
                  <w:vAlign w:val="center"/>
                </w:tcPr>
                <w:p w14:paraId="1F2F61BC">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噪声级dB（A）</w:t>
                  </w:r>
                </w:p>
              </w:tc>
            </w:tr>
            <w:tr w14:paraId="5133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vMerge w:val="continue"/>
                  <w:noWrap w:val="0"/>
                  <w:vAlign w:val="center"/>
                </w:tcPr>
                <w:p w14:paraId="71E9909B">
                  <w:pPr>
                    <w:keepNext w:val="0"/>
                    <w:keepLines w:val="0"/>
                    <w:widowControl/>
                    <w:suppressLineNumbers w:val="0"/>
                    <w:autoSpaceDE/>
                    <w:autoSpaceDN/>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p>
              </w:tc>
              <w:tc>
                <w:tcPr>
                  <w:tcW w:w="1072" w:type="dxa"/>
                  <w:vMerge w:val="continue"/>
                  <w:noWrap w:val="0"/>
                  <w:vAlign w:val="center"/>
                </w:tcPr>
                <w:p w14:paraId="0DB8C7B6">
                  <w:pPr>
                    <w:keepNext w:val="0"/>
                    <w:keepLines w:val="0"/>
                    <w:widowControl/>
                    <w:suppressLineNumbers w:val="0"/>
                    <w:autoSpaceDE/>
                    <w:autoSpaceDN/>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p>
              </w:tc>
              <w:tc>
                <w:tcPr>
                  <w:tcW w:w="1072" w:type="dxa"/>
                  <w:noWrap w:val="0"/>
                  <w:vAlign w:val="center"/>
                </w:tcPr>
                <w:p w14:paraId="14442BF6">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10m</w:t>
                  </w:r>
                </w:p>
              </w:tc>
              <w:tc>
                <w:tcPr>
                  <w:tcW w:w="1072" w:type="dxa"/>
                  <w:noWrap w:val="0"/>
                  <w:vAlign w:val="center"/>
                </w:tcPr>
                <w:p w14:paraId="243DB8EE">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20m</w:t>
                  </w:r>
                </w:p>
              </w:tc>
              <w:tc>
                <w:tcPr>
                  <w:tcW w:w="1072" w:type="dxa"/>
                  <w:noWrap w:val="0"/>
                  <w:vAlign w:val="center"/>
                </w:tcPr>
                <w:p w14:paraId="594F073E">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30m</w:t>
                  </w:r>
                </w:p>
              </w:tc>
              <w:tc>
                <w:tcPr>
                  <w:tcW w:w="1072" w:type="dxa"/>
                  <w:noWrap w:val="0"/>
                  <w:vAlign w:val="center"/>
                </w:tcPr>
                <w:p w14:paraId="7F5F4AF0">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50m</w:t>
                  </w:r>
                </w:p>
              </w:tc>
              <w:tc>
                <w:tcPr>
                  <w:tcW w:w="1072" w:type="dxa"/>
                  <w:noWrap w:val="0"/>
                  <w:vAlign w:val="center"/>
                </w:tcPr>
                <w:p w14:paraId="57B0F621">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100m</w:t>
                  </w:r>
                </w:p>
              </w:tc>
              <w:tc>
                <w:tcPr>
                  <w:tcW w:w="1072" w:type="dxa"/>
                  <w:noWrap w:val="0"/>
                  <w:vAlign w:val="center"/>
                </w:tcPr>
                <w:p w14:paraId="37446F1B">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200m</w:t>
                  </w:r>
                </w:p>
              </w:tc>
            </w:tr>
            <w:tr w14:paraId="5257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noWrap w:val="0"/>
                  <w:vAlign w:val="center"/>
                </w:tcPr>
                <w:p w14:paraId="688E0F7D">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072" w:type="dxa"/>
                  <w:noWrap w:val="0"/>
                  <w:vAlign w:val="center"/>
                </w:tcPr>
                <w:p w14:paraId="46583B28">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打桩机</w:t>
                  </w:r>
                </w:p>
              </w:tc>
              <w:tc>
                <w:tcPr>
                  <w:tcW w:w="1072" w:type="dxa"/>
                  <w:noWrap w:val="0"/>
                  <w:vAlign w:val="center"/>
                </w:tcPr>
                <w:p w14:paraId="3C5E95B3">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1072" w:type="dxa"/>
                  <w:noWrap w:val="0"/>
                  <w:vAlign w:val="center"/>
                </w:tcPr>
                <w:p w14:paraId="1A9EAFFF">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w:t>
                  </w:r>
                </w:p>
              </w:tc>
              <w:tc>
                <w:tcPr>
                  <w:tcW w:w="1072" w:type="dxa"/>
                  <w:noWrap w:val="0"/>
                  <w:vAlign w:val="center"/>
                </w:tcPr>
                <w:p w14:paraId="6AD37AFB">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70.5</w:t>
                  </w:r>
                </w:p>
              </w:tc>
              <w:tc>
                <w:tcPr>
                  <w:tcW w:w="1072" w:type="dxa"/>
                  <w:noWrap w:val="0"/>
                  <w:vAlign w:val="center"/>
                </w:tcPr>
                <w:p w14:paraId="1EBBA13A">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w:t>
                  </w:r>
                </w:p>
              </w:tc>
              <w:tc>
                <w:tcPr>
                  <w:tcW w:w="1072" w:type="dxa"/>
                  <w:noWrap w:val="0"/>
                  <w:vAlign w:val="center"/>
                </w:tcPr>
                <w:p w14:paraId="476FFC15">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1072" w:type="dxa"/>
                  <w:noWrap w:val="0"/>
                  <w:vAlign w:val="center"/>
                </w:tcPr>
                <w:p w14:paraId="04A13D69">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tc>
            </w:tr>
            <w:tr w14:paraId="12A5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noWrap w:val="0"/>
                  <w:vAlign w:val="center"/>
                </w:tcPr>
                <w:p w14:paraId="78109A18">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072" w:type="dxa"/>
                  <w:noWrap w:val="0"/>
                  <w:vAlign w:val="center"/>
                </w:tcPr>
                <w:p w14:paraId="5D73F2D7">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挖掘机</w:t>
                  </w:r>
                </w:p>
              </w:tc>
              <w:tc>
                <w:tcPr>
                  <w:tcW w:w="1072" w:type="dxa"/>
                  <w:noWrap w:val="0"/>
                  <w:vAlign w:val="center"/>
                </w:tcPr>
                <w:p w14:paraId="713D3A7A">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c>
                <w:tcPr>
                  <w:tcW w:w="1072" w:type="dxa"/>
                  <w:noWrap w:val="0"/>
                  <w:vAlign w:val="center"/>
                </w:tcPr>
                <w:p w14:paraId="55A20DE7">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w:t>
                  </w:r>
                </w:p>
              </w:tc>
              <w:tc>
                <w:tcPr>
                  <w:tcW w:w="1072" w:type="dxa"/>
                  <w:noWrap w:val="0"/>
                  <w:vAlign w:val="center"/>
                </w:tcPr>
                <w:p w14:paraId="68CE90B8">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55.5</w:t>
                  </w:r>
                </w:p>
              </w:tc>
              <w:tc>
                <w:tcPr>
                  <w:tcW w:w="1072" w:type="dxa"/>
                  <w:noWrap w:val="0"/>
                  <w:vAlign w:val="center"/>
                </w:tcPr>
                <w:p w14:paraId="3A1E1C71">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c>
                <w:tcPr>
                  <w:tcW w:w="1072" w:type="dxa"/>
                  <w:noWrap w:val="0"/>
                  <w:vAlign w:val="center"/>
                </w:tcPr>
                <w:p w14:paraId="1268F7D7">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c>
                <w:tcPr>
                  <w:tcW w:w="1072" w:type="dxa"/>
                  <w:noWrap w:val="0"/>
                  <w:vAlign w:val="center"/>
                </w:tcPr>
                <w:p w14:paraId="0F51F9DE">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w:t>
                  </w:r>
                </w:p>
              </w:tc>
            </w:tr>
            <w:tr w14:paraId="7167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noWrap w:val="0"/>
                  <w:vAlign w:val="center"/>
                </w:tcPr>
                <w:p w14:paraId="37D064F6">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072" w:type="dxa"/>
                  <w:noWrap w:val="0"/>
                  <w:vAlign w:val="center"/>
                </w:tcPr>
                <w:p w14:paraId="5B6C592C">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载重汽车</w:t>
                  </w:r>
                </w:p>
              </w:tc>
              <w:tc>
                <w:tcPr>
                  <w:tcW w:w="1072" w:type="dxa"/>
                  <w:noWrap w:val="0"/>
                  <w:vAlign w:val="center"/>
                </w:tcPr>
                <w:p w14:paraId="286E8445">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1072" w:type="dxa"/>
                  <w:noWrap w:val="0"/>
                  <w:vAlign w:val="center"/>
                </w:tcPr>
                <w:p w14:paraId="06875350">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w:t>
                  </w:r>
                </w:p>
              </w:tc>
              <w:tc>
                <w:tcPr>
                  <w:tcW w:w="1072" w:type="dxa"/>
                  <w:noWrap w:val="0"/>
                  <w:vAlign w:val="center"/>
                </w:tcPr>
                <w:p w14:paraId="7F16BA3A">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60.5</w:t>
                  </w:r>
                </w:p>
              </w:tc>
              <w:tc>
                <w:tcPr>
                  <w:tcW w:w="1072" w:type="dxa"/>
                  <w:noWrap w:val="0"/>
                  <w:vAlign w:val="center"/>
                </w:tcPr>
                <w:p w14:paraId="4D004C4D">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w:t>
                  </w:r>
                </w:p>
              </w:tc>
              <w:tc>
                <w:tcPr>
                  <w:tcW w:w="1072" w:type="dxa"/>
                  <w:noWrap w:val="0"/>
                  <w:vAlign w:val="center"/>
                </w:tcPr>
                <w:p w14:paraId="56B8EE5B">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1072" w:type="dxa"/>
                  <w:noWrap w:val="0"/>
                  <w:vAlign w:val="center"/>
                </w:tcPr>
                <w:p w14:paraId="15801AD0">
                  <w:pPr>
                    <w:keepNext w:val="0"/>
                    <w:keepLines w:val="0"/>
                    <w:widowControl/>
                    <w:suppressLineNumbers w:val="0"/>
                    <w:autoSpaceDE/>
                    <w:autoSpaceDN/>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w:t>
                  </w:r>
                </w:p>
              </w:tc>
            </w:tr>
          </w:tbl>
          <w:p w14:paraId="1FE18106">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由上表可以看出，施工噪声将会使距声源50米范围内的昼、夜声级超过《声环境质量标准》(GB3096-2008)</w:t>
            </w:r>
            <w:r>
              <w:rPr>
                <w:rFonts w:hint="eastAsia" w:cs="Times New Roman"/>
                <w:sz w:val="24"/>
                <w:szCs w:val="24"/>
                <w:highlight w:val="none"/>
                <w:lang w:val="en-US" w:eastAsia="zh-CN"/>
              </w:rPr>
              <w:t>2</w:t>
            </w:r>
            <w:r>
              <w:rPr>
                <w:rFonts w:hint="eastAsia" w:ascii="Times New Roman" w:hAnsi="Times New Roman" w:eastAsia="宋体" w:cs="Times New Roman"/>
                <w:sz w:val="24"/>
                <w:szCs w:val="24"/>
                <w:highlight w:val="none"/>
                <w:lang w:val="en-US" w:eastAsia="zh-CN"/>
              </w:rPr>
              <w:t>类标准，200米范围内夜间噪声超标。这将会对项目周围的环境敏感点产生不利影响，建议施工方采取以下措施以避免或减缓此不利影响:</w:t>
            </w:r>
          </w:p>
          <w:p w14:paraId="6E01AC04">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 xml:space="preserve">建设单位采取的施工噪声控制措施有：选用低噪声的施工机具和先进的工艺，基础打桩应采用静压桩，不得使用冲击打桩机。除抢修、抢险作业和因特殊要求必须连续作业外，禁止夜间进行产生环噪声污染的建筑施工作业，因特殊需要必须连续作业的必须有有关主管部门的证，并且必须公告附近居民。 </w:t>
            </w:r>
          </w:p>
          <w:p w14:paraId="69DA133A">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①首先从声源上控制：建设单位在与施工单位签订合同时，应要求其使用的主机械设备为低噪声机械设备，例如选液压机械取代燃油机械。同时在施工过程中工单位应设专人对设备进行定期保养和维护，并负责对现场工作人员进行培训，严格按操作规范使用各类机械。②合理安排施工时间，制定科学的施工计划，应尽可能避免大量的高噪声设备同时施工，避开周围环境对噪声的敏感时间，严禁夜间（</w:t>
            </w:r>
            <w:r>
              <w:rPr>
                <w:rFonts w:hint="default" w:ascii="Times New Roman" w:hAnsi="Times New Roman" w:eastAsia="宋体" w:cs="Times New Roman"/>
                <w:sz w:val="24"/>
                <w:szCs w:val="24"/>
                <w:highlight w:val="none"/>
                <w:lang w:val="en-US" w:eastAsia="zh-CN"/>
              </w:rPr>
              <w:t>22:00~6:00</w:t>
            </w:r>
            <w:r>
              <w:rPr>
                <w:rFonts w:hint="eastAsia" w:ascii="Times New Roman" w:hAnsi="Times New Roman" w:eastAsia="宋体" w:cs="Times New Roman"/>
                <w:sz w:val="24"/>
                <w:szCs w:val="24"/>
                <w:highlight w:val="none"/>
                <w:lang w:val="en-US" w:eastAsia="zh-CN"/>
              </w:rPr>
              <w:t>）打桩、风镐，影响居民休息。③使用商品混凝土，避免混凝土搅拌机等噪声的影响。④采用声屏障措施：在施工场地周围有敏感点的地方设立临时声频障；在施工的结构阶段和装修阶段，对建筑物的外部也应采用围挡，以减轻设备噪声对周围环境的影响。⑤施工场地的施工车辆出入地点应尽量远离敏感点，车辆出入现场时应低速、禁鸣。⑥建设管理部门应加强对施工场地的噪声管理，施工企业也应对施工噪声进行自律，文明施工，避免因施工噪声产生纠纷。⑦项目四周应在适当位置设置声屏障，避免对附近居民区造成噪声影响，该位置施工尽量不采用高噪声设备。施工过程严格执行以上噪声控制措施后施工噪声可以符合《</w:t>
            </w:r>
            <w:r>
              <w:rPr>
                <w:rFonts w:hint="eastAsia" w:cs="Times New Roman"/>
                <w:sz w:val="24"/>
                <w:szCs w:val="24"/>
                <w:highlight w:val="none"/>
                <w:lang w:val="en-US" w:eastAsia="zh-CN"/>
              </w:rPr>
              <w:t>建筑施工噪声排放标准</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GB12523-20</w:t>
            </w:r>
            <w:r>
              <w:rPr>
                <w:rFonts w:hint="eastAsia" w:ascii="Times New Roman" w:hAnsi="Times New Roman" w:eastAsia="宋体" w:cs="Times New Roman"/>
                <w:sz w:val="24"/>
                <w:szCs w:val="24"/>
                <w:highlight w:val="none"/>
                <w:lang w:val="en-US" w:eastAsia="zh-CN"/>
              </w:rPr>
              <w:t xml:space="preserve">25）的要求。 </w:t>
            </w:r>
          </w:p>
          <w:p w14:paraId="639E31B5">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4．固体废弃物防治措施</w:t>
            </w:r>
          </w:p>
          <w:p w14:paraId="1BBC732E">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 xml:space="preserve">施工期固废主要为施工工程产生的建筑废料及工人生活垃圾。 </w:t>
            </w:r>
          </w:p>
          <w:p w14:paraId="649E4F45">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 xml:space="preserve">建筑过程产生的建筑废物中，钢筋、木块、玻璃等可以外卖进行处置，建筑垃圾如混凝土块、废砖块外运至指定的建筑垃圾堆放场。工人生活垃圾集中收集后定期清运，及时送往垃圾卫生填埋场进行卫生填埋以免影响环境卫生。 </w:t>
            </w:r>
          </w:p>
          <w:p w14:paraId="3E355039">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 xml:space="preserve">施工期固废能够全部处理，不直接对外排放，对周围环境质量影响较小。 </w:t>
            </w:r>
          </w:p>
          <w:p w14:paraId="61A0A05D">
            <w:pPr>
              <w:pStyle w:val="79"/>
              <w:keepNext w:val="0"/>
              <w:keepLines w:val="0"/>
              <w:suppressLineNumbers w:val="0"/>
              <w:spacing w:before="0" w:beforeAutospacing="0" w:after="0" w:afterAutospacing="0" w:line="360" w:lineRule="auto"/>
              <w:ind w:left="0" w:right="0" w:firstLine="480"/>
              <w:jc w:val="both"/>
              <w:rPr>
                <w:rFonts w:hint="eastAsia"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4"/>
                <w:szCs w:val="24"/>
                <w:highlight w:val="none"/>
                <w:lang w:val="en-US" w:eastAsia="zh-CN"/>
              </w:rPr>
              <w:t xml:space="preserve">．施工期环保措施建议 </w:t>
            </w:r>
          </w:p>
          <w:p w14:paraId="70D3B1A6">
            <w:pPr>
              <w:pStyle w:val="79"/>
              <w:keepNext w:val="0"/>
              <w:keepLines w:val="0"/>
              <w:suppressLineNumbers w:val="0"/>
              <w:spacing w:before="0" w:beforeAutospacing="0" w:after="0" w:afterAutospacing="0" w:line="360" w:lineRule="auto"/>
              <w:ind w:left="0" w:right="0" w:firstLine="480"/>
              <w:jc w:val="both"/>
              <w:rPr>
                <w:rFonts w:hint="default" w:ascii="Times New Roman" w:hAnsi="Times New Roman" w:cs="Times New Roman"/>
                <w:color w:val="auto"/>
                <w:sz w:val="24"/>
                <w:szCs w:val="24"/>
                <w:highlight w:val="none"/>
              </w:rPr>
            </w:pPr>
            <w:r>
              <w:rPr>
                <w:rFonts w:hint="eastAsia" w:ascii="Times New Roman" w:hAnsi="Times New Roman" w:eastAsia="宋体" w:cs="Times New Roman"/>
                <w:sz w:val="24"/>
                <w:szCs w:val="24"/>
                <w:highlight w:val="none"/>
                <w:lang w:val="en-US" w:eastAsia="zh-CN"/>
              </w:rPr>
              <w:t>施工期排放</w:t>
            </w:r>
            <w:r>
              <w:rPr>
                <w:rFonts w:hint="default" w:ascii="Times New Roman" w:hAnsi="Times New Roman" w:eastAsia="宋体" w:cs="Times New Roman"/>
                <w:sz w:val="24"/>
                <w:szCs w:val="24"/>
                <w:highlight w:val="none"/>
                <w:lang w:val="en-US" w:eastAsia="zh-CN"/>
              </w:rPr>
              <w:t>TSP</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CO</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NO</w:t>
            </w:r>
            <w:r>
              <w:rPr>
                <w:rFonts w:hint="default" w:ascii="Times New Roman" w:hAnsi="Times New Roman" w:eastAsia="宋体" w:cs="Times New Roman"/>
                <w:sz w:val="24"/>
                <w:szCs w:val="24"/>
                <w:highlight w:val="none"/>
                <w:vertAlign w:val="subscript"/>
                <w:lang w:val="en-US" w:eastAsia="zh-CN"/>
              </w:rPr>
              <w:t>2</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THC</w:t>
            </w:r>
            <w:r>
              <w:rPr>
                <w:rFonts w:hint="eastAsia" w:ascii="Times New Roman" w:hAnsi="Times New Roman" w:eastAsia="宋体" w:cs="Times New Roman"/>
                <w:sz w:val="24"/>
                <w:szCs w:val="24"/>
                <w:highlight w:val="none"/>
                <w:lang w:val="en-US" w:eastAsia="zh-CN"/>
              </w:rPr>
              <w:t xml:space="preserve">，应按照《非道路移动机械污染防治技术政策》（生态环境部 </w:t>
            </w:r>
            <w:r>
              <w:rPr>
                <w:rFonts w:hint="default" w:ascii="Times New Roman" w:hAnsi="Times New Roman" w:eastAsia="宋体" w:cs="Times New Roman"/>
                <w:sz w:val="24"/>
                <w:szCs w:val="24"/>
                <w:highlight w:val="none"/>
                <w:lang w:val="en-US" w:eastAsia="zh-CN"/>
              </w:rPr>
              <w:t xml:space="preserve">2018 </w:t>
            </w:r>
            <w:r>
              <w:rPr>
                <w:rFonts w:hint="eastAsia" w:ascii="Times New Roman" w:hAnsi="Times New Roman" w:eastAsia="宋体" w:cs="Times New Roman"/>
                <w:sz w:val="24"/>
                <w:szCs w:val="24"/>
                <w:highlight w:val="none"/>
                <w:lang w:val="en-US" w:eastAsia="zh-CN"/>
              </w:rPr>
              <w:t xml:space="preserve">年第 </w:t>
            </w:r>
            <w:r>
              <w:rPr>
                <w:rFonts w:hint="default" w:ascii="Times New Roman" w:hAnsi="Times New Roman" w:eastAsia="宋体" w:cs="Times New Roman"/>
                <w:sz w:val="24"/>
                <w:szCs w:val="24"/>
                <w:highlight w:val="none"/>
                <w:lang w:val="en-US" w:eastAsia="zh-CN"/>
              </w:rPr>
              <w:t xml:space="preserve">34 </w:t>
            </w:r>
            <w:r>
              <w:rPr>
                <w:rFonts w:hint="eastAsia" w:ascii="Times New Roman" w:hAnsi="Times New Roman" w:eastAsia="宋体" w:cs="Times New Roman"/>
                <w:sz w:val="24"/>
                <w:szCs w:val="24"/>
                <w:highlight w:val="none"/>
                <w:lang w:val="en-US" w:eastAsia="zh-CN"/>
              </w:rPr>
              <w:t>号）、非道路移动源大气污染物排放清单编制技术指南、</w:t>
            </w:r>
            <w:r>
              <w:rPr>
                <w:rFonts w:hint="default" w:ascii="Times New Roman" w:hAnsi="Times New Roman" w:eastAsia="宋体" w:cs="Times New Roman"/>
                <w:sz w:val="24"/>
                <w:szCs w:val="24"/>
                <w:highlight w:val="none"/>
                <w:lang w:val="en-US" w:eastAsia="zh-CN"/>
              </w:rPr>
              <w:t>GB20891-2014</w:t>
            </w:r>
            <w:r>
              <w:rPr>
                <w:rFonts w:hint="eastAsia" w:ascii="Times New Roman" w:hAnsi="Times New Roman" w:eastAsia="宋体" w:cs="Times New Roman"/>
                <w:sz w:val="24"/>
                <w:szCs w:val="24"/>
                <w:highlight w:val="none"/>
                <w:lang w:val="en-US" w:eastAsia="zh-CN"/>
              </w:rPr>
              <w:t>非道路移动机械用柴油机排气污染物排放、</w:t>
            </w:r>
            <w:r>
              <w:rPr>
                <w:rFonts w:hint="default" w:ascii="Times New Roman" w:hAnsi="Times New Roman" w:eastAsia="宋体" w:cs="Times New Roman"/>
                <w:sz w:val="24"/>
                <w:szCs w:val="24"/>
                <w:highlight w:val="none"/>
                <w:lang w:val="en-US" w:eastAsia="zh-CN"/>
              </w:rPr>
              <w:t>HJ1014-2020-</w:t>
            </w:r>
            <w:r>
              <w:rPr>
                <w:rFonts w:hint="eastAsia" w:ascii="Times New Roman" w:hAnsi="Times New Roman" w:eastAsia="宋体" w:cs="Times New Roman"/>
                <w:sz w:val="24"/>
                <w:szCs w:val="24"/>
                <w:highlight w:val="none"/>
                <w:lang w:val="en-US" w:eastAsia="zh-CN"/>
              </w:rPr>
              <w:t>非道路柴油移动机械污染物排放控制技术要求、《柴油货车污染治理攻坚战行动计划》（</w:t>
            </w:r>
            <w:r>
              <w:rPr>
                <w:rFonts w:hint="default" w:ascii="Times New Roman" w:hAnsi="Times New Roman" w:eastAsia="宋体" w:cs="Times New Roman"/>
                <w:sz w:val="24"/>
                <w:szCs w:val="24"/>
                <w:highlight w:val="none"/>
                <w:lang w:val="en-US" w:eastAsia="zh-CN"/>
              </w:rPr>
              <w:t xml:space="preserve">[2018]179 </w:t>
            </w:r>
            <w:r>
              <w:rPr>
                <w:rFonts w:hint="eastAsia" w:ascii="Times New Roman" w:hAnsi="Times New Roman" w:eastAsia="宋体" w:cs="Times New Roman"/>
                <w:sz w:val="24"/>
                <w:szCs w:val="24"/>
                <w:highlight w:val="none"/>
                <w:lang w:val="en-US" w:eastAsia="zh-CN"/>
              </w:rPr>
              <w:t>号）等落实尾气排放控制；建筑施工工地按照鲁环发</w:t>
            </w:r>
            <w:r>
              <w:rPr>
                <w:rFonts w:hint="default" w:ascii="Times New Roman" w:hAnsi="Times New Roman" w:eastAsia="宋体" w:cs="Times New Roman"/>
                <w:sz w:val="24"/>
                <w:szCs w:val="24"/>
                <w:highlight w:val="none"/>
                <w:lang w:val="en-US" w:eastAsia="zh-CN"/>
              </w:rPr>
              <w:t xml:space="preserve">[2019]112 </w:t>
            </w:r>
            <w:r>
              <w:rPr>
                <w:rFonts w:hint="eastAsia" w:ascii="Times New Roman" w:hAnsi="Times New Roman" w:eastAsia="宋体" w:cs="Times New Roman"/>
                <w:sz w:val="24"/>
                <w:szCs w:val="24"/>
                <w:highlight w:val="none"/>
                <w:lang w:val="en-US" w:eastAsia="zh-CN"/>
              </w:rPr>
              <w:t>号、住房城乡建设部办公厅《关于进一步加强施工工地和道路扬尘管控工作的通知》（建办质〔</w:t>
            </w:r>
            <w:r>
              <w:rPr>
                <w:rFonts w:hint="default" w:ascii="Times New Roman" w:hAnsi="Times New Roman" w:eastAsia="宋体" w:cs="Times New Roman"/>
                <w:sz w:val="24"/>
                <w:szCs w:val="24"/>
                <w:highlight w:val="none"/>
                <w:lang w:val="en-US" w:eastAsia="zh-CN"/>
              </w:rPr>
              <w:t>2019</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 xml:space="preserve">23 </w:t>
            </w:r>
            <w:r>
              <w:rPr>
                <w:rFonts w:hint="eastAsia" w:ascii="Times New Roman" w:hAnsi="Times New Roman" w:eastAsia="宋体" w:cs="Times New Roman"/>
                <w:sz w:val="24"/>
                <w:szCs w:val="24"/>
                <w:highlight w:val="none"/>
                <w:lang w:val="en-US" w:eastAsia="zh-CN"/>
              </w:rPr>
              <w:t>号要求，严格落实各项防尘降尘管控措施；为避免施工期扬尘对周围敏感点的影响，实现扬尘治理</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六个百分百</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，即施工工地周边</w:t>
            </w:r>
            <w:r>
              <w:rPr>
                <w:rFonts w:hint="default" w:ascii="Times New Roman" w:hAnsi="Times New Roman" w:eastAsia="宋体" w:cs="Times New Roman"/>
                <w:sz w:val="24"/>
                <w:szCs w:val="24"/>
                <w:highlight w:val="none"/>
                <w:lang w:val="en-US" w:eastAsia="zh-CN"/>
              </w:rPr>
              <w:t>100%</w:t>
            </w:r>
            <w:r>
              <w:rPr>
                <w:rFonts w:hint="eastAsia" w:ascii="Times New Roman" w:hAnsi="Times New Roman" w:eastAsia="宋体" w:cs="Times New Roman"/>
                <w:sz w:val="24"/>
                <w:szCs w:val="24"/>
                <w:highlight w:val="none"/>
                <w:lang w:val="en-US" w:eastAsia="zh-CN"/>
              </w:rPr>
              <w:t>围挡；物料堆放</w:t>
            </w:r>
            <w:r>
              <w:rPr>
                <w:rFonts w:hint="default" w:ascii="Times New Roman" w:hAnsi="Times New Roman" w:eastAsia="宋体" w:cs="Times New Roman"/>
                <w:sz w:val="24"/>
                <w:szCs w:val="24"/>
                <w:highlight w:val="none"/>
                <w:lang w:val="en-US" w:eastAsia="zh-CN"/>
              </w:rPr>
              <w:t>100%</w:t>
            </w:r>
            <w:r>
              <w:rPr>
                <w:rFonts w:hint="eastAsia" w:ascii="Times New Roman" w:hAnsi="Times New Roman" w:eastAsia="宋体" w:cs="Times New Roman"/>
                <w:sz w:val="24"/>
                <w:szCs w:val="24"/>
                <w:highlight w:val="none"/>
                <w:lang w:val="en-US" w:eastAsia="zh-CN"/>
              </w:rPr>
              <w:t>覆盖；</w:t>
            </w:r>
            <w:r>
              <w:rPr>
                <w:rFonts w:hint="eastAsia" w:ascii="Times New Roman" w:hAnsi="Times New Roman" w:eastAsia="宋体" w:cs="Times New Roman"/>
                <w:color w:val="auto"/>
                <w:sz w:val="24"/>
                <w:szCs w:val="24"/>
                <w:highlight w:val="none"/>
                <w:lang w:val="en-US" w:eastAsia="zh-CN"/>
              </w:rPr>
              <w:t>出入车辆</w:t>
            </w:r>
            <w:r>
              <w:rPr>
                <w:rFonts w:hint="default" w:ascii="Times New Roman" w:hAnsi="Times New Roman" w:eastAsia="宋体" w:cs="Times New Roman"/>
                <w:color w:val="auto"/>
                <w:sz w:val="24"/>
                <w:szCs w:val="24"/>
                <w:highlight w:val="none"/>
                <w:lang w:val="en-US" w:eastAsia="zh-CN"/>
              </w:rPr>
              <w:t>100%</w:t>
            </w:r>
            <w:r>
              <w:rPr>
                <w:rFonts w:hint="eastAsia" w:ascii="Times New Roman" w:hAnsi="Times New Roman" w:eastAsia="宋体" w:cs="Times New Roman"/>
                <w:color w:val="auto"/>
                <w:sz w:val="24"/>
                <w:szCs w:val="24"/>
                <w:highlight w:val="none"/>
                <w:lang w:val="en-US" w:eastAsia="zh-CN"/>
              </w:rPr>
              <w:t>冲洗；</w:t>
            </w:r>
            <w:r>
              <w:rPr>
                <w:rFonts w:hint="eastAsia" w:ascii="Times New Roman" w:hAnsi="Times New Roman" w:eastAsia="宋体" w:cs="Times New Roman"/>
                <w:sz w:val="24"/>
                <w:szCs w:val="24"/>
                <w:highlight w:val="none"/>
                <w:lang w:val="en-US" w:eastAsia="zh-CN"/>
              </w:rPr>
              <w:t>施工现场地面</w:t>
            </w:r>
            <w:r>
              <w:rPr>
                <w:rFonts w:hint="default" w:ascii="Times New Roman" w:hAnsi="Times New Roman" w:eastAsia="宋体" w:cs="Times New Roman"/>
                <w:sz w:val="24"/>
                <w:szCs w:val="24"/>
                <w:highlight w:val="none"/>
                <w:lang w:val="en-US" w:eastAsia="zh-CN"/>
              </w:rPr>
              <w:t>100%</w:t>
            </w:r>
            <w:r>
              <w:rPr>
                <w:rFonts w:hint="eastAsia" w:ascii="Times New Roman" w:hAnsi="Times New Roman" w:eastAsia="宋体" w:cs="Times New Roman"/>
                <w:sz w:val="24"/>
                <w:szCs w:val="24"/>
                <w:highlight w:val="none"/>
                <w:lang w:val="en-US" w:eastAsia="zh-CN"/>
              </w:rPr>
              <w:t>硬化；拆迁工地</w:t>
            </w:r>
            <w:r>
              <w:rPr>
                <w:rFonts w:hint="default" w:ascii="Times New Roman" w:hAnsi="Times New Roman" w:eastAsia="宋体" w:cs="Times New Roman"/>
                <w:sz w:val="24"/>
                <w:szCs w:val="24"/>
                <w:highlight w:val="none"/>
                <w:lang w:val="en-US" w:eastAsia="zh-CN"/>
              </w:rPr>
              <w:t>100%</w:t>
            </w:r>
            <w:r>
              <w:rPr>
                <w:rFonts w:hint="eastAsia" w:ascii="Times New Roman" w:hAnsi="Times New Roman" w:eastAsia="宋体" w:cs="Times New Roman"/>
                <w:sz w:val="24"/>
                <w:szCs w:val="24"/>
                <w:highlight w:val="none"/>
                <w:lang w:val="en-US" w:eastAsia="zh-CN"/>
              </w:rPr>
              <w:t>湿法作业；渣土车辆</w:t>
            </w:r>
            <w:r>
              <w:rPr>
                <w:rFonts w:hint="default" w:ascii="Times New Roman" w:hAnsi="Times New Roman" w:eastAsia="宋体" w:cs="Times New Roman"/>
                <w:sz w:val="24"/>
                <w:szCs w:val="24"/>
                <w:highlight w:val="none"/>
                <w:lang w:val="en-US" w:eastAsia="zh-CN"/>
              </w:rPr>
              <w:t>100%</w:t>
            </w:r>
            <w:r>
              <w:rPr>
                <w:rFonts w:hint="eastAsia" w:ascii="Times New Roman" w:hAnsi="Times New Roman" w:eastAsia="宋体" w:cs="Times New Roman"/>
                <w:sz w:val="24"/>
                <w:szCs w:val="24"/>
                <w:highlight w:val="none"/>
                <w:lang w:val="en-US" w:eastAsia="zh-CN"/>
              </w:rPr>
              <w:t>密闭运输。</w:t>
            </w:r>
          </w:p>
          <w:p w14:paraId="74124EBD">
            <w:pPr>
              <w:pStyle w:val="79"/>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highlight w:val="none"/>
              </w:rPr>
              <w:t>采取以上措施后对周围环境影响较小</w:t>
            </w:r>
            <w:r>
              <w:rPr>
                <w:rFonts w:hint="default" w:ascii="Times New Roman" w:hAnsi="Times New Roman" w:eastAsia="宋体" w:cs="Times New Roman"/>
                <w:color w:val="auto"/>
                <w:highlight w:val="none"/>
                <w:lang w:val="en-US" w:eastAsia="zh-CN"/>
              </w:rPr>
              <w:t>。</w:t>
            </w:r>
          </w:p>
          <w:p w14:paraId="0F50E832">
            <w:pPr>
              <w:pStyle w:val="79"/>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highlight w:val="none"/>
                <w:lang w:val="en-US" w:eastAsia="zh-CN"/>
              </w:rPr>
            </w:pPr>
          </w:p>
          <w:p w14:paraId="15A84ABC">
            <w:pPr>
              <w:pStyle w:val="79"/>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highlight w:val="none"/>
                <w:lang w:val="en-US" w:eastAsia="zh-CN"/>
              </w:rPr>
            </w:pPr>
          </w:p>
          <w:p w14:paraId="58E4F7F0">
            <w:pPr>
              <w:pStyle w:val="79"/>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highlight w:val="none"/>
                <w:lang w:val="en-US" w:eastAsia="zh-CN"/>
              </w:rPr>
            </w:pPr>
          </w:p>
          <w:p w14:paraId="31BBFFF9">
            <w:pPr>
              <w:pStyle w:val="79"/>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 xml:space="preserve"> </w:t>
            </w:r>
          </w:p>
          <w:p w14:paraId="4697EE90">
            <w:pPr>
              <w:pStyle w:val="79"/>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highlight w:val="none"/>
                <w:lang w:val="en-US" w:eastAsia="zh-CN"/>
              </w:rPr>
            </w:pPr>
          </w:p>
          <w:p w14:paraId="038102BA">
            <w:pPr>
              <w:pStyle w:val="79"/>
              <w:keepNext w:val="0"/>
              <w:keepLines w:val="0"/>
              <w:suppressLineNumbers w:val="0"/>
              <w:spacing w:before="0" w:beforeAutospacing="0" w:after="0" w:afterAutospacing="0" w:line="360" w:lineRule="auto"/>
              <w:ind w:left="0" w:right="0" w:firstLine="480"/>
              <w:jc w:val="both"/>
              <w:rPr>
                <w:rFonts w:hint="eastAsia" w:cs="Times New Roman"/>
                <w:color w:val="auto"/>
                <w:highlight w:val="none"/>
                <w:lang w:val="en-US" w:eastAsia="zh-CN"/>
              </w:rPr>
            </w:pPr>
          </w:p>
          <w:p w14:paraId="1C51E49C">
            <w:pPr>
              <w:pStyle w:val="79"/>
              <w:keepNext w:val="0"/>
              <w:keepLines w:val="0"/>
              <w:suppressLineNumbers w:val="0"/>
              <w:spacing w:before="0" w:beforeAutospacing="0" w:after="0" w:afterAutospacing="0" w:line="360" w:lineRule="auto"/>
              <w:ind w:left="0" w:right="0" w:firstLine="480"/>
              <w:jc w:val="both"/>
              <w:rPr>
                <w:rFonts w:hint="eastAsia" w:cs="Times New Roman"/>
                <w:color w:val="auto"/>
                <w:highlight w:val="none"/>
                <w:lang w:val="en-US" w:eastAsia="zh-CN"/>
              </w:rPr>
            </w:pPr>
          </w:p>
          <w:p w14:paraId="18DE0559">
            <w:pPr>
              <w:pStyle w:val="79"/>
              <w:keepNext w:val="0"/>
              <w:keepLines w:val="0"/>
              <w:suppressLineNumbers w:val="0"/>
              <w:spacing w:before="0" w:beforeAutospacing="0" w:after="0" w:afterAutospacing="0" w:line="360" w:lineRule="auto"/>
              <w:ind w:left="0" w:right="0" w:firstLine="480"/>
              <w:jc w:val="both"/>
              <w:rPr>
                <w:rFonts w:hint="eastAsia" w:cs="Times New Roman"/>
                <w:color w:val="auto"/>
                <w:highlight w:val="none"/>
                <w:lang w:val="en-US" w:eastAsia="zh-CN"/>
              </w:rPr>
            </w:pPr>
          </w:p>
          <w:p w14:paraId="10E75737">
            <w:pPr>
              <w:pStyle w:val="79"/>
              <w:keepNext w:val="0"/>
              <w:keepLines w:val="0"/>
              <w:suppressLineNumbers w:val="0"/>
              <w:spacing w:before="0" w:beforeAutospacing="0" w:after="0" w:afterAutospacing="0" w:line="360" w:lineRule="auto"/>
              <w:ind w:left="0" w:right="0" w:firstLine="480"/>
              <w:jc w:val="both"/>
              <w:rPr>
                <w:rFonts w:hint="eastAsia" w:cs="Times New Roman"/>
                <w:color w:val="auto"/>
                <w:highlight w:val="none"/>
                <w:lang w:val="en-US" w:eastAsia="zh-CN"/>
              </w:rPr>
            </w:pPr>
          </w:p>
          <w:p w14:paraId="0881A4B5">
            <w:pPr>
              <w:pStyle w:val="79"/>
              <w:keepNext w:val="0"/>
              <w:keepLines w:val="0"/>
              <w:suppressLineNumbers w:val="0"/>
              <w:spacing w:before="0" w:beforeAutospacing="0" w:after="0" w:afterAutospacing="0" w:line="360" w:lineRule="auto"/>
              <w:ind w:left="0" w:right="0" w:firstLine="480"/>
              <w:jc w:val="both"/>
              <w:rPr>
                <w:rFonts w:hint="eastAsia" w:cs="Times New Roman"/>
                <w:color w:val="auto"/>
                <w:highlight w:val="none"/>
                <w:lang w:val="en-US" w:eastAsia="zh-CN"/>
              </w:rPr>
            </w:pPr>
          </w:p>
          <w:p w14:paraId="4EB60D60">
            <w:pPr>
              <w:pStyle w:val="79"/>
              <w:keepNext w:val="0"/>
              <w:keepLines w:val="0"/>
              <w:suppressLineNumbers w:val="0"/>
              <w:spacing w:before="0" w:beforeAutospacing="0" w:after="0" w:afterAutospacing="0" w:line="360" w:lineRule="auto"/>
              <w:ind w:left="0" w:right="0" w:firstLine="480"/>
              <w:jc w:val="both"/>
              <w:rPr>
                <w:rFonts w:hint="eastAsia" w:cs="Times New Roman"/>
                <w:color w:val="auto"/>
                <w:highlight w:val="none"/>
                <w:lang w:val="en-US" w:eastAsia="zh-CN"/>
              </w:rPr>
            </w:pPr>
          </w:p>
          <w:p w14:paraId="0EA56866">
            <w:pPr>
              <w:pStyle w:val="79"/>
              <w:keepNext w:val="0"/>
              <w:keepLines w:val="0"/>
              <w:suppressLineNumbers w:val="0"/>
              <w:spacing w:before="0" w:beforeAutospacing="0" w:after="0" w:afterAutospacing="0" w:line="360" w:lineRule="auto"/>
              <w:ind w:left="0" w:right="0" w:firstLine="480"/>
              <w:jc w:val="both"/>
              <w:rPr>
                <w:rFonts w:hint="eastAsia" w:cs="Times New Roman"/>
                <w:color w:val="auto"/>
                <w:highlight w:val="none"/>
                <w:lang w:val="en-US" w:eastAsia="zh-CN"/>
              </w:rPr>
            </w:pPr>
          </w:p>
          <w:p w14:paraId="57EA7DF3">
            <w:pPr>
              <w:pStyle w:val="79"/>
              <w:keepNext w:val="0"/>
              <w:keepLines w:val="0"/>
              <w:suppressLineNumbers w:val="0"/>
              <w:spacing w:before="0" w:beforeAutospacing="0" w:after="0" w:afterAutospacing="0" w:line="360" w:lineRule="auto"/>
              <w:ind w:left="0" w:right="0" w:firstLine="480"/>
              <w:jc w:val="both"/>
              <w:rPr>
                <w:rFonts w:hint="eastAsia" w:cs="Times New Roman"/>
                <w:color w:val="auto"/>
                <w:highlight w:val="none"/>
                <w:lang w:val="en-US" w:eastAsia="zh-CN"/>
              </w:rPr>
            </w:pPr>
          </w:p>
          <w:p w14:paraId="4208916B">
            <w:pPr>
              <w:pStyle w:val="79"/>
              <w:keepNext w:val="0"/>
              <w:keepLines w:val="0"/>
              <w:suppressLineNumbers w:val="0"/>
              <w:spacing w:before="0" w:beforeAutospacing="0" w:after="0" w:afterAutospacing="0" w:line="360" w:lineRule="auto"/>
              <w:ind w:left="0" w:leftChars="0" w:right="0" w:firstLine="0" w:firstLineChars="0"/>
              <w:jc w:val="both"/>
              <w:rPr>
                <w:rFonts w:hint="default" w:ascii="Times New Roman" w:hAnsi="Times New Roman" w:cs="Times New Roman"/>
                <w:color w:val="auto"/>
                <w:sz w:val="24"/>
                <w:highlight w:val="none"/>
                <w:lang w:val="en-US"/>
              </w:rPr>
            </w:pPr>
            <w:r>
              <w:rPr>
                <w:rFonts w:hint="eastAsia" w:cs="Times New Roman"/>
                <w:color w:val="auto"/>
                <w:highlight w:val="none"/>
                <w:lang w:val="en-US" w:eastAsia="zh-CN"/>
              </w:rPr>
              <w:t xml:space="preserve">  </w:t>
            </w:r>
          </w:p>
        </w:tc>
      </w:tr>
      <w:tr w14:paraId="0B281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832" w:type="dxa"/>
            <w:noWrap w:val="0"/>
            <w:tcMar>
              <w:left w:w="28" w:type="dxa"/>
              <w:right w:w="28" w:type="dxa"/>
            </w:tcMar>
            <w:vAlign w:val="center"/>
          </w:tcPr>
          <w:p w14:paraId="4707B9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运营期环境影</w:t>
            </w:r>
          </w:p>
          <w:p w14:paraId="7B3E0B3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highlight w:val="none"/>
              </w:rPr>
            </w:pPr>
            <w:r>
              <w:rPr>
                <w:rFonts w:hint="default" w:ascii="Times New Roman" w:hAnsi="Times New Roman" w:cs="Times New Roman"/>
                <w:bCs/>
                <w:color w:val="auto"/>
                <w:szCs w:val="21"/>
                <w:highlight w:val="none"/>
              </w:rPr>
              <w:t>响和保护措施</w:t>
            </w:r>
          </w:p>
        </w:tc>
        <w:tc>
          <w:tcPr>
            <w:tcW w:w="9103" w:type="dxa"/>
            <w:noWrap w:val="0"/>
            <w:vAlign w:val="top"/>
          </w:tcPr>
          <w:p w14:paraId="4ED0E5C6">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一、废气</w:t>
            </w:r>
          </w:p>
          <w:p w14:paraId="0BB57A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表4-</w:t>
            </w:r>
            <w:r>
              <w:rPr>
                <w:rFonts w:hint="eastAsia" w:cs="Times New Roman"/>
                <w:b/>
                <w:color w:val="auto"/>
                <w:szCs w:val="21"/>
                <w:highlight w:val="none"/>
                <w:lang w:val="en-US" w:eastAsia="zh-CN"/>
              </w:rPr>
              <w:t>2</w:t>
            </w:r>
            <w:r>
              <w:rPr>
                <w:rFonts w:hint="default" w:ascii="Times New Roman" w:hAnsi="Times New Roman" w:eastAsia="宋体" w:cs="Times New Roman"/>
                <w:b/>
                <w:color w:val="auto"/>
                <w:szCs w:val="21"/>
                <w:highlight w:val="none"/>
                <w:lang w:val="en-US" w:eastAsia="zh-CN"/>
              </w:rPr>
              <w:t xml:space="preserve"> 废气污染物排放情况一览表</w:t>
            </w:r>
          </w:p>
          <w:tbl>
            <w:tblPr>
              <w:tblStyle w:val="36"/>
              <w:tblW w:w="849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76"/>
              <w:gridCol w:w="2341"/>
              <w:gridCol w:w="1794"/>
              <w:gridCol w:w="894"/>
              <w:gridCol w:w="900"/>
              <w:gridCol w:w="1794"/>
            </w:tblGrid>
            <w:tr w14:paraId="36BAFF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1" w:hRule="atLeast"/>
                <w:jc w:val="center"/>
              </w:trPr>
              <w:tc>
                <w:tcPr>
                  <w:tcW w:w="3117" w:type="dxa"/>
                  <w:gridSpan w:val="2"/>
                  <w:noWrap w:val="0"/>
                  <w:vAlign w:val="center"/>
                </w:tcPr>
                <w:p w14:paraId="7A4C844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产排污环节</w:t>
                  </w:r>
                </w:p>
              </w:tc>
              <w:tc>
                <w:tcPr>
                  <w:tcW w:w="1794" w:type="dxa"/>
                  <w:tcBorders>
                    <w:left w:val="single" w:color="auto" w:sz="4" w:space="0"/>
                  </w:tcBorders>
                  <w:noWrap w:val="0"/>
                  <w:vAlign w:val="center"/>
                </w:tcPr>
                <w:p w14:paraId="4438241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投料过程</w:t>
                  </w:r>
                </w:p>
              </w:tc>
              <w:tc>
                <w:tcPr>
                  <w:tcW w:w="1794" w:type="dxa"/>
                  <w:gridSpan w:val="2"/>
                  <w:tcBorders>
                    <w:left w:val="single" w:color="auto" w:sz="4" w:space="0"/>
                  </w:tcBorders>
                  <w:noWrap w:val="0"/>
                  <w:vAlign w:val="center"/>
                </w:tcPr>
                <w:p w14:paraId="4BF203FB">
                  <w:pPr>
                    <w:keepNext w:val="0"/>
                    <w:keepLines w:val="0"/>
                    <w:suppressLineNumbers w:val="0"/>
                    <w:autoSpaceDE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筛分过程</w:t>
                  </w:r>
                </w:p>
              </w:tc>
              <w:tc>
                <w:tcPr>
                  <w:tcW w:w="1794" w:type="dxa"/>
                  <w:tcBorders>
                    <w:left w:val="single" w:color="auto" w:sz="4" w:space="0"/>
                  </w:tcBorders>
                  <w:noWrap w:val="0"/>
                  <w:vAlign w:val="center"/>
                </w:tcPr>
                <w:p w14:paraId="478FEA31">
                  <w:pPr>
                    <w:keepNext w:val="0"/>
                    <w:keepLines w:val="0"/>
                    <w:suppressLineNumbers w:val="0"/>
                    <w:autoSpaceDE w:val="0"/>
                    <w:adjustRightInd w:val="0"/>
                    <w:snapToGrid w:val="0"/>
                    <w:spacing w:before="0" w:beforeAutospacing="0" w:after="0" w:afterAutospacing="0"/>
                    <w:ind w:left="0" w:right="0"/>
                    <w:jc w:val="center"/>
                    <w:rPr>
                      <w:rFonts w:hint="eastAsia" w:cs="Times New Roman"/>
                      <w:color w:val="auto"/>
                      <w:highlight w:val="none"/>
                      <w:lang w:val="en-US" w:eastAsia="zh-CN"/>
                    </w:rPr>
                  </w:pPr>
                  <w:r>
                    <w:rPr>
                      <w:rFonts w:hint="eastAsia" w:cs="Times New Roman"/>
                      <w:color w:val="auto"/>
                      <w:highlight w:val="none"/>
                      <w:lang w:val="en-US" w:eastAsia="zh-CN"/>
                    </w:rPr>
                    <w:t>包装</w:t>
                  </w:r>
                  <w:r>
                    <w:rPr>
                      <w:rFonts w:hint="eastAsia" w:ascii="Times New Roman" w:hAnsi="Times New Roman" w:cs="Times New Roman"/>
                      <w:color w:val="auto"/>
                      <w:highlight w:val="none"/>
                      <w:lang w:val="en-US" w:eastAsia="zh-CN"/>
                    </w:rPr>
                    <w:t>过程</w:t>
                  </w:r>
                </w:p>
              </w:tc>
            </w:tr>
            <w:tr w14:paraId="7874EC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3117" w:type="dxa"/>
                  <w:gridSpan w:val="2"/>
                  <w:noWrap w:val="0"/>
                  <w:vAlign w:val="center"/>
                </w:tcPr>
                <w:p w14:paraId="3731D1C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污染物种类</w:t>
                  </w:r>
                </w:p>
              </w:tc>
              <w:tc>
                <w:tcPr>
                  <w:tcW w:w="1794" w:type="dxa"/>
                  <w:tcBorders>
                    <w:left w:val="single" w:color="auto" w:sz="4" w:space="0"/>
                  </w:tcBorders>
                  <w:noWrap w:val="0"/>
                  <w:vAlign w:val="center"/>
                </w:tcPr>
                <w:p w14:paraId="2B69A3A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1794" w:type="dxa"/>
                  <w:gridSpan w:val="2"/>
                  <w:tcBorders>
                    <w:left w:val="single" w:color="auto" w:sz="4" w:space="0"/>
                  </w:tcBorders>
                  <w:noWrap w:val="0"/>
                  <w:vAlign w:val="center"/>
                </w:tcPr>
                <w:p w14:paraId="5AFAC37F">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c>
                <w:tcPr>
                  <w:tcW w:w="1794" w:type="dxa"/>
                  <w:tcBorders>
                    <w:left w:val="single" w:color="auto" w:sz="4" w:space="0"/>
                  </w:tcBorders>
                  <w:noWrap w:val="0"/>
                  <w:vAlign w:val="center"/>
                </w:tcPr>
                <w:p w14:paraId="3F672133">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r>
            <w:tr w14:paraId="4D57B3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3117" w:type="dxa"/>
                  <w:gridSpan w:val="2"/>
                  <w:noWrap w:val="0"/>
                  <w:vAlign w:val="center"/>
                </w:tcPr>
                <w:p w14:paraId="3A051EC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产生量（t/a）</w:t>
                  </w:r>
                </w:p>
              </w:tc>
              <w:tc>
                <w:tcPr>
                  <w:tcW w:w="1794" w:type="dxa"/>
                  <w:noWrap w:val="0"/>
                  <w:vAlign w:val="center"/>
                </w:tcPr>
                <w:p w14:paraId="436BE73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w:t>
                  </w:r>
                </w:p>
              </w:tc>
              <w:tc>
                <w:tcPr>
                  <w:tcW w:w="1794" w:type="dxa"/>
                  <w:gridSpan w:val="2"/>
                  <w:noWrap w:val="0"/>
                  <w:vAlign w:val="center"/>
                </w:tcPr>
                <w:p w14:paraId="0074506D">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794" w:type="dxa"/>
                  <w:noWrap w:val="0"/>
                  <w:vAlign w:val="center"/>
                </w:tcPr>
                <w:p w14:paraId="36E8E7D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2.5</w:t>
                  </w:r>
                </w:p>
              </w:tc>
            </w:tr>
            <w:tr w14:paraId="7047EF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3117" w:type="dxa"/>
                  <w:gridSpan w:val="2"/>
                  <w:noWrap w:val="0"/>
                  <w:vAlign w:val="center"/>
                </w:tcPr>
                <w:p w14:paraId="4BF2276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eastAsia" w:cs="Times New Roman"/>
                      <w:b/>
                      <w:bCs/>
                      <w:color w:val="auto"/>
                      <w:highlight w:val="none"/>
                      <w:lang w:eastAsia="zh-CN"/>
                    </w:rPr>
                    <w:t xml:space="preserve"> </w:t>
                  </w:r>
                  <w:r>
                    <w:rPr>
                      <w:rFonts w:hint="default" w:ascii="Times New Roman" w:hAnsi="Times New Roman" w:cs="Times New Roman"/>
                      <w:b/>
                      <w:bCs/>
                      <w:color w:val="auto"/>
                      <w:highlight w:val="none"/>
                      <w:lang w:eastAsia="zh-CN"/>
                    </w:rPr>
                    <w:t>有组织</w:t>
                  </w:r>
                  <w:r>
                    <w:rPr>
                      <w:rFonts w:hint="default" w:ascii="Times New Roman" w:hAnsi="Times New Roman" w:cs="Times New Roman"/>
                      <w:b/>
                      <w:bCs/>
                      <w:color w:val="auto"/>
                      <w:highlight w:val="none"/>
                    </w:rPr>
                    <w:t>产生</w:t>
                  </w:r>
                  <w:r>
                    <w:rPr>
                      <w:rFonts w:hint="default" w:ascii="Times New Roman" w:hAnsi="Times New Roman" w:cs="Times New Roman"/>
                      <w:b/>
                      <w:bCs/>
                      <w:color w:val="auto"/>
                      <w:highlight w:val="none"/>
                      <w:lang w:eastAsia="zh-CN"/>
                    </w:rPr>
                    <w:t>量</w:t>
                  </w:r>
                  <w:r>
                    <w:rPr>
                      <w:rFonts w:hint="default" w:ascii="Times New Roman" w:hAnsi="Times New Roman" w:cs="Times New Roman"/>
                      <w:b/>
                      <w:bCs/>
                      <w:color w:val="auto"/>
                      <w:highlight w:val="none"/>
                    </w:rPr>
                    <w:t>（t/a）</w:t>
                  </w:r>
                </w:p>
              </w:tc>
              <w:tc>
                <w:tcPr>
                  <w:tcW w:w="1794" w:type="dxa"/>
                  <w:noWrap w:val="0"/>
                  <w:vAlign w:val="center"/>
                </w:tcPr>
                <w:p w14:paraId="6C4989C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3.8</w:t>
                  </w:r>
                </w:p>
              </w:tc>
              <w:tc>
                <w:tcPr>
                  <w:tcW w:w="1794" w:type="dxa"/>
                  <w:gridSpan w:val="2"/>
                  <w:noWrap w:val="0"/>
                  <w:vAlign w:val="center"/>
                </w:tcPr>
                <w:p w14:paraId="31B851E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794" w:type="dxa"/>
                  <w:noWrap w:val="0"/>
                  <w:vAlign w:val="center"/>
                </w:tcPr>
                <w:p w14:paraId="2CBD27CA">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2.38</w:t>
                  </w:r>
                </w:p>
              </w:tc>
            </w:tr>
            <w:tr w14:paraId="32643F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3117" w:type="dxa"/>
                  <w:gridSpan w:val="2"/>
                  <w:noWrap w:val="0"/>
                  <w:vAlign w:val="center"/>
                </w:tcPr>
                <w:p w14:paraId="5A81225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有组织</w:t>
                  </w:r>
                  <w:r>
                    <w:rPr>
                      <w:rFonts w:hint="default" w:ascii="Times New Roman" w:hAnsi="Times New Roman" w:cs="Times New Roman"/>
                      <w:b/>
                      <w:bCs/>
                      <w:color w:val="auto"/>
                      <w:highlight w:val="none"/>
                    </w:rPr>
                    <w:t>产生浓度（mg/m³）</w:t>
                  </w:r>
                </w:p>
              </w:tc>
              <w:tc>
                <w:tcPr>
                  <w:tcW w:w="5382" w:type="dxa"/>
                  <w:gridSpan w:val="4"/>
                  <w:tcBorders>
                    <w:left w:val="single" w:color="auto" w:sz="4" w:space="0"/>
                  </w:tcBorders>
                  <w:noWrap w:val="0"/>
                  <w:vAlign w:val="center"/>
                </w:tcPr>
                <w:p w14:paraId="26078537">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727.22</w:t>
                  </w:r>
                </w:p>
              </w:tc>
            </w:tr>
            <w:tr w14:paraId="4ED951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7" w:hRule="atLeast"/>
                <w:jc w:val="center"/>
              </w:trPr>
              <w:tc>
                <w:tcPr>
                  <w:tcW w:w="3117" w:type="dxa"/>
                  <w:gridSpan w:val="2"/>
                  <w:noWrap w:val="0"/>
                  <w:vAlign w:val="center"/>
                </w:tcPr>
                <w:p w14:paraId="61AC953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有组织</w:t>
                  </w:r>
                  <w:r>
                    <w:rPr>
                      <w:rFonts w:hint="default" w:ascii="Times New Roman" w:hAnsi="Times New Roman" w:cs="Times New Roman"/>
                      <w:b/>
                      <w:bCs/>
                      <w:color w:val="auto"/>
                      <w:highlight w:val="none"/>
                    </w:rPr>
                    <w:t>产生速率（kg/h）</w:t>
                  </w:r>
                </w:p>
              </w:tc>
              <w:tc>
                <w:tcPr>
                  <w:tcW w:w="5382" w:type="dxa"/>
                  <w:gridSpan w:val="4"/>
                  <w:tcBorders>
                    <w:left w:val="single" w:color="auto" w:sz="4" w:space="0"/>
                  </w:tcBorders>
                  <w:noWrap w:val="0"/>
                  <w:vAlign w:val="center"/>
                </w:tcPr>
                <w:p w14:paraId="10ACDA3B">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10.91</w:t>
                  </w:r>
                </w:p>
              </w:tc>
            </w:tr>
            <w:tr w14:paraId="6306C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3117" w:type="dxa"/>
                  <w:gridSpan w:val="2"/>
                  <w:noWrap w:val="0"/>
                  <w:vAlign w:val="center"/>
                </w:tcPr>
                <w:p w14:paraId="0225BF9A">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排放形式</w:t>
                  </w:r>
                </w:p>
              </w:tc>
              <w:tc>
                <w:tcPr>
                  <w:tcW w:w="5382" w:type="dxa"/>
                  <w:gridSpan w:val="4"/>
                  <w:tcBorders>
                    <w:left w:val="single" w:color="auto" w:sz="4" w:space="0"/>
                  </w:tcBorders>
                  <w:noWrap w:val="0"/>
                  <w:vAlign w:val="center"/>
                </w:tcPr>
                <w:p w14:paraId="2C88DE4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w:t>
                  </w:r>
                </w:p>
              </w:tc>
            </w:tr>
            <w:tr w14:paraId="29F2A8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1" w:hRule="atLeast"/>
                <w:jc w:val="center"/>
              </w:trPr>
              <w:tc>
                <w:tcPr>
                  <w:tcW w:w="776" w:type="dxa"/>
                  <w:vMerge w:val="restart"/>
                  <w:noWrap w:val="0"/>
                  <w:vAlign w:val="center"/>
                </w:tcPr>
                <w:p w14:paraId="0DF9292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治理设施</w:t>
                  </w:r>
                </w:p>
              </w:tc>
              <w:tc>
                <w:tcPr>
                  <w:tcW w:w="2341" w:type="dxa"/>
                  <w:noWrap w:val="0"/>
                  <w:vAlign w:val="center"/>
                </w:tcPr>
                <w:p w14:paraId="257082C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治理工艺</w:t>
                  </w:r>
                </w:p>
              </w:tc>
              <w:tc>
                <w:tcPr>
                  <w:tcW w:w="5382" w:type="dxa"/>
                  <w:gridSpan w:val="4"/>
                  <w:tcBorders>
                    <w:left w:val="single" w:color="auto" w:sz="4" w:space="0"/>
                  </w:tcBorders>
                  <w:noWrap w:val="0"/>
                  <w:vAlign w:val="center"/>
                </w:tcPr>
                <w:p w14:paraId="17B91C15">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布袋除尘器</w:t>
                  </w:r>
                </w:p>
              </w:tc>
            </w:tr>
            <w:tr w14:paraId="17F886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8" w:hRule="atLeast"/>
                <w:jc w:val="center"/>
              </w:trPr>
              <w:tc>
                <w:tcPr>
                  <w:tcW w:w="776" w:type="dxa"/>
                  <w:vMerge w:val="continue"/>
                  <w:noWrap w:val="0"/>
                  <w:vAlign w:val="center"/>
                </w:tcPr>
                <w:p w14:paraId="241B97E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4BD7203B">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处理能力（m³/h）</w:t>
                  </w:r>
                </w:p>
              </w:tc>
              <w:tc>
                <w:tcPr>
                  <w:tcW w:w="5382" w:type="dxa"/>
                  <w:gridSpan w:val="4"/>
                  <w:tcBorders>
                    <w:left w:val="single" w:color="auto" w:sz="4" w:space="0"/>
                  </w:tcBorders>
                  <w:noWrap w:val="0"/>
                  <w:vAlign w:val="center"/>
                </w:tcPr>
                <w:p w14:paraId="0F88756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15000</w:t>
                  </w:r>
                </w:p>
              </w:tc>
            </w:tr>
            <w:tr w14:paraId="47254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2E7B1653">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287EC2F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收集效率（%）</w:t>
                  </w:r>
                </w:p>
              </w:tc>
              <w:tc>
                <w:tcPr>
                  <w:tcW w:w="1794" w:type="dxa"/>
                  <w:tcBorders>
                    <w:left w:val="single" w:color="auto" w:sz="4" w:space="0"/>
                  </w:tcBorders>
                  <w:noWrap w:val="0"/>
                  <w:vAlign w:val="center"/>
                </w:tcPr>
                <w:p w14:paraId="72D7414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95</w:t>
                  </w:r>
                </w:p>
              </w:tc>
              <w:tc>
                <w:tcPr>
                  <w:tcW w:w="1794" w:type="dxa"/>
                  <w:gridSpan w:val="2"/>
                  <w:tcBorders>
                    <w:left w:val="single" w:color="auto" w:sz="4" w:space="0"/>
                  </w:tcBorders>
                  <w:noWrap w:val="0"/>
                  <w:vAlign w:val="center"/>
                </w:tcPr>
                <w:p w14:paraId="56C6ECBC">
                  <w:pPr>
                    <w:keepNext w:val="0"/>
                    <w:keepLines w:val="0"/>
                    <w:suppressLineNumbers w:val="0"/>
                    <w:autoSpaceDE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100</w:t>
                  </w:r>
                </w:p>
              </w:tc>
              <w:tc>
                <w:tcPr>
                  <w:tcW w:w="1794" w:type="dxa"/>
                  <w:tcBorders>
                    <w:left w:val="single" w:color="auto" w:sz="4" w:space="0"/>
                  </w:tcBorders>
                  <w:noWrap w:val="0"/>
                  <w:vAlign w:val="center"/>
                </w:tcPr>
                <w:p w14:paraId="7E2110F1">
                  <w:pPr>
                    <w:keepNext w:val="0"/>
                    <w:keepLines w:val="0"/>
                    <w:suppressLineNumbers w:val="0"/>
                    <w:autoSpaceDE w:val="0"/>
                    <w:adjustRightInd w:val="0"/>
                    <w:snapToGrid w:val="0"/>
                    <w:spacing w:before="0" w:beforeAutospacing="0" w:after="0" w:afterAutospacing="0"/>
                    <w:ind w:left="0" w:right="0"/>
                    <w:jc w:val="center"/>
                    <w:rPr>
                      <w:rFonts w:hint="eastAsia" w:cs="Times New Roman"/>
                      <w:color w:val="auto"/>
                      <w:highlight w:val="none"/>
                      <w:lang w:val="en-US" w:eastAsia="zh-CN"/>
                    </w:rPr>
                  </w:pPr>
                  <w:r>
                    <w:rPr>
                      <w:rFonts w:hint="eastAsia" w:cs="Times New Roman"/>
                      <w:color w:val="auto"/>
                      <w:highlight w:val="none"/>
                      <w:lang w:val="en-US" w:eastAsia="zh-CN"/>
                    </w:rPr>
                    <w:t>95</w:t>
                  </w:r>
                </w:p>
              </w:tc>
            </w:tr>
            <w:tr w14:paraId="731A83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76" w:type="dxa"/>
                  <w:vMerge w:val="continue"/>
                  <w:noWrap w:val="0"/>
                  <w:vAlign w:val="center"/>
                </w:tcPr>
                <w:p w14:paraId="5591F59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1AC8A18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治理工艺去除率（%）</w:t>
                  </w:r>
                </w:p>
              </w:tc>
              <w:tc>
                <w:tcPr>
                  <w:tcW w:w="5382" w:type="dxa"/>
                  <w:gridSpan w:val="4"/>
                  <w:tcBorders>
                    <w:left w:val="single" w:color="auto" w:sz="4" w:space="0"/>
                  </w:tcBorders>
                  <w:noWrap w:val="0"/>
                  <w:vAlign w:val="center"/>
                </w:tcPr>
                <w:p w14:paraId="33CDEDA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99</w:t>
                  </w:r>
                </w:p>
              </w:tc>
            </w:tr>
            <w:tr w14:paraId="523DEC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8" w:hRule="atLeast"/>
                <w:jc w:val="center"/>
              </w:trPr>
              <w:tc>
                <w:tcPr>
                  <w:tcW w:w="776" w:type="dxa"/>
                  <w:vMerge w:val="continue"/>
                  <w:noWrap w:val="0"/>
                  <w:vAlign w:val="center"/>
                </w:tcPr>
                <w:p w14:paraId="25FD08C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0245D4C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是否为可行技术</w:t>
                  </w:r>
                </w:p>
              </w:tc>
              <w:tc>
                <w:tcPr>
                  <w:tcW w:w="5382" w:type="dxa"/>
                  <w:gridSpan w:val="4"/>
                  <w:tcBorders>
                    <w:left w:val="single" w:color="auto" w:sz="4" w:space="0"/>
                  </w:tcBorders>
                  <w:noWrap w:val="0"/>
                  <w:vAlign w:val="center"/>
                </w:tcPr>
                <w:p w14:paraId="51718DDB">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是</w:t>
                  </w:r>
                </w:p>
              </w:tc>
            </w:tr>
            <w:tr w14:paraId="390F3E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4" w:hRule="atLeast"/>
                <w:jc w:val="center"/>
              </w:trPr>
              <w:tc>
                <w:tcPr>
                  <w:tcW w:w="3117" w:type="dxa"/>
                  <w:gridSpan w:val="2"/>
                  <w:noWrap w:val="0"/>
                  <w:vAlign w:val="center"/>
                </w:tcPr>
                <w:p w14:paraId="4F5C06D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污染物排放浓度（mg/m³）</w:t>
                  </w:r>
                </w:p>
              </w:tc>
              <w:tc>
                <w:tcPr>
                  <w:tcW w:w="5382" w:type="dxa"/>
                  <w:gridSpan w:val="4"/>
                  <w:noWrap w:val="0"/>
                  <w:vAlign w:val="center"/>
                </w:tcPr>
                <w:p w14:paraId="38F6267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7.22</w:t>
                  </w:r>
                </w:p>
              </w:tc>
            </w:tr>
            <w:tr w14:paraId="0CCDEB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9" w:hRule="atLeast"/>
                <w:jc w:val="center"/>
              </w:trPr>
              <w:tc>
                <w:tcPr>
                  <w:tcW w:w="3117" w:type="dxa"/>
                  <w:gridSpan w:val="2"/>
                  <w:noWrap w:val="0"/>
                  <w:vAlign w:val="center"/>
                </w:tcPr>
                <w:p w14:paraId="4536BA0A">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污染物排放速率（kg/h）</w:t>
                  </w:r>
                </w:p>
              </w:tc>
              <w:tc>
                <w:tcPr>
                  <w:tcW w:w="5382" w:type="dxa"/>
                  <w:gridSpan w:val="4"/>
                  <w:noWrap w:val="0"/>
                  <w:vAlign w:val="center"/>
                </w:tcPr>
                <w:p w14:paraId="63FE765B">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0.11</w:t>
                  </w:r>
                </w:p>
              </w:tc>
            </w:tr>
            <w:tr w14:paraId="6EAD4C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3117" w:type="dxa"/>
                  <w:gridSpan w:val="2"/>
                  <w:noWrap w:val="0"/>
                  <w:vAlign w:val="center"/>
                </w:tcPr>
                <w:p w14:paraId="193B1E9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污染物排放量（t/a）</w:t>
                  </w:r>
                </w:p>
              </w:tc>
              <w:tc>
                <w:tcPr>
                  <w:tcW w:w="5382" w:type="dxa"/>
                  <w:gridSpan w:val="4"/>
                  <w:tcBorders>
                    <w:left w:val="single" w:color="auto" w:sz="4" w:space="0"/>
                  </w:tcBorders>
                  <w:noWrap w:val="0"/>
                  <w:vAlign w:val="center"/>
                </w:tcPr>
                <w:p w14:paraId="6FBE337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0.26</w:t>
                  </w:r>
                </w:p>
              </w:tc>
            </w:tr>
            <w:tr w14:paraId="019ADD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restart"/>
                  <w:noWrap w:val="0"/>
                  <w:vAlign w:val="center"/>
                </w:tcPr>
                <w:p w14:paraId="267F168D">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排放口基本情况</w:t>
                  </w:r>
                </w:p>
              </w:tc>
              <w:tc>
                <w:tcPr>
                  <w:tcW w:w="2341" w:type="dxa"/>
                  <w:noWrap w:val="0"/>
                  <w:vAlign w:val="center"/>
                </w:tcPr>
                <w:p w14:paraId="22C90F3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高度（m）</w:t>
                  </w:r>
                </w:p>
              </w:tc>
              <w:tc>
                <w:tcPr>
                  <w:tcW w:w="5382" w:type="dxa"/>
                  <w:gridSpan w:val="4"/>
                  <w:tcBorders>
                    <w:left w:val="single" w:color="auto" w:sz="4" w:space="0"/>
                  </w:tcBorders>
                  <w:noWrap w:val="0"/>
                  <w:vAlign w:val="center"/>
                </w:tcPr>
                <w:p w14:paraId="202C1D56">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r>
            <w:tr w14:paraId="69193A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3DE31D6F">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0E841DB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排气筒内径（m）</w:t>
                  </w:r>
                </w:p>
              </w:tc>
              <w:tc>
                <w:tcPr>
                  <w:tcW w:w="5382" w:type="dxa"/>
                  <w:gridSpan w:val="4"/>
                  <w:tcBorders>
                    <w:left w:val="single" w:color="auto" w:sz="4" w:space="0"/>
                  </w:tcBorders>
                  <w:noWrap w:val="0"/>
                  <w:vAlign w:val="center"/>
                </w:tcPr>
                <w:p w14:paraId="533EF8A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0.6</w:t>
                  </w:r>
                </w:p>
              </w:tc>
            </w:tr>
            <w:tr w14:paraId="2A5A50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7449C23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32FAD7B5">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温度（℃）</w:t>
                  </w:r>
                </w:p>
              </w:tc>
              <w:tc>
                <w:tcPr>
                  <w:tcW w:w="5382" w:type="dxa"/>
                  <w:gridSpan w:val="4"/>
                  <w:tcBorders>
                    <w:left w:val="single" w:color="auto" w:sz="4" w:space="0"/>
                  </w:tcBorders>
                  <w:noWrap w:val="0"/>
                  <w:vAlign w:val="center"/>
                </w:tcPr>
                <w:p w14:paraId="074EABC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环境温度</w:t>
                  </w:r>
                </w:p>
              </w:tc>
            </w:tr>
            <w:tr w14:paraId="51A5CF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1B38C1F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4D087AE8">
                  <w:pPr>
                    <w:keepNext w:val="0"/>
                    <w:keepLines w:val="0"/>
                    <w:suppressLineNumbers w:val="0"/>
                    <w:autoSpaceDE w:val="0"/>
                    <w:adjustRightInd w:val="0"/>
                    <w:snapToGrid w:val="0"/>
                    <w:spacing w:before="0" w:beforeAutospacing="0" w:after="0" w:afterAutospacing="0"/>
                    <w:ind w:left="0" w:right="0"/>
                    <w:jc w:val="center"/>
                    <w:rPr>
                      <w:rFonts w:hint="eastAsia"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年排放时数</w:t>
                  </w: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lang w:val="en-US" w:eastAsia="zh-CN"/>
                    </w:rPr>
                    <w:t>h</w:t>
                  </w:r>
                  <w:r>
                    <w:rPr>
                      <w:rFonts w:hint="eastAsia" w:ascii="Times New Roman" w:hAnsi="Times New Roman" w:cs="Times New Roman"/>
                      <w:b/>
                      <w:bCs/>
                      <w:color w:val="auto"/>
                      <w:highlight w:val="none"/>
                      <w:lang w:eastAsia="zh-CN"/>
                    </w:rPr>
                    <w:t>）</w:t>
                  </w:r>
                </w:p>
              </w:tc>
              <w:tc>
                <w:tcPr>
                  <w:tcW w:w="5382" w:type="dxa"/>
                  <w:gridSpan w:val="4"/>
                  <w:tcBorders>
                    <w:left w:val="single" w:color="auto" w:sz="4" w:space="0"/>
                  </w:tcBorders>
                  <w:noWrap w:val="0"/>
                  <w:vAlign w:val="center"/>
                </w:tcPr>
                <w:p w14:paraId="1C428D4A">
                  <w:pPr>
                    <w:keepNext w:val="0"/>
                    <w:keepLines w:val="0"/>
                    <w:suppressLineNumbers w:val="0"/>
                    <w:autoSpaceDE w:val="0"/>
                    <w:adjustRightInd w:val="0"/>
                    <w:snapToGrid w:val="0"/>
                    <w:spacing w:before="0" w:beforeAutospacing="0" w:after="0" w:afterAutospacing="0"/>
                    <w:ind w:left="0" w:right="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2400</w:t>
                  </w:r>
                </w:p>
              </w:tc>
            </w:tr>
            <w:tr w14:paraId="797583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0626B17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0E36F64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编号及名称</w:t>
                  </w:r>
                </w:p>
              </w:tc>
              <w:tc>
                <w:tcPr>
                  <w:tcW w:w="5382" w:type="dxa"/>
                  <w:gridSpan w:val="4"/>
                  <w:tcBorders>
                    <w:left w:val="single" w:color="auto" w:sz="4" w:space="0"/>
                  </w:tcBorders>
                  <w:noWrap w:val="0"/>
                  <w:vAlign w:val="center"/>
                </w:tcPr>
                <w:p w14:paraId="1950ABA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DA00</w:t>
                  </w:r>
                  <w:r>
                    <w:rPr>
                      <w:rFonts w:hint="eastAsia" w:cs="Times New Roman"/>
                      <w:color w:val="auto"/>
                      <w:highlight w:val="none"/>
                      <w:lang w:val="en-US" w:eastAsia="zh-CN"/>
                    </w:rPr>
                    <w:t>1</w:t>
                  </w:r>
                </w:p>
              </w:tc>
            </w:tr>
            <w:tr w14:paraId="4E891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59760F1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487C42E5">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类型</w:t>
                  </w:r>
                </w:p>
              </w:tc>
              <w:tc>
                <w:tcPr>
                  <w:tcW w:w="5382" w:type="dxa"/>
                  <w:gridSpan w:val="4"/>
                  <w:tcBorders>
                    <w:left w:val="single" w:color="auto" w:sz="4" w:space="0"/>
                  </w:tcBorders>
                  <w:noWrap w:val="0"/>
                  <w:vAlign w:val="center"/>
                </w:tcPr>
                <w:p w14:paraId="083D849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一般排放口</w:t>
                  </w:r>
                </w:p>
              </w:tc>
            </w:tr>
            <w:tr w14:paraId="60BEF7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7E34EE5D">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vMerge w:val="restart"/>
                  <w:noWrap w:val="0"/>
                  <w:vAlign w:val="center"/>
                </w:tcPr>
                <w:p w14:paraId="41D42496">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地理坐标</w:t>
                  </w:r>
                </w:p>
              </w:tc>
              <w:tc>
                <w:tcPr>
                  <w:tcW w:w="2688" w:type="dxa"/>
                  <w:gridSpan w:val="2"/>
                  <w:tcBorders>
                    <w:left w:val="single" w:color="auto" w:sz="4" w:space="0"/>
                    <w:bottom w:val="single" w:color="auto" w:sz="4" w:space="0"/>
                    <w:right w:val="single" w:color="auto" w:sz="4" w:space="0"/>
                  </w:tcBorders>
                  <w:noWrap w:val="0"/>
                  <w:vAlign w:val="center"/>
                </w:tcPr>
                <w:p w14:paraId="168EC54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经度</w:t>
                  </w:r>
                </w:p>
              </w:tc>
              <w:tc>
                <w:tcPr>
                  <w:tcW w:w="2694" w:type="dxa"/>
                  <w:gridSpan w:val="2"/>
                  <w:tcBorders>
                    <w:left w:val="single" w:color="auto" w:sz="4" w:space="0"/>
                    <w:bottom w:val="single" w:color="auto" w:sz="4" w:space="0"/>
                  </w:tcBorders>
                  <w:noWrap w:val="0"/>
                  <w:vAlign w:val="center"/>
                </w:tcPr>
                <w:p w14:paraId="039ECC8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纬度</w:t>
                  </w:r>
                </w:p>
              </w:tc>
            </w:tr>
            <w:tr w14:paraId="72F44C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5" w:hRule="atLeast"/>
                <w:jc w:val="center"/>
              </w:trPr>
              <w:tc>
                <w:tcPr>
                  <w:tcW w:w="776" w:type="dxa"/>
                  <w:vMerge w:val="continue"/>
                  <w:noWrap w:val="0"/>
                  <w:vAlign w:val="center"/>
                </w:tcPr>
                <w:p w14:paraId="53A88F5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vMerge w:val="continue"/>
                  <w:noWrap w:val="0"/>
                  <w:vAlign w:val="center"/>
                </w:tcPr>
                <w:p w14:paraId="7899463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688" w:type="dxa"/>
                  <w:gridSpan w:val="2"/>
                  <w:tcBorders>
                    <w:top w:val="single" w:color="auto" w:sz="4" w:space="0"/>
                    <w:left w:val="single" w:color="auto" w:sz="4" w:space="0"/>
                    <w:right w:val="single" w:color="auto" w:sz="4" w:space="0"/>
                  </w:tcBorders>
                  <w:noWrap w:val="0"/>
                  <w:vAlign w:val="center"/>
                </w:tcPr>
                <w:p w14:paraId="36FEFE97">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118.055442°</w:t>
                  </w:r>
                </w:p>
              </w:tc>
              <w:tc>
                <w:tcPr>
                  <w:tcW w:w="2694" w:type="dxa"/>
                  <w:gridSpan w:val="2"/>
                  <w:tcBorders>
                    <w:top w:val="single" w:color="auto" w:sz="4" w:space="0"/>
                    <w:left w:val="single" w:color="auto" w:sz="4" w:space="0"/>
                  </w:tcBorders>
                  <w:noWrap w:val="0"/>
                  <w:vAlign w:val="center"/>
                </w:tcPr>
                <w:p w14:paraId="4780AA9B">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36.667814°</w:t>
                  </w:r>
                </w:p>
              </w:tc>
            </w:tr>
            <w:tr w14:paraId="3ADFC2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5" w:hRule="atLeast"/>
                <w:jc w:val="center"/>
              </w:trPr>
              <w:tc>
                <w:tcPr>
                  <w:tcW w:w="3117" w:type="dxa"/>
                  <w:gridSpan w:val="2"/>
                  <w:noWrap w:val="0"/>
                  <w:vAlign w:val="center"/>
                </w:tcPr>
                <w:p w14:paraId="797F4BF7">
                  <w:pPr>
                    <w:keepNext w:val="0"/>
                    <w:keepLines w:val="0"/>
                    <w:suppressLineNumbers w:val="0"/>
                    <w:autoSpaceDE w:val="0"/>
                    <w:adjustRightInd w:val="0"/>
                    <w:snapToGrid w:val="0"/>
                    <w:spacing w:before="0" w:beforeAutospacing="0" w:after="0" w:afterAutospacing="0"/>
                    <w:ind w:left="0" w:right="0"/>
                    <w:jc w:val="center"/>
                    <w:rPr>
                      <w:rFonts w:hint="eastAsia"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排放标准</w:t>
                  </w:r>
                  <w:r>
                    <w:rPr>
                      <w:rFonts w:hint="eastAsia"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mg/m³</w:t>
                  </w:r>
                  <w:r>
                    <w:rPr>
                      <w:rFonts w:hint="eastAsia" w:ascii="Times New Roman" w:hAnsi="Times New Roman" w:cs="Times New Roman"/>
                      <w:b/>
                      <w:bCs/>
                      <w:color w:val="auto"/>
                      <w:highlight w:val="none"/>
                      <w:lang w:eastAsia="zh-CN"/>
                    </w:rPr>
                    <w:t>）</w:t>
                  </w:r>
                </w:p>
              </w:tc>
              <w:tc>
                <w:tcPr>
                  <w:tcW w:w="5382" w:type="dxa"/>
                  <w:gridSpan w:val="4"/>
                  <w:tcBorders>
                    <w:left w:val="single" w:color="auto" w:sz="4" w:space="0"/>
                  </w:tcBorders>
                  <w:noWrap w:val="0"/>
                  <w:vAlign w:val="center"/>
                </w:tcPr>
                <w:p w14:paraId="57D94556">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0</w:t>
                  </w:r>
                </w:p>
              </w:tc>
            </w:tr>
            <w:tr w14:paraId="4A5A4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restart"/>
                  <w:noWrap w:val="0"/>
                  <w:vAlign w:val="center"/>
                </w:tcPr>
                <w:p w14:paraId="40A347A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监测要求</w:t>
                  </w:r>
                </w:p>
              </w:tc>
              <w:tc>
                <w:tcPr>
                  <w:tcW w:w="2341" w:type="dxa"/>
                  <w:noWrap w:val="0"/>
                  <w:vAlign w:val="center"/>
                </w:tcPr>
                <w:p w14:paraId="79D779D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监测点位</w:t>
                  </w:r>
                </w:p>
              </w:tc>
              <w:tc>
                <w:tcPr>
                  <w:tcW w:w="5382" w:type="dxa"/>
                  <w:gridSpan w:val="4"/>
                  <w:tcBorders>
                    <w:left w:val="single" w:color="auto" w:sz="4" w:space="0"/>
                  </w:tcBorders>
                  <w:noWrap w:val="0"/>
                  <w:vAlign w:val="center"/>
                </w:tcPr>
                <w:p w14:paraId="57FF003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DA00</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排气筒</w:t>
                  </w:r>
                </w:p>
              </w:tc>
            </w:tr>
            <w:tr w14:paraId="2017C3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776" w:type="dxa"/>
                  <w:vMerge w:val="continue"/>
                  <w:noWrap w:val="0"/>
                  <w:vAlign w:val="center"/>
                </w:tcPr>
                <w:p w14:paraId="35D1D746">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7A8642F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监测因子</w:t>
                  </w:r>
                </w:p>
              </w:tc>
              <w:tc>
                <w:tcPr>
                  <w:tcW w:w="5382" w:type="dxa"/>
                  <w:gridSpan w:val="4"/>
                  <w:tcBorders>
                    <w:left w:val="single" w:color="auto" w:sz="4" w:space="0"/>
                  </w:tcBorders>
                  <w:noWrap w:val="0"/>
                  <w:vAlign w:val="center"/>
                </w:tcPr>
                <w:p w14:paraId="6CD47E06">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r>
            <w:tr w14:paraId="7D27B9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776" w:type="dxa"/>
                  <w:vMerge w:val="continue"/>
                  <w:noWrap w:val="0"/>
                  <w:vAlign w:val="center"/>
                </w:tcPr>
                <w:p w14:paraId="684C8F71">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2341" w:type="dxa"/>
                  <w:noWrap w:val="0"/>
                  <w:vAlign w:val="center"/>
                </w:tcPr>
                <w:p w14:paraId="732DF4A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监测频次</w:t>
                  </w:r>
                </w:p>
              </w:tc>
              <w:tc>
                <w:tcPr>
                  <w:tcW w:w="5382" w:type="dxa"/>
                  <w:gridSpan w:val="4"/>
                  <w:tcBorders>
                    <w:left w:val="single" w:color="auto" w:sz="4" w:space="0"/>
                  </w:tcBorders>
                  <w:noWrap w:val="0"/>
                  <w:vAlign w:val="center"/>
                </w:tcPr>
                <w:p w14:paraId="2E4B20B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1次/年</w:t>
                  </w:r>
                </w:p>
              </w:tc>
            </w:tr>
          </w:tbl>
          <w:p w14:paraId="7B6B5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bCs w:val="0"/>
                <w:color w:val="auto"/>
                <w:szCs w:val="21"/>
                <w:highlight w:val="none"/>
                <w:lang w:val="en-US" w:eastAsia="zh-CN"/>
              </w:rPr>
            </w:pPr>
            <w:r>
              <w:rPr>
                <w:rFonts w:hint="default" w:ascii="Times New Roman" w:hAnsi="Times New Roman" w:eastAsia="宋体" w:cs="Times New Roman"/>
                <w:b/>
                <w:bCs w:val="0"/>
                <w:color w:val="auto"/>
                <w:szCs w:val="21"/>
                <w:highlight w:val="none"/>
                <w:lang w:val="en-US" w:eastAsia="zh-CN"/>
              </w:rPr>
              <w:t>表4-</w:t>
            </w:r>
            <w:r>
              <w:rPr>
                <w:rFonts w:hint="eastAsia" w:cs="Times New Roman"/>
                <w:b/>
                <w:bCs w:val="0"/>
                <w:color w:val="auto"/>
                <w:szCs w:val="21"/>
                <w:highlight w:val="none"/>
                <w:lang w:val="en-US" w:eastAsia="zh-CN"/>
              </w:rPr>
              <w:t>3</w:t>
            </w:r>
            <w:r>
              <w:rPr>
                <w:rFonts w:hint="default" w:ascii="Times New Roman" w:hAnsi="Times New Roman" w:eastAsia="宋体" w:cs="Times New Roman"/>
                <w:b/>
                <w:bCs w:val="0"/>
                <w:color w:val="auto"/>
                <w:szCs w:val="21"/>
                <w:highlight w:val="none"/>
                <w:lang w:val="en-US" w:eastAsia="zh-CN"/>
              </w:rPr>
              <w:t xml:space="preserve"> 废气污染物排放情况一览表</w:t>
            </w:r>
          </w:p>
          <w:tbl>
            <w:tblPr>
              <w:tblStyle w:val="36"/>
              <w:tblW w:w="486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785"/>
              <w:gridCol w:w="4711"/>
            </w:tblGrid>
            <w:tr w14:paraId="255B9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3FA67A5D">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bidi="ar"/>
                    </w:rPr>
                    <w:t>产污环节</w:t>
                  </w:r>
                </w:p>
              </w:tc>
              <w:tc>
                <w:tcPr>
                  <w:tcW w:w="4713" w:type="dxa"/>
                  <w:noWrap w:val="0"/>
                  <w:vAlign w:val="center"/>
                </w:tcPr>
                <w:p w14:paraId="659BB444">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未被收集</w:t>
                  </w:r>
                </w:p>
              </w:tc>
            </w:tr>
            <w:tr w14:paraId="6FE953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7AD2C89E">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污染物</w:t>
                  </w:r>
                </w:p>
              </w:tc>
              <w:tc>
                <w:tcPr>
                  <w:tcW w:w="4713" w:type="dxa"/>
                  <w:noWrap w:val="0"/>
                  <w:vAlign w:val="center"/>
                </w:tcPr>
                <w:p w14:paraId="6DCB217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r>
            <w:tr w14:paraId="01DAA2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1203E3EF">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产生量</w:t>
                  </w:r>
                  <w:r>
                    <w:rPr>
                      <w:rFonts w:hint="default" w:ascii="Times New Roman" w:hAnsi="Times New Roman" w:cs="Times New Roman"/>
                      <w:b/>
                      <w:bCs/>
                      <w:color w:val="auto"/>
                      <w:szCs w:val="21"/>
                      <w:highlight w:val="none"/>
                      <w:lang w:eastAsia="zh-CN" w:bidi="ar"/>
                    </w:rPr>
                    <w:t>（</w:t>
                  </w:r>
                  <w:r>
                    <w:rPr>
                      <w:rFonts w:hint="default" w:ascii="Times New Roman" w:hAnsi="Times New Roman" w:cs="Times New Roman"/>
                      <w:b/>
                      <w:bCs/>
                      <w:color w:val="auto"/>
                      <w:szCs w:val="21"/>
                      <w:highlight w:val="none"/>
                      <w:lang w:bidi="ar"/>
                    </w:rPr>
                    <w:t>t/a</w:t>
                  </w:r>
                  <w:r>
                    <w:rPr>
                      <w:rFonts w:hint="default" w:ascii="Times New Roman" w:hAnsi="Times New Roman" w:cs="Times New Roman"/>
                      <w:b/>
                      <w:bCs/>
                      <w:color w:val="auto"/>
                      <w:szCs w:val="21"/>
                      <w:highlight w:val="none"/>
                      <w:lang w:eastAsia="zh-CN" w:bidi="ar"/>
                    </w:rPr>
                    <w:t>）</w:t>
                  </w:r>
                </w:p>
              </w:tc>
              <w:tc>
                <w:tcPr>
                  <w:tcW w:w="4713" w:type="dxa"/>
                  <w:shd w:val="clear" w:color="auto" w:fill="auto"/>
                  <w:noWrap w:val="0"/>
                  <w:vAlign w:val="center"/>
                </w:tcPr>
                <w:p w14:paraId="526BBE9A">
                  <w:pPr>
                    <w:keepNext w:val="0"/>
                    <w:keepLines w:val="0"/>
                    <w:suppressLineNumbers w:val="0"/>
                    <w:autoSpaceDE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0.36</w:t>
                  </w:r>
                </w:p>
              </w:tc>
            </w:tr>
            <w:tr w14:paraId="6E9EF4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3BDD82A8">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rPr>
                    <w:t>产生浓度</w:t>
                  </w: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 w:val="21"/>
                      <w:szCs w:val="21"/>
                      <w:highlight w:val="none"/>
                      <w:lang w:bidi="ar"/>
                    </w:rPr>
                    <w:t>mg/m</w:t>
                  </w:r>
                  <w:r>
                    <w:rPr>
                      <w:rFonts w:hint="default" w:ascii="Times New Roman" w:hAnsi="Times New Roman" w:cs="Times New Roman"/>
                      <w:b/>
                      <w:bCs/>
                      <w:color w:val="auto"/>
                      <w:sz w:val="21"/>
                      <w:szCs w:val="21"/>
                      <w:highlight w:val="none"/>
                      <w:vertAlign w:val="superscript"/>
                      <w:lang w:bidi="ar"/>
                    </w:rPr>
                    <w:t>3</w:t>
                  </w:r>
                  <w:r>
                    <w:rPr>
                      <w:rFonts w:hint="default" w:ascii="Times New Roman" w:hAnsi="Times New Roman" w:cs="Times New Roman"/>
                      <w:b/>
                      <w:bCs/>
                      <w:color w:val="auto"/>
                      <w:szCs w:val="21"/>
                      <w:highlight w:val="none"/>
                      <w:lang w:eastAsia="zh-CN"/>
                    </w:rPr>
                    <w:t>）</w:t>
                  </w:r>
                </w:p>
              </w:tc>
              <w:tc>
                <w:tcPr>
                  <w:tcW w:w="4713" w:type="dxa"/>
                  <w:tcBorders>
                    <w:left w:val="single" w:color="auto" w:sz="4" w:space="0"/>
                  </w:tcBorders>
                  <w:noWrap w:val="0"/>
                  <w:vAlign w:val="center"/>
                </w:tcPr>
                <w:p w14:paraId="7AEB7557">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w:t>
                  </w:r>
                </w:p>
              </w:tc>
            </w:tr>
            <w:tr w14:paraId="6D4DEE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4501F71F">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排放形式</w:t>
                  </w:r>
                </w:p>
              </w:tc>
              <w:tc>
                <w:tcPr>
                  <w:tcW w:w="4713" w:type="dxa"/>
                  <w:tcBorders>
                    <w:left w:val="single" w:color="auto" w:sz="4" w:space="0"/>
                  </w:tcBorders>
                  <w:noWrap w:val="0"/>
                  <w:vAlign w:val="center"/>
                </w:tcPr>
                <w:p w14:paraId="2A20904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无组织</w:t>
                  </w:r>
                </w:p>
              </w:tc>
            </w:tr>
            <w:tr w14:paraId="740C97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1BB7DF0A">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治理设施</w:t>
                  </w:r>
                </w:p>
              </w:tc>
              <w:tc>
                <w:tcPr>
                  <w:tcW w:w="4713" w:type="dxa"/>
                  <w:tcBorders>
                    <w:left w:val="single" w:color="auto" w:sz="4" w:space="0"/>
                  </w:tcBorders>
                  <w:noWrap w:val="0"/>
                  <w:vAlign w:val="center"/>
                </w:tcPr>
                <w:p w14:paraId="66B668FA">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车间密闭、厂区绿化</w:t>
                  </w:r>
                </w:p>
              </w:tc>
            </w:tr>
            <w:tr w14:paraId="3E0C75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0D2FAC0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lang w:bidi="ar"/>
                    </w:rPr>
                  </w:pPr>
                  <w:r>
                    <w:rPr>
                      <w:rFonts w:hint="default" w:ascii="Times New Roman" w:hAnsi="Times New Roman" w:cs="Times New Roman"/>
                      <w:b/>
                      <w:bCs/>
                      <w:color w:val="auto"/>
                      <w:szCs w:val="21"/>
                      <w:highlight w:val="none"/>
                      <w:lang w:bidi="ar"/>
                    </w:rPr>
                    <w:t>排放浓度</w:t>
                  </w:r>
                  <w:r>
                    <w:rPr>
                      <w:rFonts w:hint="default" w:ascii="Times New Roman" w:hAnsi="Times New Roman" w:cs="Times New Roman"/>
                      <w:b/>
                      <w:bCs/>
                      <w:color w:val="auto"/>
                      <w:szCs w:val="21"/>
                      <w:highlight w:val="none"/>
                      <w:lang w:eastAsia="zh-CN" w:bidi="ar"/>
                    </w:rPr>
                    <w:t>（</w:t>
                  </w:r>
                  <w:r>
                    <w:rPr>
                      <w:rFonts w:hint="default" w:ascii="Times New Roman" w:hAnsi="Times New Roman" w:cs="Times New Roman"/>
                      <w:b/>
                      <w:bCs/>
                      <w:color w:val="auto"/>
                      <w:szCs w:val="21"/>
                      <w:highlight w:val="none"/>
                      <w:lang w:bidi="ar"/>
                    </w:rPr>
                    <w:t>mg/m</w:t>
                  </w:r>
                  <w:r>
                    <w:rPr>
                      <w:rFonts w:hint="default" w:ascii="Times New Roman" w:hAnsi="Times New Roman" w:cs="Times New Roman"/>
                      <w:b/>
                      <w:bCs/>
                      <w:color w:val="auto"/>
                      <w:szCs w:val="21"/>
                      <w:highlight w:val="none"/>
                      <w:vertAlign w:val="superscript"/>
                      <w:lang w:bidi="ar"/>
                    </w:rPr>
                    <w:t>3</w:t>
                  </w:r>
                  <w:r>
                    <w:rPr>
                      <w:rFonts w:hint="default" w:ascii="Times New Roman" w:hAnsi="Times New Roman" w:cs="Times New Roman"/>
                      <w:b/>
                      <w:bCs/>
                      <w:color w:val="auto"/>
                      <w:szCs w:val="21"/>
                      <w:highlight w:val="none"/>
                      <w:lang w:eastAsia="zh-CN" w:bidi="ar"/>
                    </w:rPr>
                    <w:t>）</w:t>
                  </w:r>
                </w:p>
              </w:tc>
              <w:tc>
                <w:tcPr>
                  <w:tcW w:w="4713" w:type="dxa"/>
                  <w:noWrap w:val="0"/>
                  <w:vAlign w:val="center"/>
                </w:tcPr>
                <w:p w14:paraId="39D5096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w:t>
                  </w:r>
                </w:p>
              </w:tc>
            </w:tr>
            <w:tr w14:paraId="619238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3F6B2A86">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bidi="ar"/>
                    </w:rPr>
                  </w:pPr>
                  <w:r>
                    <w:rPr>
                      <w:rFonts w:hint="default" w:ascii="Times New Roman" w:hAnsi="Times New Roman" w:cs="Times New Roman"/>
                      <w:b/>
                      <w:bCs/>
                      <w:color w:val="auto"/>
                      <w:szCs w:val="21"/>
                      <w:highlight w:val="none"/>
                    </w:rPr>
                    <w:t>排放速率</w:t>
                  </w: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Cs w:val="21"/>
                      <w:highlight w:val="none"/>
                    </w:rPr>
                    <w:t>kg/h</w:t>
                  </w:r>
                  <w:r>
                    <w:rPr>
                      <w:rFonts w:hint="default" w:ascii="Times New Roman" w:hAnsi="Times New Roman" w:cs="Times New Roman"/>
                      <w:b/>
                      <w:bCs/>
                      <w:color w:val="auto"/>
                      <w:szCs w:val="21"/>
                      <w:highlight w:val="none"/>
                      <w:lang w:eastAsia="zh-CN"/>
                    </w:rPr>
                    <w:t>）</w:t>
                  </w:r>
                </w:p>
              </w:tc>
              <w:tc>
                <w:tcPr>
                  <w:tcW w:w="4713" w:type="dxa"/>
                  <w:noWrap w:val="0"/>
                  <w:vAlign w:val="center"/>
                </w:tcPr>
                <w:p w14:paraId="044336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0.15</w:t>
                  </w:r>
                </w:p>
              </w:tc>
            </w:tr>
            <w:tr w14:paraId="70D832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7A30263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排放量</w:t>
                  </w: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Cs w:val="21"/>
                      <w:highlight w:val="none"/>
                      <w:lang w:bidi="ar"/>
                    </w:rPr>
                    <w:t>t/a</w:t>
                  </w:r>
                  <w:r>
                    <w:rPr>
                      <w:rFonts w:hint="default" w:ascii="Times New Roman" w:hAnsi="Times New Roman" w:cs="Times New Roman"/>
                      <w:b/>
                      <w:bCs/>
                      <w:color w:val="auto"/>
                      <w:szCs w:val="21"/>
                      <w:highlight w:val="none"/>
                      <w:lang w:eastAsia="zh-CN"/>
                    </w:rPr>
                    <w:t>）</w:t>
                  </w:r>
                </w:p>
              </w:tc>
              <w:tc>
                <w:tcPr>
                  <w:tcW w:w="4713" w:type="dxa"/>
                  <w:noWrap w:val="0"/>
                  <w:vAlign w:val="center"/>
                </w:tcPr>
                <w:p w14:paraId="311014B5">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0.36</w:t>
                  </w:r>
                </w:p>
              </w:tc>
            </w:tr>
            <w:tr w14:paraId="293474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3786" w:type="dxa"/>
                  <w:noWrap w:val="0"/>
                  <w:vAlign w:val="center"/>
                </w:tcPr>
                <w:p w14:paraId="7796A0CB">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kern w:val="2"/>
                      <w:sz w:val="21"/>
                      <w:szCs w:val="24"/>
                      <w:highlight w:val="none"/>
                      <w:lang w:val="en-US" w:eastAsia="zh-CN" w:bidi="ar-SA"/>
                    </w:rPr>
                  </w:pPr>
                  <w:r>
                    <w:rPr>
                      <w:rFonts w:hint="default" w:ascii="Times New Roman" w:hAnsi="Times New Roman" w:cs="Times New Roman"/>
                      <w:b/>
                      <w:bCs/>
                      <w:color w:val="auto"/>
                      <w:highlight w:val="none"/>
                    </w:rPr>
                    <w:t>监测因子</w:t>
                  </w:r>
                </w:p>
              </w:tc>
              <w:tc>
                <w:tcPr>
                  <w:tcW w:w="4713" w:type="dxa"/>
                  <w:noWrap w:val="0"/>
                  <w:vAlign w:val="center"/>
                </w:tcPr>
                <w:p w14:paraId="201BE575">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颗粒物</w:t>
                  </w:r>
                </w:p>
              </w:tc>
            </w:tr>
            <w:tr w14:paraId="3A04EF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3" w:hRule="atLeast"/>
                <w:jc w:val="center"/>
              </w:trPr>
              <w:tc>
                <w:tcPr>
                  <w:tcW w:w="3786" w:type="dxa"/>
                  <w:noWrap w:val="0"/>
                  <w:vAlign w:val="center"/>
                </w:tcPr>
                <w:p w14:paraId="76711467">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kern w:val="2"/>
                      <w:sz w:val="21"/>
                      <w:szCs w:val="24"/>
                      <w:highlight w:val="none"/>
                      <w:lang w:val="en-US" w:eastAsia="zh-CN" w:bidi="ar-SA"/>
                    </w:rPr>
                  </w:pPr>
                  <w:r>
                    <w:rPr>
                      <w:rFonts w:hint="default" w:ascii="Times New Roman" w:hAnsi="Times New Roman" w:cs="Times New Roman"/>
                      <w:b/>
                      <w:bCs/>
                      <w:color w:val="auto"/>
                      <w:highlight w:val="none"/>
                    </w:rPr>
                    <w:t>监测频次</w:t>
                  </w:r>
                </w:p>
              </w:tc>
              <w:tc>
                <w:tcPr>
                  <w:tcW w:w="4713" w:type="dxa"/>
                  <w:noWrap w:val="0"/>
                  <w:vAlign w:val="center"/>
                </w:tcPr>
                <w:p w14:paraId="218A188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1次/年</w:t>
                  </w:r>
                </w:p>
              </w:tc>
            </w:tr>
          </w:tbl>
          <w:p w14:paraId="0A760CE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本项目有组织废气主要为</w:t>
            </w:r>
            <w:r>
              <w:rPr>
                <w:rFonts w:hint="eastAsia" w:cs="Times New Roman"/>
                <w:bCs/>
                <w:color w:val="auto"/>
                <w:sz w:val="24"/>
                <w:highlight w:val="none"/>
                <w:lang w:val="en-US" w:eastAsia="zh-CN"/>
              </w:rPr>
              <w:t>投料、筛分、包装</w:t>
            </w:r>
            <w:r>
              <w:rPr>
                <w:rFonts w:hint="default" w:ascii="Times New Roman" w:hAnsi="Times New Roman" w:cs="Times New Roman"/>
                <w:bCs/>
                <w:color w:val="auto"/>
                <w:sz w:val="24"/>
                <w:highlight w:val="none"/>
                <w:lang w:val="en-US" w:eastAsia="zh-CN"/>
              </w:rPr>
              <w:t>过程产生的颗粒物</w:t>
            </w:r>
            <w:r>
              <w:rPr>
                <w:rFonts w:hint="default" w:ascii="Times New Roman" w:hAnsi="Times New Roman" w:cs="Times New Roman"/>
                <w:bCs/>
                <w:color w:val="auto"/>
                <w:sz w:val="24"/>
                <w:highlight w:val="none"/>
                <w:lang w:eastAsia="zh-CN"/>
              </w:rPr>
              <w:t>。</w:t>
            </w:r>
          </w:p>
          <w:p w14:paraId="59FCE08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highlight w:val="none"/>
                <w:lang w:val="en-US" w:eastAsia="zh-CN"/>
              </w:rPr>
            </w:pPr>
            <w:r>
              <w:rPr>
                <w:rFonts w:hint="default" w:ascii="Times New Roman" w:hAnsi="Times New Roman" w:cs="Times New Roman"/>
                <w:b w:val="0"/>
                <w:bCs/>
                <w:color w:val="auto"/>
                <w:sz w:val="24"/>
                <w:highlight w:val="none"/>
                <w:lang w:val="en-US" w:eastAsia="zh-CN"/>
              </w:rPr>
              <w:t>投料过程产生的颗粒物经进料口斜下侧呼吸</w:t>
            </w:r>
            <w:r>
              <w:rPr>
                <w:rFonts w:hint="eastAsia" w:cs="Times New Roman"/>
                <w:b w:val="0"/>
                <w:bCs/>
                <w:color w:val="auto"/>
                <w:sz w:val="24"/>
                <w:highlight w:val="none"/>
                <w:lang w:val="en-US" w:eastAsia="zh-CN"/>
              </w:rPr>
              <w:t>管道</w:t>
            </w:r>
            <w:r>
              <w:rPr>
                <w:rFonts w:hint="default" w:ascii="Times New Roman" w:hAnsi="Times New Roman" w:cs="Times New Roman"/>
                <w:b w:val="0"/>
                <w:bCs/>
                <w:color w:val="auto"/>
                <w:sz w:val="24"/>
                <w:highlight w:val="none"/>
                <w:lang w:val="en-US" w:eastAsia="zh-CN"/>
              </w:rPr>
              <w:t>进入</w:t>
            </w:r>
            <w:r>
              <w:rPr>
                <w:rFonts w:hint="eastAsia" w:cs="Times New Roman"/>
                <w:b w:val="0"/>
                <w:bCs/>
                <w:color w:val="auto"/>
                <w:sz w:val="24"/>
                <w:highlight w:val="none"/>
                <w:lang w:val="en-US" w:eastAsia="zh-CN"/>
              </w:rPr>
              <w:t>布袋除尘器处理</w:t>
            </w:r>
            <w:r>
              <w:rPr>
                <w:rFonts w:hint="default" w:ascii="Times New Roman" w:hAnsi="Times New Roman" w:cs="Times New Roman"/>
                <w:b w:val="0"/>
                <w:bCs/>
                <w:color w:val="auto"/>
                <w:sz w:val="24"/>
                <w:highlight w:val="none"/>
                <w:lang w:val="en-US" w:eastAsia="zh-CN"/>
              </w:rPr>
              <w:t>，包装过程产生的颗粒物由呼吸</w:t>
            </w:r>
            <w:r>
              <w:rPr>
                <w:rFonts w:hint="eastAsia" w:cs="Times New Roman"/>
                <w:b w:val="0"/>
                <w:bCs/>
                <w:color w:val="auto"/>
                <w:sz w:val="24"/>
                <w:highlight w:val="none"/>
                <w:lang w:val="en-US" w:eastAsia="zh-CN"/>
              </w:rPr>
              <w:t>管道</w:t>
            </w:r>
            <w:r>
              <w:rPr>
                <w:rFonts w:hint="default" w:ascii="Times New Roman" w:hAnsi="Times New Roman" w:cs="Times New Roman"/>
                <w:b w:val="0"/>
                <w:bCs/>
                <w:color w:val="auto"/>
                <w:sz w:val="24"/>
                <w:highlight w:val="none"/>
                <w:lang w:val="en-US" w:eastAsia="zh-CN"/>
              </w:rPr>
              <w:t>进入布袋除尘器处理</w:t>
            </w:r>
            <w:r>
              <w:rPr>
                <w:rFonts w:hint="eastAsia" w:cs="Times New Roman"/>
                <w:b w:val="0"/>
                <w:bCs/>
                <w:color w:val="auto"/>
                <w:sz w:val="24"/>
                <w:highlight w:val="none"/>
                <w:lang w:val="en-US" w:eastAsia="zh-CN"/>
              </w:rPr>
              <w:t>，</w:t>
            </w:r>
            <w:r>
              <w:rPr>
                <w:rFonts w:hint="default" w:ascii="Times New Roman" w:hAnsi="Times New Roman" w:cs="Times New Roman"/>
                <w:b w:val="0"/>
                <w:bCs/>
                <w:color w:val="auto"/>
                <w:sz w:val="24"/>
                <w:highlight w:val="none"/>
                <w:lang w:val="en-US" w:eastAsia="zh-CN"/>
              </w:rPr>
              <w:t>筛分过程产生的颗粒物经</w:t>
            </w:r>
            <w:r>
              <w:rPr>
                <w:rFonts w:hint="eastAsia" w:cs="Times New Roman"/>
                <w:b w:val="0"/>
                <w:bCs/>
                <w:color w:val="auto"/>
                <w:sz w:val="24"/>
                <w:highlight w:val="none"/>
                <w:lang w:val="en-US" w:eastAsia="zh-CN"/>
              </w:rPr>
              <w:t>管道</w:t>
            </w:r>
            <w:r>
              <w:rPr>
                <w:rFonts w:hint="default" w:ascii="Times New Roman" w:hAnsi="Times New Roman" w:cs="Times New Roman"/>
                <w:b w:val="0"/>
                <w:bCs/>
                <w:color w:val="auto"/>
                <w:sz w:val="24"/>
                <w:highlight w:val="none"/>
                <w:lang w:val="en-US" w:eastAsia="zh-CN"/>
              </w:rPr>
              <w:t>进入布袋除尘器处理</w:t>
            </w:r>
            <w:r>
              <w:rPr>
                <w:rFonts w:hint="eastAsia" w:ascii="Times New Roman" w:hAnsi="Times New Roman" w:cs="Times New Roman"/>
                <w:b w:val="0"/>
                <w:bCs/>
                <w:color w:val="auto"/>
                <w:sz w:val="24"/>
                <w:highlight w:val="none"/>
                <w:lang w:val="en-US" w:eastAsia="zh-CN"/>
              </w:rPr>
              <w:t>，</w:t>
            </w:r>
            <w:r>
              <w:rPr>
                <w:rFonts w:hint="default" w:ascii="Times New Roman" w:hAnsi="Times New Roman" w:cs="Times New Roman"/>
                <w:b w:val="0"/>
                <w:bCs/>
                <w:color w:val="auto"/>
                <w:sz w:val="24"/>
                <w:highlight w:val="none"/>
                <w:lang w:val="en-US" w:eastAsia="zh-CN"/>
              </w:rPr>
              <w:t>由15m高排气筒有组织排放。</w:t>
            </w:r>
          </w:p>
          <w:p w14:paraId="6652099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val="0"/>
                <w:color w:val="auto"/>
                <w:sz w:val="24"/>
                <w:highlight w:val="none"/>
                <w:lang w:val="en-US" w:eastAsia="zh-CN"/>
              </w:rPr>
            </w:pPr>
            <w:r>
              <w:rPr>
                <w:rFonts w:hint="eastAsia" w:ascii="Times New Roman" w:hAnsi="Times New Roman" w:cs="Times New Roman"/>
                <w:b w:val="0"/>
                <w:bCs/>
                <w:color w:val="auto"/>
                <w:sz w:val="24"/>
                <w:highlight w:val="none"/>
                <w:lang w:val="en-US" w:eastAsia="zh-CN"/>
              </w:rPr>
              <w:t>未被收集的</w:t>
            </w:r>
            <w:r>
              <w:rPr>
                <w:rFonts w:hint="eastAsia" w:cs="Times New Roman"/>
                <w:b w:val="0"/>
                <w:bCs/>
                <w:color w:val="auto"/>
                <w:sz w:val="24"/>
                <w:highlight w:val="none"/>
                <w:lang w:val="en-US" w:eastAsia="zh-CN"/>
              </w:rPr>
              <w:t>颗粒物</w:t>
            </w:r>
            <w:r>
              <w:rPr>
                <w:rFonts w:hint="eastAsia" w:ascii="Times New Roman" w:hAnsi="Times New Roman" w:cs="Times New Roman"/>
                <w:b w:val="0"/>
                <w:bCs/>
                <w:color w:val="auto"/>
                <w:sz w:val="24"/>
                <w:highlight w:val="none"/>
                <w:lang w:val="en-US" w:eastAsia="zh-CN"/>
              </w:rPr>
              <w:t>在车间内无组织排放</w:t>
            </w:r>
            <w:r>
              <w:rPr>
                <w:rFonts w:hint="default" w:ascii="Times New Roman" w:hAnsi="Times New Roman" w:cs="Times New Roman"/>
                <w:b w:val="0"/>
                <w:bCs/>
                <w:color w:val="auto"/>
                <w:sz w:val="24"/>
                <w:highlight w:val="none"/>
                <w:lang w:val="en-US" w:eastAsia="zh-CN"/>
              </w:rPr>
              <w:t>。</w:t>
            </w:r>
          </w:p>
          <w:p w14:paraId="207ABF80">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highlight w:val="none"/>
                <w:lang w:eastAsia="zh-CN"/>
              </w:rPr>
            </w:pPr>
            <w:r>
              <w:rPr>
                <w:rFonts w:hint="default" w:ascii="Times New Roman" w:hAnsi="Times New Roman" w:cs="Times New Roman"/>
                <w:b/>
                <w:bCs w:val="0"/>
                <w:color w:val="auto"/>
                <w:sz w:val="24"/>
                <w:highlight w:val="none"/>
                <w:lang w:val="en-US" w:eastAsia="zh-CN"/>
              </w:rPr>
              <w:t>1、</w:t>
            </w:r>
            <w:r>
              <w:rPr>
                <w:rFonts w:hint="default" w:ascii="Times New Roman" w:hAnsi="Times New Roman" w:cs="Times New Roman"/>
                <w:b/>
                <w:bCs w:val="0"/>
                <w:color w:val="auto"/>
                <w:sz w:val="24"/>
                <w:highlight w:val="none"/>
                <w:lang w:eastAsia="zh-CN"/>
              </w:rPr>
              <w:t>有组织废气</w:t>
            </w:r>
          </w:p>
          <w:p w14:paraId="672BFD87">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highlight w:val="none"/>
                <w:lang w:eastAsia="zh-CN"/>
              </w:rPr>
            </w:pPr>
            <w:r>
              <w:rPr>
                <w:rFonts w:hint="default" w:ascii="Times New Roman" w:hAnsi="Times New Roman" w:cs="Times New Roman"/>
                <w:b/>
                <w:bCs w:val="0"/>
                <w:color w:val="auto"/>
                <w:sz w:val="24"/>
                <w:highlight w:val="none"/>
                <w:lang w:val="en-US" w:eastAsia="zh-CN"/>
              </w:rPr>
              <w:t>1、</w:t>
            </w:r>
            <w:r>
              <w:rPr>
                <w:rFonts w:hint="default" w:ascii="Times New Roman" w:hAnsi="Times New Roman" w:cs="Times New Roman"/>
                <w:b/>
                <w:bCs w:val="0"/>
                <w:color w:val="auto"/>
                <w:sz w:val="24"/>
                <w:highlight w:val="none"/>
                <w:lang w:eastAsia="zh-CN"/>
              </w:rPr>
              <w:t>有组织废气</w:t>
            </w:r>
          </w:p>
          <w:p w14:paraId="4B1AE17B">
            <w:pPr>
              <w:pStyle w:val="2"/>
              <w:keepNext w:val="0"/>
              <w:keepLines w:val="0"/>
              <w:suppressLineNumbers w:val="0"/>
              <w:spacing w:before="0" w:beforeAutospacing="0" w:after="0" w:afterAutospacing="0" w:line="360" w:lineRule="auto"/>
              <w:ind w:left="0" w:leftChars="0" w:right="0" w:firstLine="48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
                <w:bCs w:val="0"/>
                <w:color w:val="auto"/>
                <w:sz w:val="24"/>
                <w:szCs w:val="24"/>
                <w:highlight w:val="none"/>
                <w:lang w:eastAsia="zh-CN"/>
              </w:rPr>
              <w:t>（</w:t>
            </w:r>
            <w:r>
              <w:rPr>
                <w:rFonts w:hint="default" w:ascii="Times New Roman" w:hAnsi="Times New Roman" w:cs="Times New Roman"/>
                <w:b/>
                <w:bCs w:val="0"/>
                <w:color w:val="auto"/>
                <w:sz w:val="24"/>
                <w:szCs w:val="24"/>
                <w:highlight w:val="none"/>
                <w:lang w:val="en-US" w:eastAsia="zh-CN"/>
              </w:rPr>
              <w:t>1</w:t>
            </w:r>
            <w:r>
              <w:rPr>
                <w:rFonts w:hint="default" w:ascii="Times New Roman" w:hAnsi="Times New Roman" w:cs="Times New Roman"/>
                <w:b/>
                <w:bCs w:val="0"/>
                <w:color w:val="auto"/>
                <w:sz w:val="24"/>
                <w:szCs w:val="24"/>
                <w:highlight w:val="none"/>
                <w:lang w:eastAsia="zh-CN"/>
              </w:rPr>
              <w:t>）</w:t>
            </w:r>
            <w:r>
              <w:rPr>
                <w:rFonts w:hint="eastAsia" w:ascii="Times New Roman" w:hAnsi="Times New Roman" w:cs="Times New Roman"/>
                <w:b/>
                <w:bCs w:val="0"/>
                <w:color w:val="auto"/>
                <w:sz w:val="24"/>
                <w:szCs w:val="24"/>
                <w:highlight w:val="none"/>
                <w:lang w:val="en-US" w:eastAsia="zh-CN"/>
              </w:rPr>
              <w:t>投料</w:t>
            </w:r>
            <w:r>
              <w:rPr>
                <w:rFonts w:hint="default" w:ascii="Times New Roman" w:hAnsi="Times New Roman" w:cs="Times New Roman"/>
                <w:b/>
                <w:bCs w:val="0"/>
                <w:color w:val="auto"/>
                <w:sz w:val="24"/>
                <w:szCs w:val="24"/>
                <w:highlight w:val="none"/>
                <w:lang w:val="en-US" w:eastAsia="zh-CN"/>
              </w:rPr>
              <w:t>过程产生的颗粒物</w:t>
            </w:r>
          </w:p>
          <w:p w14:paraId="61058C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w:t>
            </w:r>
            <w:r>
              <w:rPr>
                <w:rFonts w:hint="eastAsia" w:ascii="Times New Roman" w:hAnsi="Times New Roman" w:eastAsia="宋体" w:cs="Times New Roman"/>
                <w:sz w:val="24"/>
                <w:szCs w:val="24"/>
                <w:highlight w:val="none"/>
                <w:lang w:val="en-US" w:eastAsia="zh-CN"/>
              </w:rPr>
              <w:t>投料</w:t>
            </w:r>
            <w:r>
              <w:rPr>
                <w:rFonts w:hint="default" w:ascii="Times New Roman" w:hAnsi="Times New Roman" w:cs="Times New Roman"/>
                <w:bCs/>
                <w:color w:val="auto"/>
                <w:sz w:val="24"/>
                <w:highlight w:val="none"/>
                <w:lang w:val="en-US" w:eastAsia="zh-CN"/>
              </w:rPr>
              <w:t>过程</w:t>
            </w:r>
            <w:r>
              <w:rPr>
                <w:rFonts w:hint="default" w:ascii="Times New Roman" w:hAnsi="Times New Roman" w:eastAsia="宋体" w:cs="Times New Roman"/>
                <w:sz w:val="24"/>
                <w:szCs w:val="24"/>
                <w:highlight w:val="none"/>
                <w:lang w:val="en-US" w:eastAsia="zh-CN"/>
              </w:rPr>
              <w:t>会产生少量</w:t>
            </w:r>
            <w:r>
              <w:rPr>
                <w:rFonts w:hint="eastAsia" w:ascii="Times New Roman" w:hAnsi="Times New Roman" w:eastAsia="宋体" w:cs="Times New Roman"/>
                <w:sz w:val="24"/>
                <w:szCs w:val="24"/>
                <w:highlight w:val="none"/>
                <w:lang w:val="en-US" w:eastAsia="zh-CN"/>
              </w:rPr>
              <w:t>颗粒物</w:t>
            </w:r>
            <w:r>
              <w:rPr>
                <w:rFonts w:hint="default" w:ascii="Times New Roman" w:hAnsi="Times New Roman" w:eastAsia="宋体" w:cs="Times New Roman"/>
                <w:sz w:val="24"/>
                <w:szCs w:val="24"/>
                <w:highlight w:val="none"/>
                <w:lang w:val="en-US" w:eastAsia="zh-CN"/>
              </w:rPr>
              <w:t>，参考《逸散性工业颗粒物控制技术》“表</w:t>
            </w:r>
            <w:r>
              <w:rPr>
                <w:rFonts w:hint="eastAsia" w:ascii="Times New Roman" w:hAnsi="Times New Roman" w:eastAsia="宋体" w:cs="Times New Roman"/>
                <w:sz w:val="24"/>
                <w:szCs w:val="24"/>
                <w:highlight w:val="none"/>
                <w:lang w:val="en-US" w:eastAsia="zh-CN"/>
              </w:rPr>
              <w:t>3-1石灰生产</w:t>
            </w:r>
            <w:r>
              <w:rPr>
                <w:rFonts w:hint="default" w:ascii="Times New Roman" w:hAnsi="Times New Roman" w:eastAsia="宋体" w:cs="Times New Roman"/>
                <w:sz w:val="24"/>
                <w:szCs w:val="24"/>
                <w:highlight w:val="none"/>
                <w:lang w:val="en-US" w:eastAsia="zh-CN"/>
              </w:rPr>
              <w:t>的逸散尘排放因子”中“</w:t>
            </w:r>
            <w:r>
              <w:rPr>
                <w:rFonts w:hint="eastAsia" w:ascii="Times New Roman" w:hAnsi="Times New Roman" w:eastAsia="宋体" w:cs="Times New Roman"/>
                <w:sz w:val="24"/>
                <w:szCs w:val="24"/>
                <w:highlight w:val="none"/>
                <w:lang w:val="en-US" w:eastAsia="zh-CN"/>
              </w:rPr>
              <w:t>卸料</w:t>
            </w:r>
            <w:r>
              <w:rPr>
                <w:rFonts w:hint="default" w:ascii="Times New Roman" w:hAnsi="Times New Roman" w:eastAsia="宋体" w:cs="Times New Roman"/>
                <w:sz w:val="24"/>
                <w:szCs w:val="24"/>
                <w:highlight w:val="none"/>
                <w:lang w:val="en-US" w:eastAsia="zh-CN"/>
              </w:rPr>
              <w:t>”排污系数为0.</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kg/t</w:t>
            </w:r>
            <w:r>
              <w:rPr>
                <w:rFonts w:hint="eastAsia" w:ascii="Times New Roman" w:hAnsi="Times New Roman" w:eastAsia="宋体" w:cs="Times New Roman"/>
                <w:sz w:val="24"/>
                <w:szCs w:val="24"/>
                <w:highlight w:val="none"/>
                <w:lang w:val="en-US" w:eastAsia="zh-CN"/>
              </w:rPr>
              <w:t>卸料</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投料量</w:t>
            </w:r>
            <w:r>
              <w:rPr>
                <w:rFonts w:hint="default" w:ascii="Times New Roman" w:hAnsi="Times New Roman" w:eastAsia="宋体" w:cs="Times New Roman"/>
                <w:sz w:val="24"/>
                <w:szCs w:val="24"/>
                <w:highlight w:val="none"/>
                <w:lang w:val="en-US" w:eastAsia="zh-CN"/>
              </w:rPr>
              <w:t>为</w:t>
            </w:r>
            <w:r>
              <w:rPr>
                <w:rFonts w:hint="eastAsia" w:ascii="Times New Roman" w:hAnsi="Times New Roman" w:eastAsia="宋体" w:cs="Times New Roman"/>
                <w:sz w:val="24"/>
                <w:szCs w:val="24"/>
                <w:highlight w:val="none"/>
                <w:lang w:val="en-US" w:eastAsia="zh-CN"/>
              </w:rPr>
              <w:t>200</w:t>
            </w:r>
            <w:r>
              <w:rPr>
                <w:rFonts w:hint="eastAsia" w:cs="Times New Roman"/>
                <w:sz w:val="24"/>
                <w:szCs w:val="24"/>
                <w:highlight w:val="none"/>
                <w:lang w:val="en-US" w:eastAsia="zh-CN"/>
              </w:rPr>
              <w:t>24</w:t>
            </w:r>
            <w:r>
              <w:rPr>
                <w:rFonts w:hint="default" w:ascii="Times New Roman" w:hAnsi="Times New Roman" w:eastAsia="宋体" w:cs="Times New Roman"/>
                <w:sz w:val="24"/>
                <w:szCs w:val="24"/>
                <w:highlight w:val="none"/>
                <w:lang w:val="en-US" w:eastAsia="zh-CN"/>
              </w:rPr>
              <w:t>t/a，则</w:t>
            </w:r>
            <w:r>
              <w:rPr>
                <w:rFonts w:hint="eastAsia" w:ascii="Times New Roman" w:hAnsi="Times New Roman" w:eastAsia="宋体" w:cs="Times New Roman"/>
                <w:sz w:val="24"/>
                <w:szCs w:val="24"/>
                <w:highlight w:val="none"/>
                <w:lang w:val="en-US" w:eastAsia="zh-CN"/>
              </w:rPr>
              <w:t>投料</w:t>
            </w:r>
            <w:r>
              <w:rPr>
                <w:rFonts w:hint="default" w:ascii="Times New Roman" w:hAnsi="Times New Roman" w:cs="Times New Roman"/>
                <w:bCs/>
                <w:color w:val="auto"/>
                <w:sz w:val="24"/>
                <w:highlight w:val="none"/>
                <w:lang w:val="en-US" w:eastAsia="zh-CN"/>
              </w:rPr>
              <w:t>过程</w:t>
            </w:r>
            <w:r>
              <w:rPr>
                <w:rFonts w:hint="default" w:ascii="Times New Roman" w:hAnsi="Times New Roman" w:eastAsia="宋体" w:cs="Times New Roman"/>
                <w:sz w:val="24"/>
                <w:szCs w:val="24"/>
                <w:highlight w:val="none"/>
                <w:lang w:val="en-US" w:eastAsia="zh-CN"/>
              </w:rPr>
              <w:t>产生的</w:t>
            </w:r>
            <w:r>
              <w:rPr>
                <w:rFonts w:hint="eastAsia" w:ascii="Times New Roman" w:hAnsi="Times New Roman" w:eastAsia="宋体" w:cs="Times New Roman"/>
                <w:sz w:val="24"/>
                <w:szCs w:val="24"/>
                <w:highlight w:val="none"/>
                <w:lang w:val="en-US" w:eastAsia="zh-CN"/>
              </w:rPr>
              <w:t>颗粒物</w:t>
            </w:r>
            <w:r>
              <w:rPr>
                <w:rFonts w:hint="default" w:ascii="Times New Roman" w:hAnsi="Times New Roman" w:eastAsia="宋体" w:cs="Times New Roman"/>
                <w:sz w:val="24"/>
                <w:szCs w:val="24"/>
                <w:highlight w:val="none"/>
                <w:lang w:val="en-US" w:eastAsia="zh-CN"/>
              </w:rPr>
              <w:t>量</w:t>
            </w:r>
            <w:r>
              <w:rPr>
                <w:rFonts w:hint="eastAsia" w:ascii="Times New Roman" w:hAnsi="Times New Roman" w:eastAsia="宋体" w:cs="Times New Roman"/>
                <w:sz w:val="24"/>
                <w:szCs w:val="24"/>
                <w:highlight w:val="none"/>
                <w:lang w:val="en-US" w:eastAsia="zh-CN"/>
              </w:rPr>
              <w:t>约</w:t>
            </w:r>
            <w:r>
              <w:rPr>
                <w:rFonts w:hint="default" w:ascii="Times New Roman" w:hAnsi="Times New Roman" w:eastAsia="宋体" w:cs="Times New Roman"/>
                <w:sz w:val="24"/>
                <w:szCs w:val="24"/>
                <w:highlight w:val="none"/>
                <w:lang w:val="en-US" w:eastAsia="zh-CN"/>
              </w:rPr>
              <w:t>为</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t/a。</w:t>
            </w:r>
          </w:p>
          <w:p w14:paraId="25FBC5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Times New Roman"/>
                <w:sz w:val="24"/>
                <w:szCs w:val="24"/>
                <w:highlight w:val="none"/>
                <w:lang w:val="en-US" w:eastAsia="zh-CN" w:bidi="ar-SA"/>
              </w:rPr>
            </w:pPr>
            <w:r>
              <w:rPr>
                <w:rFonts w:hint="default" w:ascii="Times New Roman" w:hAnsi="Times New Roman" w:cs="Times New Roman"/>
                <w:b w:val="0"/>
                <w:bCs/>
                <w:color w:val="auto"/>
                <w:sz w:val="24"/>
                <w:highlight w:val="none"/>
                <w:lang w:val="en-US" w:eastAsia="zh-CN"/>
              </w:rPr>
              <w:t>投料过程产生的颗粒物经进料口斜下侧呼吸</w:t>
            </w:r>
            <w:r>
              <w:rPr>
                <w:rFonts w:hint="eastAsia" w:cs="Times New Roman"/>
                <w:b w:val="0"/>
                <w:bCs/>
                <w:color w:val="auto"/>
                <w:sz w:val="24"/>
                <w:highlight w:val="none"/>
                <w:lang w:val="en-US" w:eastAsia="zh-CN"/>
              </w:rPr>
              <w:t>管道</w:t>
            </w:r>
            <w:r>
              <w:rPr>
                <w:rFonts w:hint="default" w:ascii="Times New Roman" w:hAnsi="Times New Roman" w:cs="Times New Roman"/>
                <w:b w:val="0"/>
                <w:bCs/>
                <w:color w:val="auto"/>
                <w:sz w:val="24"/>
                <w:highlight w:val="none"/>
                <w:lang w:val="en-US" w:eastAsia="zh-CN"/>
              </w:rPr>
              <w:t>进入</w:t>
            </w:r>
            <w:r>
              <w:rPr>
                <w:rFonts w:hint="eastAsia" w:cs="Times New Roman"/>
                <w:b w:val="0"/>
                <w:bCs/>
                <w:color w:val="auto"/>
                <w:sz w:val="24"/>
                <w:highlight w:val="none"/>
                <w:lang w:val="en-US" w:eastAsia="zh-CN"/>
              </w:rPr>
              <w:t>布袋除尘器处理，收集效率95%，则有组织</w:t>
            </w:r>
            <w:r>
              <w:rPr>
                <w:rFonts w:hint="eastAsia" w:ascii="Times New Roman" w:hAnsi="Times New Roman" w:eastAsia="宋体" w:cs="Times New Roman"/>
                <w:sz w:val="24"/>
                <w:szCs w:val="24"/>
                <w:highlight w:val="none"/>
                <w:lang w:val="en-US" w:eastAsia="zh-CN"/>
              </w:rPr>
              <w:t>颗粒物</w:t>
            </w:r>
            <w:r>
              <w:rPr>
                <w:rFonts w:hint="eastAsia" w:cs="Times New Roman"/>
                <w:b w:val="0"/>
                <w:bCs/>
                <w:color w:val="auto"/>
                <w:sz w:val="24"/>
                <w:highlight w:val="none"/>
                <w:lang w:val="en-US" w:eastAsia="zh-CN"/>
              </w:rPr>
              <w:t>产生量为3.8</w:t>
            </w:r>
            <w:r>
              <w:rPr>
                <w:rFonts w:hint="default" w:ascii="Times New Roman" w:hAnsi="Times New Roman" w:eastAsia="宋体" w:cs="Times New Roman"/>
                <w:sz w:val="24"/>
                <w:szCs w:val="24"/>
                <w:highlight w:val="none"/>
                <w:lang w:val="en-US" w:eastAsia="zh-CN"/>
              </w:rPr>
              <w:t>t/a</w:t>
            </w:r>
            <w:r>
              <w:rPr>
                <w:rFonts w:hint="eastAsia" w:ascii="Times New Roman" w:hAnsi="Times New Roman" w:eastAsia="宋体" w:cs="Times New Roman"/>
                <w:sz w:val="24"/>
                <w:szCs w:val="24"/>
                <w:highlight w:val="none"/>
                <w:lang w:val="en-US" w:eastAsia="zh-CN"/>
              </w:rPr>
              <w:t>，无组织排放</w:t>
            </w:r>
            <w:r>
              <w:rPr>
                <w:rFonts w:hint="eastAsia" w:cs="Times New Roman"/>
                <w:b w:val="0"/>
                <w:bCs/>
                <w:color w:val="auto"/>
                <w:sz w:val="24"/>
                <w:highlight w:val="none"/>
                <w:lang w:val="en-US" w:eastAsia="zh-CN"/>
              </w:rPr>
              <w:t>量为0.2</w:t>
            </w:r>
            <w:r>
              <w:rPr>
                <w:rFonts w:hint="default" w:ascii="Times New Roman" w:hAnsi="Times New Roman" w:eastAsia="宋体" w:cs="Times New Roman"/>
                <w:sz w:val="24"/>
                <w:szCs w:val="24"/>
                <w:highlight w:val="none"/>
                <w:lang w:val="en-US" w:eastAsia="zh-CN"/>
              </w:rPr>
              <w:t>t/a</w:t>
            </w:r>
            <w:r>
              <w:rPr>
                <w:rFonts w:hint="eastAsia" w:ascii="Times New Roman" w:hAnsi="Times New Roman" w:cs="Times New Roman"/>
                <w:b w:val="0"/>
                <w:bCs/>
                <w:color w:val="auto"/>
                <w:sz w:val="24"/>
                <w:highlight w:val="none"/>
                <w:lang w:val="en-US" w:eastAsia="zh-CN"/>
              </w:rPr>
              <w:t>。</w:t>
            </w:r>
          </w:p>
          <w:p w14:paraId="108E30F4">
            <w:pPr>
              <w:pStyle w:val="2"/>
              <w:keepNext w:val="0"/>
              <w:keepLines w:val="0"/>
              <w:suppressLineNumbers w:val="0"/>
              <w:spacing w:before="0" w:beforeAutospacing="0" w:after="0" w:afterAutospacing="0" w:line="360" w:lineRule="auto"/>
              <w:ind w:left="0" w:leftChars="0" w:right="0" w:firstLine="48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
                <w:bCs w:val="0"/>
                <w:color w:val="auto"/>
                <w:sz w:val="24"/>
                <w:szCs w:val="24"/>
                <w:highlight w:val="none"/>
                <w:lang w:eastAsia="zh-CN"/>
              </w:rPr>
              <w:t>（</w:t>
            </w:r>
            <w:r>
              <w:rPr>
                <w:rFonts w:hint="eastAsia" w:ascii="Times New Roman" w:hAnsi="Times New Roman" w:cs="Times New Roman"/>
                <w:b/>
                <w:bCs w:val="0"/>
                <w:color w:val="auto"/>
                <w:sz w:val="24"/>
                <w:szCs w:val="24"/>
                <w:highlight w:val="none"/>
                <w:lang w:val="en-US" w:eastAsia="zh-CN"/>
              </w:rPr>
              <w:t>2</w:t>
            </w:r>
            <w:r>
              <w:rPr>
                <w:rFonts w:hint="default" w:ascii="Times New Roman" w:hAnsi="Times New Roman" w:cs="Times New Roman"/>
                <w:b/>
                <w:bCs w:val="0"/>
                <w:color w:val="auto"/>
                <w:sz w:val="24"/>
                <w:szCs w:val="24"/>
                <w:highlight w:val="none"/>
                <w:lang w:eastAsia="zh-CN"/>
              </w:rPr>
              <w:t>）</w:t>
            </w:r>
            <w:r>
              <w:rPr>
                <w:rFonts w:hint="eastAsia" w:ascii="Times New Roman" w:hAnsi="Times New Roman" w:cs="Times New Roman"/>
                <w:b/>
                <w:bCs w:val="0"/>
                <w:color w:val="auto"/>
                <w:sz w:val="24"/>
                <w:szCs w:val="24"/>
                <w:highlight w:val="none"/>
                <w:lang w:val="en-US" w:eastAsia="zh-CN"/>
              </w:rPr>
              <w:t>筛分</w:t>
            </w:r>
            <w:r>
              <w:rPr>
                <w:rFonts w:hint="default" w:ascii="Times New Roman" w:hAnsi="Times New Roman" w:cs="Times New Roman"/>
                <w:b/>
                <w:bCs w:val="0"/>
                <w:color w:val="auto"/>
                <w:sz w:val="24"/>
                <w:szCs w:val="24"/>
                <w:highlight w:val="none"/>
                <w:lang w:val="en-US" w:eastAsia="zh-CN"/>
              </w:rPr>
              <w:t>过程产生的颗粒物</w:t>
            </w:r>
          </w:p>
          <w:p w14:paraId="4AC3CAEF">
            <w:pPr>
              <w:keepNext w:val="0"/>
              <w:keepLines w:val="0"/>
              <w:suppressLineNumbers w:val="0"/>
              <w:spacing w:before="0" w:beforeAutospacing="0" w:after="0" w:afterAutospacing="0" w:line="360" w:lineRule="auto"/>
              <w:ind w:left="0" w:right="0" w:firstLine="480" w:firstLineChars="200"/>
              <w:rPr>
                <w:rFonts w:hint="default"/>
                <w:sz w:val="24"/>
                <w:highlight w:val="none"/>
                <w:lang w:val="en-US"/>
              </w:rPr>
            </w:pPr>
            <w:r>
              <w:rPr>
                <w:rFonts w:hint="eastAsia" w:ascii="Times New Roman" w:hAnsi="Times New Roman"/>
                <w:sz w:val="24"/>
                <w:szCs w:val="24"/>
                <w:lang w:val="en-US" w:eastAsia="zh-CN"/>
              </w:rPr>
              <w:t>气流筛分工序过筛的物料经过密闭收尘管道进入收尘器，收尘效率约99.9%，收尘下来的物料作为产品，在收尘器下部进行装袋，未经收尘器有效收尘的粉尘通过密闭管道进入布袋除尘器。</w:t>
            </w:r>
            <w:r>
              <w:rPr>
                <w:rFonts w:hint="eastAsia"/>
                <w:sz w:val="24"/>
                <w:szCs w:val="24"/>
                <w:lang w:val="en-US" w:eastAsia="zh-CN"/>
              </w:rPr>
              <w:t>磁选工序磁选杂质产生量为4t/a，则</w:t>
            </w:r>
            <w:r>
              <w:rPr>
                <w:rFonts w:hint="eastAsia" w:ascii="Times New Roman" w:hAnsi="Times New Roman"/>
                <w:sz w:val="24"/>
                <w:szCs w:val="24"/>
                <w:lang w:val="en-US" w:eastAsia="zh-CN"/>
              </w:rPr>
              <w:t>过筛物料量约为20020t/a，则未经收尘器有效收尘的粉尘产生量约为20t/a。</w:t>
            </w:r>
          </w:p>
          <w:p w14:paraId="4AA74D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筛分</w:t>
            </w:r>
            <w:r>
              <w:rPr>
                <w:rFonts w:hint="default" w:ascii="Times New Roman" w:hAnsi="Times New Roman" w:cs="Times New Roman"/>
                <w:b w:val="0"/>
                <w:bCs/>
                <w:color w:val="auto"/>
                <w:sz w:val="24"/>
                <w:highlight w:val="none"/>
                <w:lang w:val="en-US" w:eastAsia="zh-CN"/>
              </w:rPr>
              <w:t>过程产生的颗粒物经密闭管道进入</w:t>
            </w:r>
            <w:r>
              <w:rPr>
                <w:rFonts w:hint="eastAsia" w:cs="Times New Roman"/>
                <w:b w:val="0"/>
                <w:bCs/>
                <w:color w:val="auto"/>
                <w:sz w:val="24"/>
                <w:highlight w:val="none"/>
                <w:lang w:val="en-US" w:eastAsia="zh-CN"/>
              </w:rPr>
              <w:t>布袋除尘器处理，收集效率100%，则有组织</w:t>
            </w:r>
            <w:r>
              <w:rPr>
                <w:rFonts w:hint="eastAsia" w:ascii="Times New Roman" w:hAnsi="Times New Roman" w:eastAsia="宋体" w:cs="Times New Roman"/>
                <w:sz w:val="24"/>
                <w:szCs w:val="24"/>
                <w:highlight w:val="none"/>
                <w:lang w:val="en-US" w:eastAsia="zh-CN"/>
              </w:rPr>
              <w:t>颗粒物</w:t>
            </w:r>
            <w:r>
              <w:rPr>
                <w:rFonts w:hint="eastAsia" w:cs="Times New Roman"/>
                <w:b w:val="0"/>
                <w:bCs/>
                <w:color w:val="auto"/>
                <w:sz w:val="24"/>
                <w:highlight w:val="none"/>
                <w:lang w:val="en-US" w:eastAsia="zh-CN"/>
              </w:rPr>
              <w:t>产生量为20</w:t>
            </w:r>
            <w:r>
              <w:rPr>
                <w:rFonts w:hint="default" w:ascii="Times New Roman" w:hAnsi="Times New Roman" w:eastAsia="宋体" w:cs="Times New Roman"/>
                <w:sz w:val="24"/>
                <w:szCs w:val="24"/>
                <w:highlight w:val="none"/>
                <w:lang w:val="en-US" w:eastAsia="zh-CN"/>
              </w:rPr>
              <w:t>t/a</w:t>
            </w:r>
            <w:r>
              <w:rPr>
                <w:rFonts w:hint="eastAsia" w:ascii="Times New Roman" w:hAnsi="Times New Roman" w:cs="Times New Roman"/>
                <w:b w:val="0"/>
                <w:bCs/>
                <w:color w:val="auto"/>
                <w:sz w:val="24"/>
                <w:highlight w:val="none"/>
                <w:lang w:val="en-US" w:eastAsia="zh-CN"/>
              </w:rPr>
              <w:t>。</w:t>
            </w:r>
          </w:p>
          <w:p w14:paraId="73B01A86">
            <w:pPr>
              <w:pStyle w:val="2"/>
              <w:keepNext w:val="0"/>
              <w:keepLines w:val="0"/>
              <w:suppressLineNumbers w:val="0"/>
              <w:spacing w:before="0" w:beforeAutospacing="0" w:after="0" w:afterAutospacing="0" w:line="360" w:lineRule="auto"/>
              <w:ind w:left="0" w:leftChars="0" w:right="0" w:firstLine="48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
                <w:bCs w:val="0"/>
                <w:color w:val="auto"/>
                <w:sz w:val="24"/>
                <w:szCs w:val="24"/>
                <w:highlight w:val="none"/>
                <w:lang w:eastAsia="zh-CN"/>
              </w:rPr>
              <w:t>（</w:t>
            </w:r>
            <w:r>
              <w:rPr>
                <w:rFonts w:hint="eastAsia" w:ascii="Times New Roman" w:hAnsi="Times New Roman" w:cs="Times New Roman"/>
                <w:b/>
                <w:bCs w:val="0"/>
                <w:color w:val="auto"/>
                <w:sz w:val="24"/>
                <w:szCs w:val="24"/>
                <w:highlight w:val="none"/>
                <w:lang w:val="en-US" w:eastAsia="zh-CN"/>
              </w:rPr>
              <w:t>3</w:t>
            </w:r>
            <w:r>
              <w:rPr>
                <w:rFonts w:hint="default" w:ascii="Times New Roman" w:hAnsi="Times New Roman" w:cs="Times New Roman"/>
                <w:b/>
                <w:bCs w:val="0"/>
                <w:color w:val="auto"/>
                <w:sz w:val="24"/>
                <w:szCs w:val="24"/>
                <w:highlight w:val="none"/>
                <w:lang w:eastAsia="zh-CN"/>
              </w:rPr>
              <w:t>）</w:t>
            </w:r>
            <w:r>
              <w:rPr>
                <w:rFonts w:hint="eastAsia" w:ascii="Times New Roman" w:hAnsi="Times New Roman" w:cs="Times New Roman"/>
                <w:b/>
                <w:bCs w:val="0"/>
                <w:color w:val="auto"/>
                <w:sz w:val="24"/>
                <w:szCs w:val="24"/>
                <w:highlight w:val="none"/>
                <w:lang w:val="en-US" w:eastAsia="zh-CN"/>
              </w:rPr>
              <w:t>包装</w:t>
            </w:r>
            <w:r>
              <w:rPr>
                <w:rFonts w:hint="default" w:ascii="Times New Roman" w:hAnsi="Times New Roman" w:cs="Times New Roman"/>
                <w:b/>
                <w:bCs w:val="0"/>
                <w:color w:val="auto"/>
                <w:sz w:val="24"/>
                <w:szCs w:val="24"/>
                <w:highlight w:val="none"/>
                <w:lang w:val="en-US" w:eastAsia="zh-CN"/>
              </w:rPr>
              <w:t>过程产生的颗粒物</w:t>
            </w:r>
          </w:p>
          <w:p w14:paraId="60373D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w:t>
            </w:r>
            <w:r>
              <w:rPr>
                <w:rFonts w:hint="eastAsia" w:ascii="Times New Roman" w:hAnsi="Times New Roman" w:eastAsia="宋体" w:cs="Times New Roman"/>
                <w:sz w:val="24"/>
                <w:szCs w:val="24"/>
                <w:highlight w:val="none"/>
                <w:lang w:val="en-US" w:eastAsia="zh-CN"/>
              </w:rPr>
              <w:t>包装</w:t>
            </w:r>
            <w:r>
              <w:rPr>
                <w:rFonts w:hint="default" w:ascii="Times New Roman" w:hAnsi="Times New Roman" w:cs="Times New Roman"/>
                <w:bCs/>
                <w:color w:val="auto"/>
                <w:sz w:val="24"/>
                <w:highlight w:val="none"/>
                <w:lang w:val="en-US" w:eastAsia="zh-CN"/>
              </w:rPr>
              <w:t>过程</w:t>
            </w:r>
            <w:r>
              <w:rPr>
                <w:rFonts w:hint="default" w:ascii="Times New Roman" w:hAnsi="Times New Roman" w:eastAsia="宋体" w:cs="Times New Roman"/>
                <w:sz w:val="24"/>
                <w:szCs w:val="24"/>
                <w:highlight w:val="none"/>
                <w:lang w:val="en-US" w:eastAsia="zh-CN"/>
              </w:rPr>
              <w:t>会产生少量</w:t>
            </w:r>
            <w:r>
              <w:rPr>
                <w:rFonts w:hint="eastAsia" w:ascii="Times New Roman" w:hAnsi="Times New Roman" w:eastAsia="宋体" w:cs="Times New Roman"/>
                <w:sz w:val="24"/>
                <w:szCs w:val="24"/>
                <w:highlight w:val="none"/>
                <w:lang w:val="en-US" w:eastAsia="zh-CN"/>
              </w:rPr>
              <w:t>颗粒物</w:t>
            </w:r>
            <w:r>
              <w:rPr>
                <w:rFonts w:hint="default" w:ascii="Times New Roman" w:hAnsi="Times New Roman" w:eastAsia="宋体" w:cs="Times New Roman"/>
                <w:sz w:val="24"/>
                <w:szCs w:val="24"/>
                <w:highlight w:val="none"/>
                <w:lang w:val="en-US" w:eastAsia="zh-CN"/>
              </w:rPr>
              <w:t>，参考《逸散性工业颗粒物控制技术》“表</w:t>
            </w:r>
            <w:r>
              <w:rPr>
                <w:rFonts w:hint="eastAsia" w:ascii="Times New Roman" w:hAnsi="Times New Roman" w:eastAsia="宋体" w:cs="Times New Roman"/>
                <w:sz w:val="24"/>
                <w:szCs w:val="24"/>
                <w:highlight w:val="none"/>
                <w:lang w:val="en-US" w:eastAsia="zh-CN"/>
              </w:rPr>
              <w:t>3-1石灰生产</w:t>
            </w:r>
            <w:r>
              <w:rPr>
                <w:rFonts w:hint="default" w:ascii="Times New Roman" w:hAnsi="Times New Roman" w:eastAsia="宋体" w:cs="Times New Roman"/>
                <w:sz w:val="24"/>
                <w:szCs w:val="24"/>
                <w:highlight w:val="none"/>
                <w:lang w:val="en-US" w:eastAsia="zh-CN"/>
              </w:rPr>
              <w:t>的逸散尘排放因子”中“包装”排污系数为0.</w:t>
            </w:r>
            <w:r>
              <w:rPr>
                <w:rFonts w:hint="eastAsia" w:ascii="Times New Roman" w:hAnsi="Times New Roman" w:eastAsia="宋体" w:cs="Times New Roman"/>
                <w:sz w:val="24"/>
                <w:szCs w:val="24"/>
                <w:highlight w:val="none"/>
                <w:lang w:val="en-US" w:eastAsia="zh-CN"/>
              </w:rPr>
              <w:t>125</w:t>
            </w:r>
            <w:r>
              <w:rPr>
                <w:rFonts w:hint="default" w:ascii="Times New Roman" w:hAnsi="Times New Roman" w:eastAsia="宋体" w:cs="Times New Roman"/>
                <w:sz w:val="24"/>
                <w:szCs w:val="24"/>
                <w:highlight w:val="none"/>
                <w:lang w:val="en-US" w:eastAsia="zh-CN"/>
              </w:rPr>
              <w:t>kg/t</w:t>
            </w:r>
            <w:r>
              <w:rPr>
                <w:rFonts w:hint="eastAsia" w:ascii="Times New Roman" w:hAnsi="Times New Roman" w:eastAsia="宋体" w:cs="Times New Roman"/>
                <w:sz w:val="24"/>
                <w:szCs w:val="24"/>
                <w:highlight w:val="none"/>
                <w:lang w:val="en-US" w:eastAsia="zh-CN"/>
              </w:rPr>
              <w:t>卸料</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包装量</w:t>
            </w:r>
            <w:r>
              <w:rPr>
                <w:rFonts w:hint="default" w:ascii="Times New Roman" w:hAnsi="Times New Roman" w:eastAsia="宋体" w:cs="Times New Roman"/>
                <w:sz w:val="24"/>
                <w:szCs w:val="24"/>
                <w:highlight w:val="none"/>
                <w:lang w:val="en-US" w:eastAsia="zh-CN"/>
              </w:rPr>
              <w:t>为</w:t>
            </w:r>
            <w:r>
              <w:rPr>
                <w:rFonts w:hint="eastAsia" w:ascii="Times New Roman" w:hAnsi="Times New Roman" w:eastAsia="宋体" w:cs="Times New Roman"/>
                <w:sz w:val="24"/>
                <w:szCs w:val="24"/>
                <w:highlight w:val="none"/>
                <w:lang w:val="en-US" w:eastAsia="zh-CN"/>
              </w:rPr>
              <w:t>200</w:t>
            </w:r>
            <w:r>
              <w:rPr>
                <w:rFonts w:hint="eastAsia" w:cs="Times New Roman"/>
                <w:sz w:val="24"/>
                <w:szCs w:val="24"/>
                <w:highlight w:val="none"/>
                <w:lang w:val="en-US" w:eastAsia="zh-CN"/>
              </w:rPr>
              <w:t>2</w:t>
            </w:r>
            <w:r>
              <w:rPr>
                <w:rFonts w:hint="eastAsia" w:ascii="Times New Roman" w:hAnsi="Times New Roman" w:eastAsia="宋体" w:cs="Times New Roman"/>
                <w:sz w:val="24"/>
                <w:szCs w:val="24"/>
                <w:highlight w:val="none"/>
                <w:lang w:val="en-US" w:eastAsia="zh-CN"/>
              </w:rPr>
              <w:t>0</w:t>
            </w:r>
            <w:r>
              <w:rPr>
                <w:rFonts w:hint="default" w:ascii="Times New Roman" w:hAnsi="Times New Roman" w:eastAsia="宋体" w:cs="Times New Roman"/>
                <w:sz w:val="24"/>
                <w:szCs w:val="24"/>
                <w:highlight w:val="none"/>
                <w:lang w:val="en-US" w:eastAsia="zh-CN"/>
              </w:rPr>
              <w:t>t/a，则</w:t>
            </w:r>
            <w:r>
              <w:rPr>
                <w:rFonts w:hint="eastAsia" w:ascii="Times New Roman" w:hAnsi="Times New Roman" w:eastAsia="宋体" w:cs="Times New Roman"/>
                <w:sz w:val="24"/>
                <w:szCs w:val="24"/>
                <w:highlight w:val="none"/>
                <w:lang w:val="en-US" w:eastAsia="zh-CN"/>
              </w:rPr>
              <w:t>包装</w:t>
            </w:r>
            <w:r>
              <w:rPr>
                <w:rFonts w:hint="default" w:ascii="Times New Roman" w:hAnsi="Times New Roman" w:cs="Times New Roman"/>
                <w:bCs/>
                <w:color w:val="auto"/>
                <w:sz w:val="24"/>
                <w:highlight w:val="none"/>
                <w:lang w:val="en-US" w:eastAsia="zh-CN"/>
              </w:rPr>
              <w:t>过程</w:t>
            </w:r>
            <w:r>
              <w:rPr>
                <w:rFonts w:hint="default" w:ascii="Times New Roman" w:hAnsi="Times New Roman" w:eastAsia="宋体" w:cs="Times New Roman"/>
                <w:sz w:val="24"/>
                <w:szCs w:val="24"/>
                <w:highlight w:val="none"/>
                <w:lang w:val="en-US" w:eastAsia="zh-CN"/>
              </w:rPr>
              <w:t>产生的</w:t>
            </w:r>
            <w:r>
              <w:rPr>
                <w:rFonts w:hint="eastAsia" w:ascii="Times New Roman" w:hAnsi="Times New Roman" w:eastAsia="宋体" w:cs="Times New Roman"/>
                <w:sz w:val="24"/>
                <w:szCs w:val="24"/>
                <w:highlight w:val="none"/>
                <w:lang w:val="en-US" w:eastAsia="zh-CN"/>
              </w:rPr>
              <w:t>颗粒物</w:t>
            </w:r>
            <w:r>
              <w:rPr>
                <w:rFonts w:hint="default" w:ascii="Times New Roman" w:hAnsi="Times New Roman" w:eastAsia="宋体" w:cs="Times New Roman"/>
                <w:sz w:val="24"/>
                <w:szCs w:val="24"/>
                <w:highlight w:val="none"/>
                <w:lang w:val="en-US" w:eastAsia="zh-CN"/>
              </w:rPr>
              <w:t>量</w:t>
            </w:r>
            <w:r>
              <w:rPr>
                <w:rFonts w:hint="eastAsia" w:ascii="Times New Roman" w:hAnsi="Times New Roman" w:eastAsia="宋体" w:cs="Times New Roman"/>
                <w:sz w:val="24"/>
                <w:szCs w:val="24"/>
                <w:highlight w:val="none"/>
                <w:lang w:val="en-US" w:eastAsia="zh-CN"/>
              </w:rPr>
              <w:t>约</w:t>
            </w:r>
            <w:r>
              <w:rPr>
                <w:rFonts w:hint="default" w:ascii="Times New Roman" w:hAnsi="Times New Roman" w:eastAsia="宋体" w:cs="Times New Roman"/>
                <w:sz w:val="24"/>
                <w:szCs w:val="24"/>
                <w:highlight w:val="none"/>
                <w:lang w:val="en-US" w:eastAsia="zh-CN"/>
              </w:rPr>
              <w:t>为</w:t>
            </w:r>
            <w:r>
              <w:rPr>
                <w:rFonts w:hint="eastAsia" w:ascii="Times New Roman" w:hAnsi="Times New Roman" w:eastAsia="宋体" w:cs="Times New Roman"/>
                <w:sz w:val="24"/>
                <w:szCs w:val="24"/>
                <w:highlight w:val="none"/>
                <w:lang w:val="en-US" w:eastAsia="zh-CN"/>
              </w:rPr>
              <w:t>2.5</w:t>
            </w:r>
            <w:r>
              <w:rPr>
                <w:rFonts w:hint="default" w:ascii="Times New Roman" w:hAnsi="Times New Roman" w:eastAsia="宋体" w:cs="Times New Roman"/>
                <w:sz w:val="24"/>
                <w:szCs w:val="24"/>
                <w:highlight w:val="none"/>
                <w:lang w:val="en-US" w:eastAsia="zh-CN"/>
              </w:rPr>
              <w:t>t/a。</w:t>
            </w:r>
          </w:p>
          <w:p w14:paraId="5C5F45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Times New Roman"/>
                <w:sz w:val="24"/>
                <w:szCs w:val="24"/>
                <w:highlight w:val="none"/>
                <w:lang w:val="en-US" w:eastAsia="zh-CN" w:bidi="ar-SA"/>
              </w:rPr>
            </w:pPr>
            <w:r>
              <w:rPr>
                <w:rFonts w:hint="eastAsia" w:ascii="Times New Roman" w:hAnsi="Times New Roman" w:cs="Times New Roman"/>
                <w:b w:val="0"/>
                <w:bCs/>
                <w:color w:val="auto"/>
                <w:sz w:val="24"/>
                <w:highlight w:val="none"/>
                <w:lang w:val="en-US" w:eastAsia="zh-CN"/>
              </w:rPr>
              <w:t>包装</w:t>
            </w:r>
            <w:r>
              <w:rPr>
                <w:rFonts w:hint="default" w:ascii="Times New Roman" w:hAnsi="Times New Roman" w:cs="Times New Roman"/>
                <w:b w:val="0"/>
                <w:bCs/>
                <w:color w:val="auto"/>
                <w:sz w:val="24"/>
                <w:highlight w:val="none"/>
                <w:lang w:val="en-US" w:eastAsia="zh-CN"/>
              </w:rPr>
              <w:t>过程产生的颗粒物经呼吸</w:t>
            </w:r>
            <w:r>
              <w:rPr>
                <w:rFonts w:hint="eastAsia" w:cs="Times New Roman"/>
                <w:b w:val="0"/>
                <w:bCs/>
                <w:color w:val="auto"/>
                <w:sz w:val="24"/>
                <w:highlight w:val="none"/>
                <w:lang w:val="en-US" w:eastAsia="zh-CN"/>
              </w:rPr>
              <w:t>管道</w:t>
            </w:r>
            <w:r>
              <w:rPr>
                <w:rFonts w:hint="default" w:ascii="Times New Roman" w:hAnsi="Times New Roman" w:cs="Times New Roman"/>
                <w:b w:val="0"/>
                <w:bCs/>
                <w:color w:val="auto"/>
                <w:sz w:val="24"/>
                <w:highlight w:val="none"/>
                <w:lang w:val="en-US" w:eastAsia="zh-CN"/>
              </w:rPr>
              <w:t>进入</w:t>
            </w:r>
            <w:r>
              <w:rPr>
                <w:rFonts w:hint="eastAsia" w:cs="Times New Roman"/>
                <w:b w:val="0"/>
                <w:bCs/>
                <w:color w:val="auto"/>
                <w:sz w:val="24"/>
                <w:highlight w:val="none"/>
                <w:lang w:val="en-US" w:eastAsia="zh-CN"/>
              </w:rPr>
              <w:t>布袋除尘器处理，收集效率95%，则有组织</w:t>
            </w:r>
            <w:r>
              <w:rPr>
                <w:rFonts w:hint="eastAsia" w:ascii="Times New Roman" w:hAnsi="Times New Roman" w:eastAsia="宋体" w:cs="Times New Roman"/>
                <w:sz w:val="24"/>
                <w:szCs w:val="24"/>
                <w:highlight w:val="none"/>
                <w:lang w:val="en-US" w:eastAsia="zh-CN"/>
              </w:rPr>
              <w:t>颗粒物</w:t>
            </w:r>
            <w:r>
              <w:rPr>
                <w:rFonts w:hint="eastAsia" w:cs="Times New Roman"/>
                <w:b w:val="0"/>
                <w:bCs/>
                <w:color w:val="auto"/>
                <w:sz w:val="24"/>
                <w:highlight w:val="none"/>
                <w:lang w:val="en-US" w:eastAsia="zh-CN"/>
              </w:rPr>
              <w:t>产生量约为2.38</w:t>
            </w:r>
            <w:r>
              <w:rPr>
                <w:rFonts w:hint="default" w:ascii="Times New Roman" w:hAnsi="Times New Roman" w:eastAsia="宋体" w:cs="Times New Roman"/>
                <w:sz w:val="24"/>
                <w:szCs w:val="24"/>
                <w:highlight w:val="none"/>
                <w:lang w:val="en-US" w:eastAsia="zh-CN"/>
              </w:rPr>
              <w:t>t/a</w:t>
            </w:r>
            <w:r>
              <w:rPr>
                <w:rFonts w:hint="eastAsia" w:ascii="Times New Roman" w:hAnsi="Times New Roman" w:eastAsia="宋体" w:cs="Times New Roman"/>
                <w:sz w:val="24"/>
                <w:szCs w:val="24"/>
                <w:highlight w:val="none"/>
                <w:lang w:val="en-US" w:eastAsia="zh-CN"/>
              </w:rPr>
              <w:t>，无组织排放</w:t>
            </w:r>
            <w:r>
              <w:rPr>
                <w:rFonts w:hint="eastAsia" w:cs="Times New Roman"/>
                <w:b w:val="0"/>
                <w:bCs/>
                <w:color w:val="auto"/>
                <w:sz w:val="24"/>
                <w:highlight w:val="none"/>
                <w:lang w:val="en-US" w:eastAsia="zh-CN"/>
              </w:rPr>
              <w:t>量为0.12</w:t>
            </w:r>
            <w:r>
              <w:rPr>
                <w:rFonts w:hint="default" w:ascii="Times New Roman" w:hAnsi="Times New Roman" w:eastAsia="宋体" w:cs="Times New Roman"/>
                <w:sz w:val="24"/>
                <w:szCs w:val="24"/>
                <w:highlight w:val="none"/>
                <w:lang w:val="en-US" w:eastAsia="zh-CN"/>
              </w:rPr>
              <w:t>t/a</w:t>
            </w:r>
            <w:r>
              <w:rPr>
                <w:rFonts w:hint="eastAsia" w:ascii="Times New Roman" w:hAnsi="Times New Roman" w:cs="Times New Roman"/>
                <w:b w:val="0"/>
                <w:bCs/>
                <w:color w:val="auto"/>
                <w:sz w:val="24"/>
                <w:highlight w:val="none"/>
                <w:lang w:val="en-US" w:eastAsia="zh-CN"/>
              </w:rPr>
              <w:t>。</w:t>
            </w:r>
          </w:p>
          <w:p w14:paraId="6CC31353">
            <w:pPr>
              <w:pStyle w:val="9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排放量及排放浓度：</w:t>
            </w:r>
          </w:p>
          <w:p w14:paraId="5CA6BD01">
            <w:pPr>
              <w:pStyle w:val="9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w:t>
            </w:r>
            <w:r>
              <w:rPr>
                <w:rFonts w:hint="eastAsia" w:ascii="Times New Roman" w:hAnsi="Times New Roman" w:cs="Times New Roman"/>
                <w:bCs/>
                <w:color w:val="auto"/>
                <w:sz w:val="24"/>
                <w:szCs w:val="24"/>
                <w:highlight w:val="none"/>
                <w:lang w:val="en-US" w:eastAsia="zh-CN"/>
              </w:rPr>
              <w:t>投料、筛分、包装</w:t>
            </w:r>
            <w:r>
              <w:rPr>
                <w:rFonts w:hint="default" w:ascii="Times New Roman" w:hAnsi="Times New Roman" w:eastAsia="宋体" w:cs="Times New Roman"/>
                <w:bCs/>
                <w:color w:val="auto"/>
                <w:sz w:val="24"/>
                <w:szCs w:val="24"/>
                <w:highlight w:val="none"/>
                <w:lang w:val="en-US" w:eastAsia="zh-CN"/>
              </w:rPr>
              <w:t>过程有组织颗粒物产生</w:t>
            </w:r>
            <w:r>
              <w:rPr>
                <w:rFonts w:hint="eastAsia" w:ascii="Times New Roman" w:hAnsi="Times New Roman" w:cs="Times New Roman"/>
                <w:bCs/>
                <w:color w:val="auto"/>
                <w:sz w:val="24"/>
                <w:szCs w:val="24"/>
                <w:highlight w:val="none"/>
                <w:lang w:val="en-US" w:eastAsia="zh-CN"/>
              </w:rPr>
              <w:t>总</w:t>
            </w:r>
            <w:r>
              <w:rPr>
                <w:rFonts w:hint="default" w:ascii="Times New Roman" w:hAnsi="Times New Roman" w:eastAsia="宋体" w:cs="Times New Roman"/>
                <w:bCs/>
                <w:color w:val="auto"/>
                <w:sz w:val="24"/>
                <w:szCs w:val="24"/>
                <w:highlight w:val="none"/>
                <w:lang w:val="en-US" w:eastAsia="zh-CN"/>
              </w:rPr>
              <w:t>量约为</w:t>
            </w:r>
            <w:r>
              <w:rPr>
                <w:rFonts w:hint="eastAsia" w:ascii="Times New Roman" w:hAnsi="Times New Roman" w:cs="Times New Roman"/>
                <w:bCs/>
                <w:color w:val="auto"/>
                <w:sz w:val="24"/>
                <w:szCs w:val="24"/>
                <w:highlight w:val="none"/>
                <w:lang w:val="en-US" w:eastAsia="zh-CN"/>
              </w:rPr>
              <w:t>26.18</w:t>
            </w:r>
            <w:r>
              <w:rPr>
                <w:rFonts w:hint="default" w:ascii="Times New Roman" w:hAnsi="Times New Roman" w:eastAsia="宋体" w:cs="Times New Roman"/>
                <w:bCs/>
                <w:color w:val="auto"/>
                <w:sz w:val="24"/>
                <w:szCs w:val="24"/>
                <w:highlight w:val="none"/>
                <w:lang w:val="en-US" w:eastAsia="zh-CN"/>
              </w:rPr>
              <w:t>t/a，经</w:t>
            </w:r>
            <w:r>
              <w:rPr>
                <w:rFonts w:hint="default" w:ascii="Times New Roman" w:hAnsi="Times New Roman" w:cs="Times New Roman"/>
                <w:bCs/>
                <w:color w:val="auto"/>
                <w:sz w:val="24"/>
                <w:szCs w:val="24"/>
                <w:highlight w:val="none"/>
                <w:lang w:val="en-US" w:eastAsia="zh-CN"/>
              </w:rPr>
              <w:t>布袋除尘</w:t>
            </w:r>
            <w:r>
              <w:rPr>
                <w:rFonts w:hint="eastAsia" w:ascii="Times New Roman" w:hAnsi="Times New Roman"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布袋除尘器</w:t>
            </w:r>
            <w:r>
              <w:rPr>
                <w:rFonts w:hint="default" w:ascii="Times New Roman" w:hAnsi="Times New Roman" w:cs="Times New Roman"/>
                <w:bCs/>
                <w:color w:val="auto"/>
                <w:sz w:val="24"/>
                <w:szCs w:val="24"/>
                <w:highlight w:val="none"/>
                <w:lang w:val="en-US" w:eastAsia="zh-CN"/>
              </w:rPr>
              <w:t>对颗粒物的处理效率9</w:t>
            </w:r>
            <w:r>
              <w:rPr>
                <w:rFonts w:hint="eastAsia" w:ascii="Times New Roman" w:hAnsi="Times New Roman" w:cs="Times New Roman"/>
                <w:bCs/>
                <w:color w:val="auto"/>
                <w:sz w:val="24"/>
                <w:szCs w:val="24"/>
                <w:highlight w:val="none"/>
                <w:lang w:val="en-US" w:eastAsia="zh-CN"/>
              </w:rPr>
              <w:t>9</w:t>
            </w:r>
            <w:r>
              <w:rPr>
                <w:rFonts w:hint="default"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，经15m排气筒排放（DA00</w:t>
            </w:r>
            <w:r>
              <w:rPr>
                <w:rFonts w:hint="eastAsia" w:ascii="Times New Roman" w:hAnsi="Times New Roman"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w:t>
            </w:r>
          </w:p>
          <w:p w14:paraId="244A3F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Times New Roman"/>
                <w:sz w:val="24"/>
                <w:highlight w:val="none"/>
                <w:lang w:eastAsia="zh-CN"/>
              </w:rPr>
            </w:pPr>
            <w:r>
              <w:rPr>
                <w:rFonts w:hint="eastAsia" w:ascii="Times New Roman" w:hAnsi="Times New Roman" w:cs="Times New Roman"/>
                <w:sz w:val="24"/>
                <w:szCs w:val="24"/>
                <w:highlight w:val="none"/>
                <w:lang w:val="en-US" w:eastAsia="zh-CN" w:bidi="ar-SA"/>
              </w:rPr>
              <w:t>根据设备厂家提供的资料，配套风机选型风量为15000</w:t>
            </w:r>
            <w:r>
              <w:rPr>
                <w:rFonts w:hint="default" w:ascii="Times New Roman" w:hAnsi="Times New Roman" w:cs="Times New Roman"/>
                <w:sz w:val="24"/>
                <w:highlight w:val="none"/>
              </w:rPr>
              <w:t>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/h</w:t>
            </w:r>
            <w:r>
              <w:rPr>
                <w:rFonts w:hint="eastAsia" w:ascii="Times New Roman" w:hAnsi="Times New Roman" w:cs="Times New Roman"/>
                <w:sz w:val="24"/>
                <w:highlight w:val="none"/>
                <w:lang w:eastAsia="zh-CN"/>
              </w:rPr>
              <w:t>。</w:t>
            </w:r>
          </w:p>
          <w:p w14:paraId="68B19997">
            <w:pPr>
              <w:pStyle w:val="9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投料、筛分、包装</w:t>
            </w:r>
            <w:r>
              <w:rPr>
                <w:rFonts w:hint="default" w:ascii="Times New Roman" w:hAnsi="Times New Roman" w:eastAsia="宋体" w:cs="Times New Roman"/>
                <w:bCs/>
                <w:color w:val="auto"/>
                <w:sz w:val="24"/>
                <w:szCs w:val="24"/>
                <w:highlight w:val="none"/>
                <w:lang w:val="en-US" w:eastAsia="zh-CN"/>
              </w:rPr>
              <w:t>过程年运行</w:t>
            </w:r>
            <w:r>
              <w:rPr>
                <w:rFonts w:hint="eastAsia" w:ascii="Times New Roman" w:hAnsi="Times New Roman" w:cs="Times New Roman"/>
                <w:bCs/>
                <w:color w:val="auto"/>
                <w:sz w:val="24"/>
                <w:szCs w:val="24"/>
                <w:highlight w:val="none"/>
                <w:lang w:val="en-US" w:eastAsia="zh-CN"/>
              </w:rPr>
              <w:t>24</w:t>
            </w:r>
            <w:r>
              <w:rPr>
                <w:rFonts w:hint="default" w:ascii="Times New Roman" w:hAnsi="Times New Roman" w:eastAsia="宋体" w:cs="Times New Roman"/>
                <w:bCs/>
                <w:color w:val="auto"/>
                <w:sz w:val="24"/>
                <w:szCs w:val="24"/>
                <w:highlight w:val="none"/>
                <w:lang w:val="en-US" w:eastAsia="zh-CN"/>
              </w:rPr>
              <w:t>00h</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颗粒物</w:t>
            </w:r>
            <w:r>
              <w:rPr>
                <w:rFonts w:hint="eastAsia" w:ascii="Times New Roman" w:hAnsi="Times New Roman" w:eastAsia="宋体" w:cs="Times New Roman"/>
                <w:bCs/>
                <w:color w:val="auto"/>
                <w:sz w:val="24"/>
                <w:szCs w:val="24"/>
                <w:highlight w:val="none"/>
                <w:lang w:val="en-US" w:eastAsia="zh-CN"/>
              </w:rPr>
              <w:t>有组织排放量为</w:t>
            </w:r>
            <w:r>
              <w:rPr>
                <w:rFonts w:hint="eastAsia" w:ascii="Times New Roman" w:hAnsi="Times New Roman" w:cs="Times New Roman"/>
                <w:bCs/>
                <w:color w:val="auto"/>
                <w:sz w:val="24"/>
                <w:szCs w:val="24"/>
                <w:highlight w:val="none"/>
                <w:lang w:val="en-US" w:eastAsia="zh-CN"/>
              </w:rPr>
              <w:t>0.26</w:t>
            </w:r>
            <w:r>
              <w:rPr>
                <w:rFonts w:hint="eastAsia" w:ascii="Times New Roman" w:hAnsi="Times New Roman" w:eastAsia="宋体" w:cs="Times New Roman"/>
                <w:bCs/>
                <w:color w:val="auto"/>
                <w:sz w:val="24"/>
                <w:szCs w:val="24"/>
                <w:highlight w:val="none"/>
                <w:lang w:val="en-US" w:eastAsia="zh-CN"/>
              </w:rPr>
              <w:t>t/a，</w:t>
            </w:r>
            <w:r>
              <w:rPr>
                <w:rFonts w:hint="default" w:ascii="Times New Roman" w:hAnsi="Times New Roman" w:eastAsia="宋体" w:cs="Times New Roman"/>
                <w:bCs/>
                <w:color w:val="auto"/>
                <w:sz w:val="24"/>
                <w:szCs w:val="24"/>
                <w:highlight w:val="none"/>
                <w:lang w:val="en-US" w:eastAsia="zh-CN"/>
              </w:rPr>
              <w:t>有组织排放速率为</w:t>
            </w:r>
            <w:r>
              <w:rPr>
                <w:rFonts w:hint="eastAsia" w:ascii="Times New Roman" w:hAnsi="Times New Roman" w:cs="Times New Roman"/>
                <w:bCs/>
                <w:color w:val="auto"/>
                <w:sz w:val="24"/>
                <w:szCs w:val="24"/>
                <w:highlight w:val="none"/>
                <w:lang w:val="en-US" w:eastAsia="zh-CN"/>
              </w:rPr>
              <w:t>0.11</w:t>
            </w:r>
            <w:r>
              <w:rPr>
                <w:rFonts w:hint="default" w:ascii="Times New Roman" w:hAnsi="Times New Roman" w:eastAsia="宋体" w:cs="Times New Roman"/>
                <w:bCs/>
                <w:color w:val="auto"/>
                <w:sz w:val="24"/>
                <w:szCs w:val="24"/>
                <w:highlight w:val="none"/>
                <w:lang w:val="en-US" w:eastAsia="zh-CN"/>
              </w:rPr>
              <w:t>kg/h，排放浓度</w:t>
            </w:r>
            <w:r>
              <w:rPr>
                <w:rFonts w:hint="eastAsia" w:ascii="Times New Roman" w:hAnsi="Times New Roman" w:cs="Times New Roman"/>
                <w:bCs/>
                <w:color w:val="auto"/>
                <w:sz w:val="24"/>
                <w:szCs w:val="24"/>
                <w:highlight w:val="none"/>
                <w:lang w:val="en-US" w:eastAsia="zh-CN"/>
              </w:rPr>
              <w:t>7.22</w:t>
            </w:r>
            <w:r>
              <w:rPr>
                <w:rFonts w:hint="default" w:ascii="Times New Roman" w:hAnsi="Times New Roman" w:eastAsia="宋体" w:cs="Times New Roman"/>
                <w:bCs/>
                <w:color w:val="auto"/>
                <w:sz w:val="24"/>
                <w:szCs w:val="24"/>
                <w:highlight w:val="none"/>
                <w:lang w:val="en-US" w:eastAsia="zh-CN"/>
              </w:rPr>
              <w:t>mg/m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cs="Times New Roman"/>
                <w:sz w:val="24"/>
                <w:lang w:val="en-US" w:eastAsia="zh-CN"/>
              </w:rPr>
              <w:t>，</w:t>
            </w:r>
            <w:r>
              <w:rPr>
                <w:rFonts w:hint="default"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kern w:val="0"/>
                <w:sz w:val="24"/>
                <w:highlight w:val="none"/>
                <w:lang w:val="en-US" w:eastAsia="zh-CN" w:bidi="ar"/>
              </w:rPr>
              <w:t>《区域性大气污染物综合排放标准》（DB37/2376-2019）表1重点控制区标准限值（颗粒物：10mg/m</w:t>
            </w:r>
            <w:r>
              <w:rPr>
                <w:rFonts w:hint="default" w:ascii="Times New Roman" w:hAnsi="Times New Roman" w:eastAsia="宋体" w:cs="Times New Roman"/>
                <w:color w:val="auto"/>
                <w:kern w:val="0"/>
                <w:sz w:val="24"/>
                <w:highlight w:val="none"/>
                <w:vertAlign w:val="superscript"/>
                <w:lang w:val="en-US" w:eastAsia="zh-CN" w:bidi="ar"/>
              </w:rPr>
              <w:t>3</w:t>
            </w:r>
            <w:r>
              <w:rPr>
                <w:rFonts w:hint="default"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sz w:val="24"/>
                <w:szCs w:val="24"/>
              </w:rPr>
              <w:t>。</w:t>
            </w:r>
          </w:p>
          <w:p w14:paraId="41ADBFC5">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val="0"/>
                <w:color w:val="auto"/>
                <w:sz w:val="24"/>
                <w:highlight w:val="none"/>
                <w:lang w:eastAsia="zh-CN"/>
              </w:rPr>
            </w:pPr>
            <w:r>
              <w:rPr>
                <w:rFonts w:hint="default" w:ascii="Times New Roman" w:hAnsi="Times New Roman" w:cs="Times New Roman"/>
                <w:b/>
                <w:bCs w:val="0"/>
                <w:color w:val="auto"/>
                <w:sz w:val="24"/>
                <w:highlight w:val="none"/>
                <w:lang w:val="en-US" w:eastAsia="zh-CN"/>
              </w:rPr>
              <w:t>2、</w:t>
            </w:r>
            <w:r>
              <w:rPr>
                <w:rFonts w:hint="default" w:ascii="Times New Roman" w:hAnsi="Times New Roman" w:cs="Times New Roman"/>
                <w:b/>
                <w:bCs w:val="0"/>
                <w:color w:val="auto"/>
                <w:sz w:val="24"/>
                <w:highlight w:val="none"/>
                <w:lang w:eastAsia="zh-CN"/>
              </w:rPr>
              <w:t>无组织废气</w:t>
            </w:r>
          </w:p>
          <w:p w14:paraId="5B0E2654">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Cs/>
                <w:sz w:val="24"/>
                <w:highlight w:val="none"/>
                <w:lang w:val="en-US" w:eastAsia="zh-CN"/>
              </w:rPr>
            </w:pPr>
            <w:r>
              <w:rPr>
                <w:rFonts w:hint="eastAsia" w:ascii="Times New Roman" w:hAnsi="Times New Roman" w:eastAsia="宋体" w:cs="Times New Roman"/>
                <w:b/>
                <w:bCs/>
                <w:sz w:val="24"/>
                <w:szCs w:val="24"/>
                <w:highlight w:val="none"/>
                <w:lang w:val="en-US" w:eastAsia="zh-CN"/>
              </w:rPr>
              <w:t>①未经有效收集颗粒物</w:t>
            </w:r>
          </w:p>
          <w:p w14:paraId="5E4B61E8">
            <w:pPr>
              <w:pStyle w:val="2"/>
              <w:keepNext w:val="0"/>
              <w:keepLines w:val="0"/>
              <w:suppressLineNumbers w:val="0"/>
              <w:spacing w:before="0" w:beforeAutospacing="0" w:after="0" w:afterAutospacing="0" w:line="360" w:lineRule="auto"/>
              <w:ind w:left="0" w:leftChars="0" w:right="0"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根据</w:t>
            </w:r>
            <w:r>
              <w:rPr>
                <w:rFonts w:hint="eastAsia" w:cs="Times New Roman"/>
                <w:color w:val="auto"/>
                <w:sz w:val="24"/>
                <w:szCs w:val="24"/>
                <w:highlight w:val="none"/>
                <w:lang w:val="en-US" w:eastAsia="zh-CN"/>
              </w:rPr>
              <w:t>前文</w:t>
            </w:r>
            <w:r>
              <w:rPr>
                <w:rFonts w:hint="default" w:ascii="Times New Roman" w:hAnsi="Times New Roman" w:eastAsia="宋体" w:cs="Times New Roman"/>
                <w:color w:val="auto"/>
                <w:sz w:val="24"/>
                <w:szCs w:val="24"/>
                <w:highlight w:val="none"/>
              </w:rPr>
              <w:t>分析</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32"/>
                <w:highlight w:val="none"/>
                <w:lang w:val="en-US" w:eastAsia="zh-CN"/>
              </w:rPr>
              <w:t>投料、包装</w:t>
            </w:r>
            <w:r>
              <w:rPr>
                <w:rFonts w:hint="default" w:ascii="Times New Roman" w:hAnsi="Times New Roman" w:eastAsia="宋体" w:cs="Times New Roman"/>
                <w:color w:val="auto"/>
                <w:sz w:val="24"/>
                <w:szCs w:val="32"/>
                <w:highlight w:val="none"/>
                <w:lang w:val="en-US" w:eastAsia="zh-CN"/>
              </w:rPr>
              <w:t>过程</w:t>
            </w:r>
            <w:r>
              <w:rPr>
                <w:rFonts w:hint="default" w:ascii="Times New Roman" w:hAnsi="Times New Roman" w:eastAsia="宋体" w:cs="Times New Roman"/>
                <w:color w:val="auto"/>
                <w:sz w:val="24"/>
                <w:szCs w:val="24"/>
                <w:highlight w:val="none"/>
              </w:rPr>
              <w:t>未收集的</w:t>
            </w:r>
            <w:r>
              <w:rPr>
                <w:rFonts w:hint="default" w:ascii="Times New Roman" w:hAnsi="Times New Roman" w:eastAsia="宋体" w:cs="Times New Roman"/>
                <w:b w:val="0"/>
                <w:bCs w:val="0"/>
                <w:color w:val="auto"/>
                <w:kern w:val="2"/>
                <w:sz w:val="24"/>
                <w:szCs w:val="24"/>
                <w:highlight w:val="none"/>
                <w:lang w:val="en-US" w:eastAsia="zh-CN" w:bidi="ar-SA"/>
              </w:rPr>
              <w:t>颗粒物</w:t>
            </w:r>
            <w:r>
              <w:rPr>
                <w:rFonts w:hint="eastAsia" w:cs="Times New Roman"/>
                <w:b w:val="0"/>
                <w:bCs w:val="0"/>
                <w:color w:val="auto"/>
                <w:kern w:val="2"/>
                <w:sz w:val="24"/>
                <w:szCs w:val="24"/>
                <w:highlight w:val="none"/>
                <w:lang w:val="en-US" w:eastAsia="zh-CN" w:bidi="ar-SA"/>
              </w:rPr>
              <w:t>0.32</w:t>
            </w:r>
            <w:r>
              <w:rPr>
                <w:rFonts w:hint="default" w:ascii="Times New Roman" w:hAnsi="Times New Roman" w:eastAsia="宋体" w:cs="Times New Roman"/>
                <w:b w:val="0"/>
                <w:bCs w:val="0"/>
                <w:color w:val="auto"/>
                <w:kern w:val="2"/>
                <w:sz w:val="24"/>
                <w:szCs w:val="24"/>
                <w:highlight w:val="none"/>
                <w:lang w:val="en-US" w:eastAsia="zh-CN" w:bidi="ar-SA"/>
              </w:rPr>
              <w:t>t/a</w:t>
            </w:r>
            <w:r>
              <w:rPr>
                <w:rFonts w:hint="default" w:ascii="Times New Roman" w:hAnsi="Times New Roman" w:cs="Times New Roman"/>
                <w:bCs/>
                <w:color w:val="auto"/>
                <w:sz w:val="24"/>
                <w:highlight w:val="none"/>
                <w:lang w:val="en-US" w:eastAsia="zh-CN"/>
              </w:rPr>
              <w:t>。</w:t>
            </w:r>
          </w:p>
          <w:p w14:paraId="72246CFD">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②车辆运输扬尘</w:t>
            </w:r>
          </w:p>
          <w:p w14:paraId="40730C8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 xml:space="preserve">本项目原料及产品在厂区内运输过程扬尘产生量按照以下经验公式估算。 </w:t>
            </w:r>
          </w:p>
          <w:p w14:paraId="2840C52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车辆运输扬尘产生量参照交通部水运研究所和武汉水运工程学院提出的经验公式计算：</w:t>
            </w:r>
          </w:p>
          <w:p w14:paraId="7387C8DD">
            <w:pPr>
              <w:keepNext w:val="0"/>
              <w:keepLines w:val="0"/>
              <w:suppressLineNumbers w:val="0"/>
              <w:spacing w:before="0" w:beforeAutospacing="0" w:after="0" w:afterAutospacing="0" w:line="360" w:lineRule="auto"/>
              <w:ind w:left="0" w:right="0" w:firstLine="480" w:firstLineChars="200"/>
              <w:jc w:val="center"/>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drawing>
                <wp:inline distT="0" distB="0" distL="114300" distR="114300">
                  <wp:extent cx="2263775" cy="901700"/>
                  <wp:effectExtent l="0" t="0" r="3175" b="12700"/>
                  <wp:docPr id="20" name="图片 6" descr="173993144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1739931440113"/>
                          <pic:cNvPicPr>
                            <a:picLocks noChangeAspect="1"/>
                          </pic:cNvPicPr>
                        </pic:nvPicPr>
                        <pic:blipFill>
                          <a:blip r:embed="rId25"/>
                          <a:stretch>
                            <a:fillRect/>
                          </a:stretch>
                        </pic:blipFill>
                        <pic:spPr>
                          <a:xfrm>
                            <a:off x="0" y="0"/>
                            <a:ext cx="2263775" cy="901700"/>
                          </a:xfrm>
                          <a:prstGeom prst="rect">
                            <a:avLst/>
                          </a:prstGeom>
                          <a:noFill/>
                          <a:ln>
                            <a:noFill/>
                          </a:ln>
                        </pic:spPr>
                      </pic:pic>
                    </a:graphicData>
                  </a:graphic>
                </wp:inline>
              </w:drawing>
            </w:r>
          </w:p>
          <w:p w14:paraId="1BFC403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eastAsia="宋体" w:cs="Times New Roman"/>
                <w:bCs/>
                <w:sz w:val="24"/>
                <w:highlight w:val="none"/>
                <w:lang w:val="en-US" w:eastAsia="zh-CN"/>
              </w:rPr>
              <w:t>式中：</w:t>
            </w:r>
            <w:r>
              <w:rPr>
                <w:rFonts w:hint="default" w:ascii="Times New Roman" w:hAnsi="Times New Roman" w:eastAsia="宋体" w:cs="Times New Roman"/>
                <w:bCs/>
                <w:sz w:val="24"/>
                <w:highlight w:val="none"/>
                <w:lang w:val="en-US" w:eastAsia="zh-CN"/>
              </w:rPr>
              <w:t>Qy</w:t>
            </w:r>
            <w:r>
              <w:rPr>
                <w:rFonts w:hint="eastAsia" w:ascii="Times New Roman" w:hAnsi="Times New Roman" w:eastAsia="宋体" w:cs="Times New Roman"/>
                <w:bCs/>
                <w:sz w:val="24"/>
                <w:highlight w:val="none"/>
                <w:lang w:val="en-US" w:eastAsia="zh-CN"/>
              </w:rPr>
              <w:t>——交通运输起尘量，</w:t>
            </w:r>
            <w:r>
              <w:rPr>
                <w:rFonts w:hint="default" w:ascii="Times New Roman" w:hAnsi="Times New Roman" w:eastAsia="宋体" w:cs="Times New Roman"/>
                <w:bCs/>
                <w:sz w:val="24"/>
                <w:highlight w:val="none"/>
                <w:lang w:val="en-US" w:eastAsia="zh-CN"/>
              </w:rPr>
              <w:t>kg/km</w:t>
            </w:r>
            <w:r>
              <w:rPr>
                <w:rFonts w:hint="eastAsia" w:ascii="Times New Roman" w:hAnsi="Times New Roman" w:eastAsia="宋体" w:cs="Times New Roman"/>
                <w:bCs/>
                <w:sz w:val="24"/>
                <w:highlight w:val="none"/>
                <w:lang w:val="en-US" w:eastAsia="zh-CN"/>
              </w:rPr>
              <w:t xml:space="preserve">·辆； </w:t>
            </w:r>
          </w:p>
          <w:p w14:paraId="6D5C487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Qt</w:t>
            </w:r>
            <w:r>
              <w:rPr>
                <w:rFonts w:hint="eastAsia" w:ascii="Times New Roman" w:hAnsi="Times New Roman" w:eastAsia="宋体" w:cs="Times New Roman"/>
                <w:bCs/>
                <w:sz w:val="24"/>
                <w:highlight w:val="none"/>
                <w:lang w:val="en-US" w:eastAsia="zh-CN"/>
              </w:rPr>
              <w:t>——运输途中起尘量，</w:t>
            </w:r>
            <w:r>
              <w:rPr>
                <w:rFonts w:hint="default" w:ascii="Times New Roman" w:hAnsi="Times New Roman" w:eastAsia="宋体" w:cs="Times New Roman"/>
                <w:bCs/>
                <w:sz w:val="24"/>
                <w:highlight w:val="none"/>
                <w:lang w:val="en-US" w:eastAsia="zh-CN"/>
              </w:rPr>
              <w:t>kg/a</w:t>
            </w:r>
            <w:r>
              <w:rPr>
                <w:rFonts w:hint="eastAsia" w:ascii="Times New Roman" w:hAnsi="Times New Roman" w:eastAsia="宋体" w:cs="Times New Roman"/>
                <w:bCs/>
                <w:sz w:val="24"/>
                <w:highlight w:val="none"/>
                <w:lang w:val="en-US" w:eastAsia="zh-CN"/>
              </w:rPr>
              <w:t xml:space="preserve">； </w:t>
            </w:r>
          </w:p>
          <w:p w14:paraId="37BB9E2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V</w:t>
            </w:r>
            <w:r>
              <w:rPr>
                <w:rFonts w:hint="eastAsia" w:ascii="Times New Roman" w:hAnsi="Times New Roman" w:eastAsia="宋体" w:cs="Times New Roman"/>
                <w:bCs/>
                <w:sz w:val="24"/>
                <w:highlight w:val="none"/>
                <w:lang w:val="en-US" w:eastAsia="zh-CN"/>
              </w:rPr>
              <w:t>——车辆行驶速度，</w:t>
            </w:r>
            <w:r>
              <w:rPr>
                <w:rFonts w:hint="default" w:ascii="Times New Roman" w:hAnsi="Times New Roman" w:eastAsia="宋体" w:cs="Times New Roman"/>
                <w:bCs/>
                <w:sz w:val="24"/>
                <w:highlight w:val="none"/>
                <w:lang w:val="en-US" w:eastAsia="zh-CN"/>
              </w:rPr>
              <w:t>km/h</w:t>
            </w:r>
            <w:r>
              <w:rPr>
                <w:rFonts w:hint="eastAsia" w:ascii="Times New Roman" w:hAnsi="Times New Roman" w:eastAsia="宋体" w:cs="Times New Roman"/>
                <w:bCs/>
                <w:sz w:val="24"/>
                <w:highlight w:val="none"/>
                <w:lang w:val="en-US" w:eastAsia="zh-CN"/>
              </w:rPr>
              <w:t>；厂内车辆行驶平均取5</w:t>
            </w:r>
            <w:r>
              <w:rPr>
                <w:rFonts w:hint="default" w:ascii="Times New Roman" w:hAnsi="Times New Roman" w:eastAsia="宋体" w:cs="Times New Roman"/>
                <w:bCs/>
                <w:sz w:val="24"/>
                <w:highlight w:val="none"/>
                <w:lang w:val="en-US" w:eastAsia="zh-CN"/>
              </w:rPr>
              <w:t>km/h</w:t>
            </w:r>
            <w:r>
              <w:rPr>
                <w:rFonts w:hint="eastAsia" w:ascii="Times New Roman" w:hAnsi="Times New Roman" w:eastAsia="宋体" w:cs="Times New Roman"/>
                <w:bCs/>
                <w:sz w:val="24"/>
                <w:highlight w:val="none"/>
                <w:lang w:val="en-US" w:eastAsia="zh-CN"/>
              </w:rPr>
              <w:t>；</w:t>
            </w:r>
          </w:p>
          <w:p w14:paraId="0F9C6BD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P</w:t>
            </w:r>
            <w:r>
              <w:rPr>
                <w:rFonts w:hint="eastAsia" w:ascii="Times New Roman" w:hAnsi="Times New Roman" w:eastAsia="宋体" w:cs="Times New Roman"/>
                <w:bCs/>
                <w:sz w:val="24"/>
                <w:highlight w:val="none"/>
                <w:lang w:val="en-US" w:eastAsia="zh-CN"/>
              </w:rPr>
              <w:t>——路面状况，以每平方米路面灰尘覆盖率表示，</w:t>
            </w:r>
            <w:r>
              <w:rPr>
                <w:rFonts w:hint="default" w:ascii="Times New Roman" w:hAnsi="Times New Roman" w:eastAsia="宋体" w:cs="Times New Roman"/>
                <w:bCs/>
                <w:sz w:val="24"/>
                <w:highlight w:val="none"/>
                <w:lang w:val="en-US" w:eastAsia="zh-CN"/>
              </w:rPr>
              <w:t>kg/m</w:t>
            </w:r>
            <w:r>
              <w:rPr>
                <w:rFonts w:hint="default" w:ascii="Times New Roman" w:hAnsi="Times New Roman" w:eastAsia="宋体" w:cs="Times New Roman"/>
                <w:bCs/>
                <w:sz w:val="24"/>
                <w:highlight w:val="none"/>
                <w:vertAlign w:val="superscript"/>
                <w:lang w:val="en-US" w:eastAsia="zh-CN"/>
              </w:rPr>
              <w:t>2</w:t>
            </w:r>
            <w:r>
              <w:rPr>
                <w:rFonts w:hint="eastAsia" w:ascii="Times New Roman" w:hAnsi="Times New Roman" w:eastAsia="宋体" w:cs="Times New Roman"/>
                <w:bCs/>
                <w:sz w:val="24"/>
                <w:highlight w:val="none"/>
                <w:lang w:val="en-US" w:eastAsia="zh-CN"/>
              </w:rPr>
              <w:t>，参考《</w:t>
            </w:r>
            <w:r>
              <w:rPr>
                <w:rFonts w:hint="default" w:ascii="Times New Roman" w:hAnsi="Times New Roman" w:eastAsia="宋体" w:cs="Times New Roman"/>
                <w:bCs/>
                <w:sz w:val="24"/>
                <w:highlight w:val="none"/>
                <w:lang w:val="en-US" w:eastAsia="zh-CN"/>
              </w:rPr>
              <w:t>建设工程扬尘污染防治技术规范</w:t>
            </w:r>
            <w:r>
              <w:rPr>
                <w:rFonts w:hint="eastAsia" w:ascii="Times New Roman" w:hAnsi="Times New Roman" w:eastAsia="宋体" w:cs="Times New Roman"/>
                <w:bCs/>
                <w:sz w:val="24"/>
                <w:highlight w:val="none"/>
                <w:lang w:val="en-US" w:eastAsia="zh-CN"/>
              </w:rPr>
              <w:t>》（</w:t>
            </w:r>
            <w:r>
              <w:rPr>
                <w:rFonts w:hint="default" w:ascii="Times New Roman" w:hAnsi="Times New Roman" w:eastAsia="宋体" w:cs="Times New Roman"/>
                <w:bCs/>
                <w:sz w:val="24"/>
                <w:highlight w:val="none"/>
                <w:lang w:val="en-US" w:eastAsia="zh-CN"/>
              </w:rPr>
              <w:t>SZDB/Z247-2017</w:t>
            </w:r>
            <w:r>
              <w:rPr>
                <w:rFonts w:hint="eastAsia" w:ascii="Times New Roman" w:hAnsi="Times New Roman" w:eastAsia="宋体" w:cs="Times New Roman"/>
                <w:bCs/>
                <w:sz w:val="24"/>
                <w:highlight w:val="none"/>
                <w:lang w:val="en-US" w:eastAsia="zh-CN"/>
              </w:rPr>
              <w:t>）表2尘土量限值，主要车道尘土量0.1kg</w:t>
            </w:r>
            <w:r>
              <w:rPr>
                <w:rFonts w:hint="default" w:ascii="Times New Roman" w:hAnsi="Times New Roman" w:eastAsia="宋体" w:cs="Times New Roman"/>
                <w:bCs/>
                <w:sz w:val="24"/>
                <w:highlight w:val="none"/>
                <w:lang w:val="en-US" w:eastAsia="zh-CN"/>
              </w:rPr>
              <w:t>/m</w:t>
            </w:r>
            <w:r>
              <w:rPr>
                <w:rFonts w:hint="default" w:ascii="Times New Roman" w:hAnsi="Times New Roman" w:eastAsia="宋体" w:cs="Times New Roman"/>
                <w:bCs/>
                <w:sz w:val="24"/>
                <w:highlight w:val="none"/>
                <w:vertAlign w:val="superscript"/>
                <w:lang w:val="en-US" w:eastAsia="zh-CN"/>
              </w:rPr>
              <w:t>2</w:t>
            </w:r>
            <w:r>
              <w:rPr>
                <w:rFonts w:hint="eastAsia" w:ascii="Times New Roman" w:hAnsi="Times New Roman" w:eastAsia="宋体" w:cs="Times New Roman"/>
                <w:bCs/>
                <w:sz w:val="24"/>
                <w:highlight w:val="none"/>
                <w:lang w:val="en-US" w:eastAsia="zh-CN"/>
              </w:rPr>
              <w:t>。</w:t>
            </w:r>
          </w:p>
          <w:p w14:paraId="2346E9E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M</w:t>
            </w:r>
            <w:r>
              <w:rPr>
                <w:rFonts w:hint="eastAsia" w:ascii="Times New Roman" w:hAnsi="Times New Roman" w:eastAsia="宋体" w:cs="Times New Roman"/>
                <w:bCs/>
                <w:sz w:val="24"/>
                <w:highlight w:val="none"/>
                <w:lang w:val="en-US" w:eastAsia="zh-CN"/>
              </w:rPr>
              <w:t>——车辆载重，</w:t>
            </w:r>
            <w:r>
              <w:rPr>
                <w:rFonts w:hint="default" w:ascii="Times New Roman" w:hAnsi="Times New Roman" w:eastAsia="宋体" w:cs="Times New Roman"/>
                <w:bCs/>
                <w:sz w:val="24"/>
                <w:highlight w:val="none"/>
                <w:lang w:val="en-US" w:eastAsia="zh-CN"/>
              </w:rPr>
              <w:t>t/</w:t>
            </w:r>
            <w:r>
              <w:rPr>
                <w:rFonts w:hint="eastAsia" w:ascii="Times New Roman" w:hAnsi="Times New Roman" w:eastAsia="宋体" w:cs="Times New Roman"/>
                <w:bCs/>
                <w:sz w:val="24"/>
                <w:highlight w:val="none"/>
                <w:lang w:val="en-US" w:eastAsia="zh-CN"/>
              </w:rPr>
              <w:t>辆。平均原料、产品运输车空车自重5t，载重后总重25t，取平均值15t；</w:t>
            </w:r>
          </w:p>
          <w:p w14:paraId="7500C53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L</w:t>
            </w:r>
            <w:r>
              <w:rPr>
                <w:rFonts w:hint="eastAsia" w:ascii="Times New Roman" w:hAnsi="Times New Roman" w:eastAsia="宋体" w:cs="Times New Roman"/>
                <w:bCs/>
                <w:sz w:val="24"/>
                <w:highlight w:val="none"/>
                <w:lang w:val="en-US" w:eastAsia="zh-CN"/>
              </w:rPr>
              <w:t>——运输距离，</w:t>
            </w:r>
            <w:r>
              <w:rPr>
                <w:rFonts w:hint="default" w:ascii="Times New Roman" w:hAnsi="Times New Roman" w:eastAsia="宋体" w:cs="Times New Roman"/>
                <w:bCs/>
                <w:sz w:val="24"/>
                <w:highlight w:val="none"/>
                <w:lang w:val="en-US" w:eastAsia="zh-CN"/>
              </w:rPr>
              <w:t>km</w:t>
            </w:r>
            <w:r>
              <w:rPr>
                <w:rFonts w:hint="eastAsia" w:ascii="Times New Roman" w:hAnsi="Times New Roman" w:eastAsia="宋体" w:cs="Times New Roman"/>
                <w:bCs/>
                <w:sz w:val="24"/>
                <w:highlight w:val="none"/>
                <w:lang w:val="en-US" w:eastAsia="zh-CN"/>
              </w:rPr>
              <w:t>，厂内平均运输距离取0.2km。</w:t>
            </w:r>
          </w:p>
          <w:p w14:paraId="7ADD6D2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Q</w:t>
            </w:r>
            <w:r>
              <w:rPr>
                <w:rFonts w:hint="eastAsia" w:ascii="Times New Roman" w:hAnsi="Times New Roman" w:eastAsia="宋体" w:cs="Times New Roman"/>
                <w:bCs/>
                <w:sz w:val="24"/>
                <w:highlight w:val="none"/>
                <w:lang w:val="en-US" w:eastAsia="zh-CN"/>
              </w:rPr>
              <w:t>——运输量，</w:t>
            </w:r>
            <w:r>
              <w:rPr>
                <w:rFonts w:hint="default" w:ascii="Times New Roman" w:hAnsi="Times New Roman" w:eastAsia="宋体" w:cs="Times New Roman"/>
                <w:bCs/>
                <w:sz w:val="24"/>
                <w:highlight w:val="none"/>
                <w:lang w:val="en-US" w:eastAsia="zh-CN"/>
              </w:rPr>
              <w:t>t/a</w:t>
            </w:r>
            <w:r>
              <w:rPr>
                <w:rFonts w:hint="eastAsia" w:ascii="Times New Roman" w:hAnsi="Times New Roman" w:eastAsia="宋体" w:cs="Times New Roman"/>
                <w:bCs/>
                <w:sz w:val="24"/>
                <w:highlight w:val="none"/>
                <w:lang w:val="en-US" w:eastAsia="zh-CN"/>
              </w:rPr>
              <w:t>，本项目原料及产品总共运输量约为4万t。</w:t>
            </w:r>
          </w:p>
          <w:p w14:paraId="68D1722E">
            <w:pPr>
              <w:keepNext w:val="0"/>
              <w:keepLines w:val="0"/>
              <w:widowControl/>
              <w:suppressLineNumbers w:val="0"/>
              <w:spacing w:before="0" w:beforeAutospacing="0" w:after="0" w:afterAutospacing="0" w:line="360" w:lineRule="auto"/>
              <w:ind w:left="0" w:right="0" w:firstLine="480" w:firstLineChars="200"/>
              <w:jc w:val="left"/>
              <w:rPr>
                <w:rFonts w:hint="default"/>
                <w:highlight w:val="none"/>
              </w:rPr>
            </w:pPr>
            <w:r>
              <w:rPr>
                <w:rFonts w:hint="default" w:ascii="新宋体" w:hAnsi="新宋体" w:eastAsia="新宋体" w:cs="新宋体"/>
                <w:color w:val="000000"/>
                <w:kern w:val="0"/>
                <w:sz w:val="24"/>
                <w:szCs w:val="24"/>
                <w:highlight w:val="none"/>
                <w:lang w:val="en-US" w:eastAsia="zh-CN" w:bidi="ar"/>
              </w:rPr>
              <w:t>经计算，项目运输扬尘产生量总计约为</w:t>
            </w:r>
            <w:r>
              <w:rPr>
                <w:rFonts w:hint="eastAsia" w:ascii="Times New Roman" w:hAnsi="Times New Roman" w:eastAsia="宋体" w:cs="Times New Roman"/>
                <w:color w:val="000000"/>
                <w:kern w:val="0"/>
                <w:sz w:val="24"/>
                <w:szCs w:val="24"/>
                <w:highlight w:val="none"/>
                <w:lang w:val="en-US" w:eastAsia="zh-CN" w:bidi="ar"/>
              </w:rPr>
              <w:t>0.</w:t>
            </w:r>
            <w:r>
              <w:rPr>
                <w:rFonts w:hint="eastAsia" w:ascii="Times New Roman" w:hAnsi="Times New Roman" w:cs="Times New Roman"/>
                <w:color w:val="000000"/>
                <w:kern w:val="0"/>
                <w:sz w:val="24"/>
                <w:szCs w:val="24"/>
                <w:highlight w:val="none"/>
                <w:lang w:val="en-US" w:eastAsia="zh-CN" w:bidi="ar"/>
              </w:rPr>
              <w:t>0</w:t>
            </w:r>
            <w:r>
              <w:rPr>
                <w:rFonts w:hint="eastAsia" w:ascii="Times New Roman" w:hAnsi="Times New Roman" w:eastAsia="宋体" w:cs="Times New Roman"/>
                <w:color w:val="000000"/>
                <w:kern w:val="0"/>
                <w:sz w:val="24"/>
                <w:szCs w:val="24"/>
                <w:highlight w:val="none"/>
                <w:lang w:val="en-US" w:eastAsia="zh-CN" w:bidi="ar"/>
              </w:rPr>
              <w:t>4</w:t>
            </w:r>
            <w:r>
              <w:rPr>
                <w:rFonts w:hint="default" w:ascii="Times New Roman" w:hAnsi="Times New Roman" w:eastAsia="宋体" w:cs="Times New Roman"/>
                <w:color w:val="000000"/>
                <w:kern w:val="0"/>
                <w:sz w:val="24"/>
                <w:szCs w:val="24"/>
                <w:highlight w:val="none"/>
                <w:lang w:val="en-US" w:eastAsia="zh-CN" w:bidi="ar"/>
              </w:rPr>
              <w:t>t/a</w:t>
            </w:r>
            <w:r>
              <w:rPr>
                <w:rFonts w:hint="eastAsia" w:ascii="新宋体" w:hAnsi="新宋体" w:eastAsia="新宋体" w:cs="新宋体"/>
                <w:color w:val="000000"/>
                <w:kern w:val="0"/>
                <w:sz w:val="24"/>
                <w:szCs w:val="24"/>
                <w:highlight w:val="none"/>
                <w:lang w:val="en-US" w:eastAsia="zh-CN" w:bidi="ar"/>
              </w:rPr>
              <w:t>。</w:t>
            </w:r>
          </w:p>
          <w:p w14:paraId="384BC2D9">
            <w:pPr>
              <w:pStyle w:val="9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综上述所述，本项目无组织颗粒物产生量为0.36t/a。</w:t>
            </w:r>
          </w:p>
          <w:p w14:paraId="2930882E">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bCs/>
                <w:sz w:val="24"/>
                <w:highlight w:val="none"/>
                <w:lang w:val="en-US" w:eastAsia="zh-CN"/>
              </w:rPr>
            </w:pPr>
            <w:r>
              <w:rPr>
                <w:rFonts w:hint="eastAsia" w:ascii="Times New Roman" w:hAnsi="Times New Roman" w:cs="Times New Roman"/>
                <w:bCs/>
                <w:sz w:val="24"/>
                <w:highlight w:val="none"/>
                <w:lang w:val="en-US" w:eastAsia="zh-CN"/>
              </w:rPr>
              <w:t>厂区颗粒物无组织排放浓度满足</w:t>
            </w:r>
            <w:r>
              <w:rPr>
                <w:rFonts w:hint="eastAsia" w:ascii="Times New Roman" w:hAnsi="Times New Roman" w:eastAsia="宋体" w:cs="Times New Roman"/>
                <w:color w:val="auto"/>
                <w:kern w:val="0"/>
                <w:sz w:val="24"/>
                <w:szCs w:val="24"/>
                <w:highlight w:val="none"/>
                <w:lang w:val="en-US" w:eastAsia="zh-CN" w:bidi="ar"/>
              </w:rPr>
              <w:t>《大气污染物综合排放标准》 (GB16297-1996)表2中的无组织排放监控浓度限值（颗粒物：1.0mg/m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r>
              <w:rPr>
                <w:rFonts w:hint="eastAsia"/>
                <w:kern w:val="0"/>
                <w:sz w:val="24"/>
                <w:highlight w:val="none"/>
                <w:lang w:val="en-GB" w:eastAsia="zh-CN" w:bidi="ar"/>
              </w:rPr>
              <w:t>。</w:t>
            </w:r>
          </w:p>
          <w:p w14:paraId="0EBBA5B7">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highlight w:val="none"/>
                <w:lang w:eastAsia="zh-CN"/>
              </w:rPr>
            </w:pPr>
            <w:r>
              <w:rPr>
                <w:rFonts w:hint="default" w:ascii="Times New Roman" w:hAnsi="Times New Roman" w:eastAsia="宋体" w:cs="Times New Roman"/>
                <w:b/>
                <w:bCs w:val="0"/>
                <w:color w:val="auto"/>
                <w:sz w:val="24"/>
                <w:highlight w:val="none"/>
                <w:lang w:val="en-US" w:eastAsia="zh-CN"/>
              </w:rPr>
              <w:t>3、</w:t>
            </w:r>
            <w:r>
              <w:rPr>
                <w:rFonts w:hint="default" w:ascii="Times New Roman" w:hAnsi="Times New Roman" w:eastAsia="宋体" w:cs="Times New Roman"/>
                <w:b/>
                <w:bCs w:val="0"/>
                <w:color w:val="auto"/>
                <w:sz w:val="24"/>
                <w:highlight w:val="none"/>
                <w:lang w:eastAsia="zh-CN"/>
              </w:rPr>
              <w:t>非正常工况排放</w:t>
            </w:r>
          </w:p>
          <w:p w14:paraId="6EE5DB0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本项目设计采用的生产工艺属于较简单、成熟的生产工艺。根据该项目实际情况，结合国内同类项目的运行情况，确定以下几种非正常状况：</w:t>
            </w:r>
          </w:p>
          <w:p w14:paraId="35B7F93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lang w:val="en-US" w:eastAsia="zh-CN"/>
              </w:rPr>
              <w:t>1</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临时开停车</w:t>
            </w:r>
            <w:r>
              <w:rPr>
                <w:rFonts w:hint="default" w:ascii="Times New Roman" w:hAnsi="Times New Roman" w:cs="Times New Roman"/>
                <w:color w:val="auto"/>
                <w:spacing w:val="-20"/>
                <w:sz w:val="24"/>
                <w:szCs w:val="32"/>
                <w:highlight w:val="none"/>
                <w:lang w:eastAsia="zh-CN"/>
              </w:rPr>
              <w:t>：</w:t>
            </w:r>
            <w:r>
              <w:rPr>
                <w:rFonts w:hint="default" w:ascii="Times New Roman" w:hAnsi="Times New Roman" w:cs="Times New Roman"/>
                <w:color w:val="auto"/>
                <w:sz w:val="24"/>
                <w:szCs w:val="32"/>
                <w:highlight w:val="none"/>
              </w:rPr>
              <w:t>在生产过程中</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停水</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停电或某一设备发生故障</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可导致整个工序临时停工</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在临时停工过程中</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各设备停止运行</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待故障排除后</w:t>
            </w:r>
            <w:r>
              <w:rPr>
                <w:rFonts w:hint="default" w:ascii="Times New Roman" w:hAnsi="Times New Roman" w:cs="Times New Roman"/>
                <w:color w:val="auto"/>
                <w:spacing w:val="-20"/>
                <w:sz w:val="24"/>
                <w:szCs w:val="32"/>
                <w:highlight w:val="none"/>
              </w:rPr>
              <w:t>，</w:t>
            </w:r>
            <w:r>
              <w:rPr>
                <w:rFonts w:hint="default" w:ascii="Times New Roman" w:hAnsi="Times New Roman" w:cs="Times New Roman"/>
                <w:color w:val="auto"/>
                <w:sz w:val="24"/>
                <w:szCs w:val="32"/>
                <w:highlight w:val="none"/>
              </w:rPr>
              <w:t>恢复正常生产</w:t>
            </w:r>
            <w:r>
              <w:rPr>
                <w:rFonts w:hint="default" w:ascii="Times New Roman" w:hAnsi="Times New Roman" w:cs="Times New Roman"/>
                <w:color w:val="auto"/>
                <w:spacing w:val="-20"/>
                <w:sz w:val="24"/>
                <w:szCs w:val="32"/>
                <w:highlight w:val="none"/>
              </w:rPr>
              <w:t>。</w:t>
            </w:r>
          </w:p>
          <w:p w14:paraId="34FFC08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lang w:val="en-US" w:eastAsia="zh-CN"/>
              </w:rPr>
              <w:t>2</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环保设施发生故障</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lang w:val="en-US" w:eastAsia="zh-CN"/>
              </w:rPr>
              <w:t>布袋除尘器出现</w:t>
            </w:r>
            <w:r>
              <w:rPr>
                <w:rFonts w:hint="eastAsia" w:cs="Times New Roman"/>
                <w:color w:val="auto"/>
                <w:sz w:val="24"/>
                <w:szCs w:val="32"/>
                <w:highlight w:val="none"/>
                <w:lang w:val="en-US" w:eastAsia="zh-CN"/>
              </w:rPr>
              <w:t>故障</w:t>
            </w:r>
            <w:r>
              <w:rPr>
                <w:rFonts w:hint="default" w:ascii="Times New Roman" w:hAnsi="Times New Roman" w:cs="Times New Roman"/>
                <w:color w:val="auto"/>
                <w:sz w:val="24"/>
                <w:szCs w:val="32"/>
                <w:highlight w:val="none"/>
                <w:lang w:val="en-US" w:eastAsia="zh-CN"/>
              </w:rPr>
              <w:t>的情况下，</w:t>
            </w:r>
            <w:r>
              <w:rPr>
                <w:rFonts w:hint="default" w:ascii="Times New Roman" w:hAnsi="Times New Roman" w:cs="Times New Roman"/>
                <w:color w:val="auto"/>
                <w:sz w:val="24"/>
                <w:szCs w:val="32"/>
                <w:highlight w:val="none"/>
              </w:rPr>
              <w:t>会使污染物处理效率下降或者根本得不到处理而排入环境中，增加污染物排放量及对外环境的影响。</w:t>
            </w:r>
            <w:r>
              <w:rPr>
                <w:rFonts w:hint="default" w:ascii="Times New Roman" w:hAnsi="Times New Roman" w:cs="Times New Roman"/>
                <w:color w:val="auto"/>
                <w:sz w:val="24"/>
                <w:szCs w:val="32"/>
                <w:highlight w:val="none"/>
                <w:lang w:val="en-US" w:eastAsia="zh-CN"/>
              </w:rPr>
              <w:t>按废气处理效率为0进行计算，</w:t>
            </w:r>
            <w:r>
              <w:rPr>
                <w:rFonts w:hint="default" w:ascii="Times New Roman" w:hAnsi="Times New Roman" w:cs="Times New Roman"/>
                <w:color w:val="auto"/>
                <w:sz w:val="24"/>
                <w:szCs w:val="32"/>
                <w:highlight w:val="none"/>
              </w:rPr>
              <w:t>非正常工况废气污染物排放情况见下表。</w:t>
            </w:r>
          </w:p>
          <w:p w14:paraId="0C0AA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表4-</w:t>
            </w:r>
            <w:r>
              <w:rPr>
                <w:rFonts w:hint="eastAsia" w:ascii="Times New Roman" w:hAnsi="Times New Roman" w:eastAsia="宋体" w:cs="Times New Roman"/>
                <w:b/>
                <w:color w:val="auto"/>
                <w:szCs w:val="21"/>
                <w:highlight w:val="none"/>
                <w:lang w:val="en-US" w:eastAsia="zh-CN"/>
              </w:rPr>
              <w:t xml:space="preserve">4 </w:t>
            </w:r>
            <w:r>
              <w:rPr>
                <w:rFonts w:hint="default" w:ascii="Times New Roman" w:hAnsi="Times New Roman" w:eastAsia="宋体" w:cs="Times New Roman"/>
                <w:b/>
                <w:color w:val="auto"/>
                <w:szCs w:val="21"/>
                <w:highlight w:val="none"/>
                <w:lang w:val="en-US" w:eastAsia="zh-CN"/>
              </w:rPr>
              <w:t>非正常工况污染物排放情况一览表</w:t>
            </w:r>
          </w:p>
          <w:tbl>
            <w:tblPr>
              <w:tblStyle w:val="36"/>
              <w:tblW w:w="499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72"/>
              <w:gridCol w:w="1170"/>
              <w:gridCol w:w="1164"/>
              <w:gridCol w:w="1131"/>
              <w:gridCol w:w="750"/>
              <w:gridCol w:w="700"/>
              <w:gridCol w:w="1394"/>
              <w:gridCol w:w="721"/>
              <w:gridCol w:w="916"/>
            </w:tblGrid>
            <w:tr w14:paraId="776662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42" w:type="pct"/>
                  <w:vMerge w:val="restart"/>
                  <w:noWrap w:val="0"/>
                  <w:vAlign w:val="center"/>
                </w:tcPr>
                <w:p w14:paraId="2713F8F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产污</w:t>
                  </w:r>
                </w:p>
                <w:p w14:paraId="2D7D4A63">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环节</w:t>
                  </w:r>
                </w:p>
              </w:tc>
              <w:tc>
                <w:tcPr>
                  <w:tcW w:w="671" w:type="pct"/>
                  <w:vMerge w:val="restart"/>
                  <w:noWrap w:val="0"/>
                  <w:vAlign w:val="center"/>
                </w:tcPr>
                <w:p w14:paraId="68F121CE">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w:t>
                  </w:r>
                </w:p>
              </w:tc>
              <w:tc>
                <w:tcPr>
                  <w:tcW w:w="1316" w:type="pct"/>
                  <w:gridSpan w:val="2"/>
                  <w:noWrap w:val="0"/>
                  <w:vAlign w:val="center"/>
                </w:tcPr>
                <w:p w14:paraId="02A7A87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故障条件下排放参数</w:t>
                  </w:r>
                </w:p>
              </w:tc>
              <w:tc>
                <w:tcPr>
                  <w:tcW w:w="430" w:type="pct"/>
                  <w:vMerge w:val="restart"/>
                  <w:noWrap w:val="0"/>
                  <w:vAlign w:val="center"/>
                </w:tcPr>
                <w:p w14:paraId="7AA6FDCD">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年发生</w:t>
                  </w:r>
                </w:p>
                <w:p w14:paraId="3FA301BC">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频次</w:t>
                  </w:r>
                </w:p>
              </w:tc>
              <w:tc>
                <w:tcPr>
                  <w:tcW w:w="401" w:type="pct"/>
                  <w:vMerge w:val="restart"/>
                  <w:noWrap w:val="0"/>
                  <w:vAlign w:val="center"/>
                </w:tcPr>
                <w:p w14:paraId="04739DFF">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单次持</w:t>
                  </w:r>
                </w:p>
                <w:p w14:paraId="21299B79">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续时间</w:t>
                  </w:r>
                </w:p>
              </w:tc>
              <w:tc>
                <w:tcPr>
                  <w:tcW w:w="799" w:type="pct"/>
                  <w:vMerge w:val="restart"/>
                  <w:noWrap w:val="0"/>
                  <w:vAlign w:val="center"/>
                </w:tcPr>
                <w:p w14:paraId="1FCE0C9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污染物排放</w:t>
                  </w:r>
                </w:p>
                <w:p w14:paraId="508A6A05">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量kg/次</w:t>
                  </w:r>
                </w:p>
              </w:tc>
              <w:tc>
                <w:tcPr>
                  <w:tcW w:w="938" w:type="pct"/>
                  <w:gridSpan w:val="2"/>
                  <w:noWrap w:val="0"/>
                  <w:vAlign w:val="center"/>
                </w:tcPr>
                <w:p w14:paraId="1FDBF079">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执行标准</w:t>
                  </w:r>
                </w:p>
              </w:tc>
            </w:tr>
            <w:tr w14:paraId="62C7CE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42" w:type="pct"/>
                  <w:vMerge w:val="continue"/>
                  <w:noWrap w:val="0"/>
                  <w:vAlign w:val="center"/>
                </w:tcPr>
                <w:p w14:paraId="44A52A93">
                  <w:pPr>
                    <w:pStyle w:val="2"/>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color w:val="auto"/>
                      <w:highlight w:val="none"/>
                    </w:rPr>
                  </w:pPr>
                </w:p>
              </w:tc>
              <w:tc>
                <w:tcPr>
                  <w:tcW w:w="671" w:type="pct"/>
                  <w:vMerge w:val="continue"/>
                  <w:noWrap w:val="0"/>
                  <w:vAlign w:val="center"/>
                </w:tcPr>
                <w:p w14:paraId="081E6DA3">
                  <w:pPr>
                    <w:pStyle w:val="2"/>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color w:val="auto"/>
                      <w:highlight w:val="none"/>
                    </w:rPr>
                  </w:pPr>
                </w:p>
              </w:tc>
              <w:tc>
                <w:tcPr>
                  <w:tcW w:w="667" w:type="pct"/>
                  <w:noWrap w:val="0"/>
                  <w:vAlign w:val="center"/>
                </w:tcPr>
                <w:p w14:paraId="270C7691">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速率kg/h</w:t>
                  </w:r>
                </w:p>
              </w:tc>
              <w:tc>
                <w:tcPr>
                  <w:tcW w:w="648" w:type="pct"/>
                  <w:noWrap w:val="0"/>
                  <w:vAlign w:val="center"/>
                </w:tcPr>
                <w:p w14:paraId="664860D5">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浓度mg/m</w:t>
                  </w:r>
                  <w:r>
                    <w:rPr>
                      <w:rFonts w:hint="default" w:ascii="Times New Roman" w:hAnsi="Times New Roman" w:cs="Times New Roman"/>
                      <w:b/>
                      <w:bCs/>
                      <w:color w:val="auto"/>
                      <w:highlight w:val="none"/>
                      <w:vertAlign w:val="superscript"/>
                    </w:rPr>
                    <w:t>3</w:t>
                  </w:r>
                </w:p>
              </w:tc>
              <w:tc>
                <w:tcPr>
                  <w:tcW w:w="430" w:type="pct"/>
                  <w:vMerge w:val="continue"/>
                  <w:noWrap w:val="0"/>
                  <w:vAlign w:val="center"/>
                </w:tcPr>
                <w:p w14:paraId="761938AF">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p>
              </w:tc>
              <w:tc>
                <w:tcPr>
                  <w:tcW w:w="401" w:type="pct"/>
                  <w:vMerge w:val="continue"/>
                  <w:noWrap w:val="0"/>
                  <w:vAlign w:val="center"/>
                </w:tcPr>
                <w:p w14:paraId="2EBCCDB7">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p>
              </w:tc>
              <w:tc>
                <w:tcPr>
                  <w:tcW w:w="799" w:type="pct"/>
                  <w:vMerge w:val="continue"/>
                  <w:noWrap w:val="0"/>
                  <w:vAlign w:val="center"/>
                </w:tcPr>
                <w:p w14:paraId="4A115EB2">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p>
              </w:tc>
              <w:tc>
                <w:tcPr>
                  <w:tcW w:w="413" w:type="pct"/>
                  <w:noWrap w:val="0"/>
                  <w:vAlign w:val="center"/>
                </w:tcPr>
                <w:p w14:paraId="1A8B4084">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速率kg/h</w:t>
                  </w:r>
                </w:p>
              </w:tc>
              <w:tc>
                <w:tcPr>
                  <w:tcW w:w="525" w:type="pct"/>
                  <w:noWrap w:val="0"/>
                  <w:vAlign w:val="center"/>
                </w:tcPr>
                <w:p w14:paraId="0372AC23">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浓度mg/m</w:t>
                  </w:r>
                  <w:r>
                    <w:rPr>
                      <w:rFonts w:hint="default" w:ascii="Times New Roman" w:hAnsi="Times New Roman" w:cs="Times New Roman"/>
                      <w:b/>
                      <w:bCs/>
                      <w:color w:val="auto"/>
                      <w:highlight w:val="none"/>
                      <w:vertAlign w:val="superscript"/>
                    </w:rPr>
                    <w:t>3</w:t>
                  </w:r>
                </w:p>
              </w:tc>
            </w:tr>
            <w:tr w14:paraId="4B38E3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42" w:type="pct"/>
                  <w:noWrap w:val="0"/>
                  <w:vAlign w:val="center"/>
                </w:tcPr>
                <w:p w14:paraId="0D4BFD44">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lang w:val="en-US" w:eastAsia="zh-CN"/>
                    </w:rPr>
                  </w:pPr>
                  <w:r>
                    <w:rPr>
                      <w:rFonts w:hint="eastAsia"/>
                      <w:lang w:val="en-US" w:eastAsia="zh-CN"/>
                    </w:rPr>
                    <w:t>DA001</w:t>
                  </w:r>
                </w:p>
              </w:tc>
              <w:tc>
                <w:tcPr>
                  <w:tcW w:w="671" w:type="pct"/>
                  <w:noWrap w:val="0"/>
                  <w:vAlign w:val="center"/>
                </w:tcPr>
                <w:p w14:paraId="189C5CC5">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667" w:type="pct"/>
                  <w:noWrap w:val="0"/>
                  <w:vAlign w:val="center"/>
                </w:tcPr>
                <w:p w14:paraId="236DD6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11.99</w:t>
                  </w:r>
                </w:p>
              </w:tc>
              <w:tc>
                <w:tcPr>
                  <w:tcW w:w="648" w:type="pct"/>
                  <w:noWrap w:val="0"/>
                  <w:vAlign w:val="center"/>
                </w:tcPr>
                <w:p w14:paraId="55D3D1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799.44</w:t>
                  </w:r>
                </w:p>
              </w:tc>
              <w:tc>
                <w:tcPr>
                  <w:tcW w:w="430" w:type="pct"/>
                  <w:noWrap w:val="0"/>
                  <w:vAlign w:val="center"/>
                </w:tcPr>
                <w:p w14:paraId="472102EC">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401" w:type="pct"/>
                  <w:noWrap w:val="0"/>
                  <w:vAlign w:val="center"/>
                </w:tcPr>
                <w:p w14:paraId="113DBAF3">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1h</w:t>
                  </w:r>
                </w:p>
              </w:tc>
              <w:tc>
                <w:tcPr>
                  <w:tcW w:w="799" w:type="pct"/>
                  <w:noWrap w:val="0"/>
                  <w:vAlign w:val="center"/>
                </w:tcPr>
                <w:p w14:paraId="353DC0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11.99</w:t>
                  </w:r>
                </w:p>
              </w:tc>
              <w:tc>
                <w:tcPr>
                  <w:tcW w:w="413" w:type="pct"/>
                  <w:noWrap w:val="0"/>
                  <w:vAlign w:val="center"/>
                </w:tcPr>
                <w:p w14:paraId="5547B262">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25" w:type="pct"/>
                  <w:noWrap w:val="0"/>
                  <w:vAlign w:val="center"/>
                </w:tcPr>
                <w:p w14:paraId="648C04B5">
                  <w:pPr>
                    <w:pStyle w:val="2"/>
                    <w:keepNext w:val="0"/>
                    <w:keepLines w:val="0"/>
                    <w:suppressLineNumbers w:val="0"/>
                    <w:spacing w:before="0" w:beforeAutospacing="0" w:after="0" w:afterAutospacing="0"/>
                    <w:ind w:left="0" w:leftChars="0" w:right="0" w:firstLine="0" w:firstLineChars="0"/>
                    <w:jc w:val="center"/>
                    <w:rPr>
                      <w:rFonts w:hint="default" w:eastAsia="宋体" w:cs="Times New Roman"/>
                      <w:color w:val="auto"/>
                      <w:kern w:val="0"/>
                      <w:sz w:val="21"/>
                      <w:szCs w:val="20"/>
                      <w:highlight w:val="none"/>
                      <w:lang w:val="en-US" w:eastAsia="zh-CN" w:bidi="ar-SA"/>
                    </w:rPr>
                  </w:pPr>
                  <w:r>
                    <w:rPr>
                      <w:rFonts w:hint="eastAsia" w:eastAsia="宋体" w:cs="Times New Roman"/>
                      <w:color w:val="auto"/>
                      <w:kern w:val="0"/>
                      <w:sz w:val="21"/>
                      <w:szCs w:val="20"/>
                      <w:highlight w:val="none"/>
                      <w:lang w:val="en-US" w:eastAsia="zh-CN" w:bidi="ar-SA"/>
                    </w:rPr>
                    <w:t>10</w:t>
                  </w:r>
                </w:p>
              </w:tc>
            </w:tr>
          </w:tbl>
          <w:p w14:paraId="6671B86F">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为了避免非正常、事故工况的发生，企业应采取以下防控措施：</w:t>
            </w:r>
          </w:p>
          <w:p w14:paraId="254B5497">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①加强设备维护，避免因为某一设备出现故障，而导致的整套装置临时停工的情况，加强厂区内水、电路的维护，避免临时停水或停电导致临时停工。</w:t>
            </w:r>
          </w:p>
          <w:p w14:paraId="51D77BA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②加强厂区环保设施及配套机泵等的检修工作，分时段对环保设施进行现场检查并做好记录，确保环保设施正常运行，防止非正常工况现象发生。</w:t>
            </w:r>
          </w:p>
          <w:p w14:paraId="4B8C4528">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highlight w:val="none"/>
                <w:lang w:eastAsia="zh-CN"/>
              </w:rPr>
            </w:pPr>
            <w:r>
              <w:rPr>
                <w:rFonts w:hint="default" w:ascii="Times New Roman" w:hAnsi="Times New Roman" w:eastAsia="宋体" w:cs="Times New Roman"/>
                <w:b/>
                <w:bCs w:val="0"/>
                <w:color w:val="auto"/>
                <w:sz w:val="24"/>
                <w:highlight w:val="none"/>
                <w:lang w:val="en-US" w:eastAsia="zh-CN"/>
              </w:rPr>
              <w:t>4、</w:t>
            </w:r>
            <w:r>
              <w:rPr>
                <w:rFonts w:hint="default" w:ascii="Times New Roman" w:hAnsi="Times New Roman" w:eastAsia="宋体" w:cs="Times New Roman"/>
                <w:b/>
                <w:bCs w:val="0"/>
                <w:color w:val="auto"/>
                <w:sz w:val="24"/>
                <w:highlight w:val="none"/>
                <w:lang w:eastAsia="zh-CN"/>
              </w:rPr>
              <w:t>废气污染防治措施的可行性</w:t>
            </w:r>
          </w:p>
          <w:p w14:paraId="2501A627">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布袋除尘器的工作机理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含尘烟气通过过滤材料，尘粒被过滤下来，过滤材料捕集粗粒粉尘主要靠惯性碰撞作用，捕集细粒粉尘主要靠扩散和筛分作用。滤料的粉尘层也有一定的过滤作用。</w:t>
            </w:r>
          </w:p>
          <w:p w14:paraId="47AE5A0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46"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参照</w:t>
            </w:r>
            <w:r>
              <w:rPr>
                <w:rFonts w:hint="eastAsia" w:cs="Times New Roman"/>
                <w:color w:val="auto"/>
                <w:sz w:val="24"/>
                <w:highlight w:val="none"/>
                <w:lang w:eastAsia="zh-CN"/>
              </w:rPr>
              <w:t>《排污许可证申请与核发技术规范 石墨及其他非金属矿物制品制造》（HJ1119-2020）</w:t>
            </w:r>
            <w:r>
              <w:rPr>
                <w:rFonts w:hint="default" w:ascii="Times New Roman" w:hAnsi="Times New Roman" w:eastAsia="宋体" w:cs="Times New Roman"/>
                <w:color w:val="auto"/>
                <w:sz w:val="24"/>
                <w:highlight w:val="none"/>
                <w:lang w:val="en-US" w:eastAsia="zh-CN"/>
              </w:rPr>
              <w:t>中废气污染防治可行技术，</w:t>
            </w:r>
            <w:r>
              <w:rPr>
                <w:rFonts w:hint="default" w:ascii="Times New Roman" w:hAnsi="Times New Roman" w:eastAsia="宋体" w:cs="Times New Roman"/>
                <w:color w:val="auto"/>
                <w:sz w:val="24"/>
                <w:highlight w:val="none"/>
              </w:rPr>
              <w:t>本项目为</w:t>
            </w:r>
            <w:r>
              <w:rPr>
                <w:rFonts w:hint="eastAsia" w:cs="Times New Roman"/>
                <w:color w:val="auto"/>
                <w:sz w:val="24"/>
                <w:highlight w:val="none"/>
                <w:lang w:eastAsia="zh-CN"/>
              </w:rPr>
              <w:t>C3099其他非金属矿物制品制造</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使用布袋除尘器处理粉尘，</w:t>
            </w:r>
            <w:r>
              <w:rPr>
                <w:rFonts w:hint="default" w:ascii="Times New Roman" w:hAnsi="Times New Roman" w:eastAsia="宋体" w:cs="Times New Roman"/>
                <w:color w:val="auto"/>
                <w:sz w:val="24"/>
                <w:highlight w:val="none"/>
              </w:rPr>
              <w:t>符合要求，属于可行性治理措施</w:t>
            </w:r>
            <w:r>
              <w:rPr>
                <w:rFonts w:hint="default" w:ascii="Times New Roman" w:hAnsi="Times New Roman" w:eastAsia="宋体" w:cs="Times New Roman"/>
                <w:color w:val="auto"/>
                <w:sz w:val="24"/>
                <w:highlight w:val="none"/>
                <w:lang w:val="en-US" w:eastAsia="zh-CN"/>
              </w:rPr>
              <w:t>。</w:t>
            </w:r>
          </w:p>
          <w:p w14:paraId="15B5CD9E">
            <w:pPr>
              <w:keepNext w:val="0"/>
              <w:keepLines w:val="0"/>
              <w:suppressLineNumbers w:val="0"/>
              <w:spacing w:before="0" w:beforeAutospacing="0" w:after="0" w:afterAutospacing="0" w:line="360" w:lineRule="auto"/>
              <w:ind w:left="0" w:right="0" w:firstLine="241" w:firstLineChars="100"/>
              <w:rPr>
                <w:rFonts w:hint="eastAsia"/>
                <w:b/>
                <w:bCs/>
                <w:color w:val="000000"/>
                <w:sz w:val="24"/>
                <w:highlight w:val="none"/>
              </w:rPr>
            </w:pPr>
            <w:r>
              <w:rPr>
                <w:rFonts w:hint="eastAsia"/>
                <w:b/>
                <w:bCs/>
                <w:color w:val="000000"/>
                <w:sz w:val="24"/>
                <w:highlight w:val="none"/>
                <w:lang w:val="en-US" w:eastAsia="zh-CN"/>
              </w:rPr>
              <w:t>5、</w:t>
            </w:r>
            <w:r>
              <w:rPr>
                <w:rFonts w:hint="eastAsia"/>
                <w:b/>
                <w:bCs/>
                <w:color w:val="000000"/>
                <w:sz w:val="24"/>
                <w:highlight w:val="none"/>
              </w:rPr>
              <w:t>结论</w:t>
            </w:r>
          </w:p>
          <w:p w14:paraId="26B4CF7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rPr>
            </w:pPr>
            <w:r>
              <w:rPr>
                <w:rFonts w:hint="eastAsia"/>
                <w:color w:val="000000"/>
                <w:sz w:val="24"/>
                <w:highlight w:val="none"/>
              </w:rPr>
              <w:t>综上，</w:t>
            </w:r>
            <w:r>
              <w:rPr>
                <w:rFonts w:hint="eastAsia"/>
                <w:color w:val="000000"/>
                <w:sz w:val="24"/>
                <w:highlight w:val="none"/>
                <w:lang w:eastAsia="zh-CN"/>
              </w:rPr>
              <w:t>本项目</w:t>
            </w:r>
            <w:r>
              <w:rPr>
                <w:rFonts w:hint="eastAsia"/>
                <w:color w:val="000000"/>
                <w:sz w:val="24"/>
                <w:highlight w:val="none"/>
              </w:rPr>
              <w:t>位于环境空气不达标区，污染物治理措施可行，废气排放能够满足当地环保要求；</w:t>
            </w:r>
            <w:r>
              <w:rPr>
                <w:rFonts w:hint="eastAsia"/>
                <w:color w:val="000000"/>
                <w:sz w:val="24"/>
                <w:highlight w:val="none"/>
                <w:lang w:eastAsia="zh-CN"/>
              </w:rPr>
              <w:t>本项目</w:t>
            </w:r>
            <w:r>
              <w:rPr>
                <w:rFonts w:hint="eastAsia"/>
                <w:color w:val="000000"/>
                <w:sz w:val="24"/>
                <w:highlight w:val="none"/>
              </w:rPr>
              <w:t>不涉及有毒有害废气排放，污染物排放浓度达标，对周边大气环境敏感目标影响不大。因此，</w:t>
            </w:r>
            <w:r>
              <w:rPr>
                <w:rFonts w:hint="eastAsia"/>
                <w:color w:val="000000"/>
                <w:sz w:val="24"/>
                <w:highlight w:val="none"/>
                <w:lang w:eastAsia="zh-CN"/>
              </w:rPr>
              <w:t>本项目</w:t>
            </w:r>
            <w:r>
              <w:rPr>
                <w:rFonts w:hint="eastAsia"/>
                <w:color w:val="000000"/>
                <w:sz w:val="24"/>
                <w:highlight w:val="none"/>
              </w:rPr>
              <w:t>建设后对大气环境影响可以接受。</w:t>
            </w:r>
            <w:r>
              <w:rPr>
                <w:rFonts w:hint="eastAsia" w:ascii="Times New Roman" w:hAnsi="Times New Roman" w:eastAsia="宋体" w:cs="Times New Roman"/>
                <w:color w:val="auto"/>
                <w:sz w:val="24"/>
                <w:highlight w:val="none"/>
                <w:lang w:val="en-US" w:eastAsia="zh-CN"/>
              </w:rPr>
              <w:t xml:space="preserve"> </w:t>
            </w:r>
          </w:p>
          <w:p w14:paraId="20B41E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6"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二、废水</w:t>
            </w:r>
          </w:p>
          <w:p w14:paraId="4E4992E1">
            <w:pPr>
              <w:keepNext w:val="0"/>
              <w:keepLines w:val="0"/>
              <w:suppressLineNumbers w:val="0"/>
              <w:snapToGrid w:val="0"/>
              <w:spacing w:before="0" w:beforeAutospacing="0" w:after="0" w:afterAutospacing="0" w:line="360" w:lineRule="auto"/>
              <w:ind w:left="0" w:right="0" w:firstLine="480" w:firstLineChars="200"/>
              <w:rPr>
                <w:rFonts w:hint="default"/>
                <w:bCs/>
                <w:color w:val="auto"/>
                <w:sz w:val="24"/>
                <w:highlight w:val="none"/>
                <w:lang w:val="en-US" w:eastAsia="zh-CN"/>
              </w:rPr>
            </w:pPr>
            <w:r>
              <w:rPr>
                <w:rFonts w:hint="eastAsia"/>
                <w:bCs/>
                <w:color w:val="auto"/>
                <w:sz w:val="24"/>
                <w:highlight w:val="none"/>
              </w:rPr>
              <w:t>本项目废水主要为为</w:t>
            </w:r>
            <w:r>
              <w:rPr>
                <w:rFonts w:hint="default"/>
                <w:bCs/>
                <w:color w:val="auto"/>
                <w:sz w:val="24"/>
                <w:highlight w:val="none"/>
              </w:rPr>
              <w:t>生活污水</w:t>
            </w:r>
            <w:r>
              <w:rPr>
                <w:rFonts w:hint="eastAsia"/>
                <w:bCs/>
                <w:color w:val="auto"/>
                <w:sz w:val="24"/>
                <w:highlight w:val="none"/>
                <w:lang w:eastAsia="zh-CN"/>
              </w:rPr>
              <w:t>，降尘用水全部蒸发损耗，无废水产生</w:t>
            </w:r>
            <w:r>
              <w:rPr>
                <w:rFonts w:hint="eastAsia"/>
                <w:bCs/>
                <w:color w:val="auto"/>
                <w:sz w:val="24"/>
                <w:highlight w:val="none"/>
                <w:lang w:val="en-US" w:eastAsia="zh-CN"/>
              </w:rPr>
              <w:t>。</w:t>
            </w:r>
          </w:p>
          <w:p w14:paraId="13B724D3">
            <w:pPr>
              <w:keepNext w:val="0"/>
              <w:keepLines w:val="0"/>
              <w:suppressLineNumbers w:val="0"/>
              <w:snapToGrid w:val="0"/>
              <w:spacing w:before="0" w:beforeAutospacing="0" w:after="0" w:afterAutospacing="0" w:line="360" w:lineRule="auto"/>
              <w:ind w:left="0" w:right="0" w:firstLine="480" w:firstLineChars="200"/>
              <w:rPr>
                <w:rFonts w:hint="eastAsia"/>
                <w:bCs/>
                <w:color w:val="auto"/>
                <w:sz w:val="24"/>
                <w:highlight w:val="none"/>
              </w:rPr>
            </w:pPr>
            <w:r>
              <w:rPr>
                <w:rFonts w:hint="default"/>
                <w:bCs/>
                <w:color w:val="auto"/>
                <w:sz w:val="24"/>
                <w:highlight w:val="none"/>
              </w:rPr>
              <w:t>生活污水</w:t>
            </w:r>
            <w:r>
              <w:rPr>
                <w:rFonts w:hint="eastAsia"/>
                <w:bCs/>
                <w:color w:val="auto"/>
                <w:sz w:val="24"/>
                <w:highlight w:val="none"/>
              </w:rPr>
              <w:t>：</w:t>
            </w:r>
            <w:r>
              <w:rPr>
                <w:rFonts w:hint="default"/>
                <w:bCs/>
                <w:color w:val="auto"/>
                <w:sz w:val="24"/>
                <w:highlight w:val="none"/>
              </w:rPr>
              <w:t>生活污水产生量按生活用水量的80%计算，即</w:t>
            </w:r>
            <w:r>
              <w:rPr>
                <w:rFonts w:hint="eastAsia"/>
                <w:bCs/>
                <w:color w:val="auto"/>
                <w:sz w:val="24"/>
                <w:highlight w:val="none"/>
                <w:lang w:val="en-US" w:eastAsia="zh-CN"/>
              </w:rPr>
              <w:t>108</w:t>
            </w:r>
            <w:r>
              <w:rPr>
                <w:rFonts w:hint="default"/>
                <w:bCs/>
                <w:color w:val="auto"/>
                <w:sz w:val="24"/>
                <w:highlight w:val="none"/>
              </w:rPr>
              <w:t>m</w:t>
            </w:r>
            <w:r>
              <w:rPr>
                <w:rFonts w:hint="default"/>
                <w:bCs/>
                <w:color w:val="auto"/>
                <w:sz w:val="24"/>
                <w:highlight w:val="none"/>
                <w:vertAlign w:val="superscript"/>
              </w:rPr>
              <w:t>3</w:t>
            </w:r>
            <w:r>
              <w:rPr>
                <w:rFonts w:hint="default"/>
                <w:bCs/>
                <w:color w:val="auto"/>
                <w:sz w:val="24"/>
                <w:highlight w:val="none"/>
              </w:rPr>
              <w:t>/a，项目</w:t>
            </w:r>
            <w:r>
              <w:rPr>
                <w:rFonts w:hint="eastAsia"/>
                <w:bCs/>
                <w:color w:val="auto"/>
                <w:sz w:val="24"/>
                <w:highlight w:val="none"/>
              </w:rPr>
              <w:t>生活污水经化粪池暂存后由环卫部门定期清运。</w:t>
            </w:r>
          </w:p>
          <w:p w14:paraId="2C11AC5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32"/>
                <w:highlight w:val="none"/>
                <w:lang w:eastAsia="zh-CN"/>
              </w:rPr>
            </w:pPr>
            <w:r>
              <w:rPr>
                <w:rFonts w:hint="eastAsia"/>
                <w:bCs/>
                <w:color w:val="auto"/>
                <w:sz w:val="24"/>
                <w:highlight w:val="none"/>
              </w:rPr>
              <w:t>因此，本项目运行过程中产生的废水均得到妥善处理，处理措施可行，对周边地表水环境影响较小</w:t>
            </w:r>
            <w:r>
              <w:rPr>
                <w:rFonts w:hint="eastAsia" w:ascii="Times New Roman" w:hAnsi="Times New Roman" w:eastAsia="宋体" w:cs="Times New Roman"/>
                <w:color w:val="auto"/>
                <w:sz w:val="24"/>
                <w:szCs w:val="32"/>
                <w:highlight w:val="none"/>
                <w:lang w:eastAsia="zh-CN"/>
              </w:rPr>
              <w:t>。</w:t>
            </w:r>
          </w:p>
          <w:p w14:paraId="3095E0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6"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三、噪声</w:t>
            </w:r>
          </w:p>
          <w:p w14:paraId="47058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6" w:lineRule="auto"/>
              <w:ind w:left="0" w:right="0"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影响报告表编制技术指南（污染影响类）（试行）》中运营期噪声环境影响需明确噪声源、产生强度、降噪措施、排放强度、持续时间，分析厂界和环境保护目标达标情况，提出监测要求（监测点位、监测频次）。</w:t>
            </w:r>
          </w:p>
          <w:p w14:paraId="6CF17CEB">
            <w:pPr>
              <w:keepNext w:val="0"/>
              <w:keepLines w:val="0"/>
              <w:suppressLineNumbers w:val="0"/>
              <w:spacing w:before="0" w:beforeAutospacing="0" w:after="0" w:afterAutospacing="0" w:line="360" w:lineRule="auto"/>
              <w:ind w:left="0" w:right="0" w:firstLine="240" w:firstLineChars="100"/>
              <w:rPr>
                <w:rFonts w:hint="eastAsia" w:ascii="Times New Roman" w:hAnsi="Times New Roman" w:cs="Times New Roman"/>
                <w:color w:val="000000"/>
                <w:sz w:val="24"/>
                <w:highlight w:val="none"/>
              </w:rPr>
            </w:pPr>
            <w:r>
              <w:rPr>
                <w:rFonts w:hint="eastAsia" w:ascii="Times New Roman" w:hAnsi="Times New Roman" w:cs="Times New Roman"/>
                <w:color w:val="000000"/>
                <w:sz w:val="24"/>
                <w:highlight w:val="none"/>
              </w:rPr>
              <w:t>（1）噪声源</w:t>
            </w:r>
          </w:p>
          <w:p w14:paraId="562F059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lang w:eastAsia="zh-CN"/>
              </w:rPr>
              <w:t>本项目</w:t>
            </w:r>
            <w:r>
              <w:rPr>
                <w:rFonts w:hint="eastAsia" w:ascii="Times New Roman" w:hAnsi="Times New Roman" w:cs="Times New Roman"/>
                <w:color w:val="000000"/>
                <w:sz w:val="24"/>
                <w:highlight w:val="none"/>
              </w:rPr>
              <w:t>新增主要噪声源均布置在厂房内部，项目噪声主要为</w:t>
            </w:r>
            <w:r>
              <w:rPr>
                <w:rFonts w:hint="eastAsia" w:cs="Times New Roman"/>
                <w:color w:val="auto"/>
                <w:sz w:val="24"/>
                <w:highlight w:val="none"/>
                <w:lang w:val="en-US" w:eastAsia="zh-CN"/>
              </w:rPr>
              <w:t>解聚均化搅拌机、磁选机、球磨机、气流筛分机</w:t>
            </w:r>
            <w:r>
              <w:rPr>
                <w:rFonts w:hint="eastAsia" w:ascii="Times New Roman" w:hAnsi="Times New Roman" w:cs="Times New Roman"/>
                <w:color w:val="000000"/>
                <w:sz w:val="24"/>
                <w:highlight w:val="none"/>
                <w:lang w:eastAsia="zh-CN"/>
              </w:rPr>
              <w:t>、</w:t>
            </w:r>
            <w:r>
              <w:rPr>
                <w:rFonts w:hint="eastAsia" w:ascii="Times New Roman" w:hAnsi="Times New Roman" w:cs="Times New Roman"/>
                <w:color w:val="000000"/>
                <w:sz w:val="24"/>
                <w:highlight w:val="none"/>
              </w:rPr>
              <w:t>各种风机、泵类等设备运转噪声，噪声强度为</w:t>
            </w:r>
            <w:r>
              <w:rPr>
                <w:rFonts w:hint="eastAsia" w:cs="Times New Roman"/>
                <w:color w:val="000000"/>
                <w:sz w:val="24"/>
                <w:highlight w:val="none"/>
                <w:lang w:val="en-US" w:eastAsia="zh-CN"/>
              </w:rPr>
              <w:t>75</w:t>
            </w:r>
            <w:r>
              <w:rPr>
                <w:rFonts w:hint="eastAsia" w:ascii="Times New Roman" w:hAnsi="Times New Roman" w:cs="Times New Roman"/>
                <w:color w:val="000000"/>
                <w:sz w:val="24"/>
                <w:highlight w:val="none"/>
              </w:rPr>
              <w:t>~</w:t>
            </w:r>
            <w:r>
              <w:rPr>
                <w:rFonts w:hint="eastAsia" w:ascii="Times New Roman" w:hAnsi="Times New Roman" w:cs="Times New Roman"/>
                <w:color w:val="000000"/>
                <w:sz w:val="24"/>
                <w:highlight w:val="none"/>
                <w:lang w:val="en-US" w:eastAsia="zh-CN"/>
              </w:rPr>
              <w:t>90</w:t>
            </w:r>
            <w:r>
              <w:rPr>
                <w:rFonts w:hint="eastAsia" w:ascii="Times New Roman" w:hAnsi="Times New Roman" w:cs="Times New Roman"/>
                <w:color w:val="000000"/>
                <w:sz w:val="24"/>
                <w:highlight w:val="none"/>
              </w:rPr>
              <w:t>dB(A)</w:t>
            </w:r>
            <w:r>
              <w:rPr>
                <w:rFonts w:hint="default" w:ascii="Times New Roman" w:hAnsi="Times New Roman" w:cs="Times New Roman"/>
                <w:color w:val="000000"/>
                <w:sz w:val="24"/>
                <w:highlight w:val="none"/>
              </w:rPr>
              <w:t>，对机械设备产生的噪声，采用减震、隔音、合理布局等措施，尽量减弱或降低声源的振动，或将传播的声能吸收掉，或设置障碍，达到控制噪声的目的。</w:t>
            </w:r>
          </w:p>
          <w:p w14:paraId="0AC4934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（2）噪声防治措施</w:t>
            </w:r>
          </w:p>
          <w:p w14:paraId="60C9F05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①总平面布置：将高噪声设备设置于距离厂界较远的位置，尽量把噪声强度大的设备安装在建筑物内部或设隔声罩</w:t>
            </w:r>
            <w:r>
              <w:rPr>
                <w:rFonts w:hint="eastAsia" w:ascii="Times New Roman" w:hAnsi="Times New Roman" w:cs="Times New Roman"/>
                <w:color w:val="000000"/>
                <w:sz w:val="24"/>
                <w:highlight w:val="none"/>
              </w:rPr>
              <w:t>，</w:t>
            </w:r>
            <w:r>
              <w:rPr>
                <w:rFonts w:hint="default" w:ascii="Times New Roman" w:hAnsi="Times New Roman" w:cs="Times New Roman"/>
                <w:color w:val="000000"/>
                <w:sz w:val="24"/>
                <w:highlight w:val="none"/>
              </w:rPr>
              <w:t>使其对环境的影响降至最低限度。</w:t>
            </w:r>
          </w:p>
          <w:p w14:paraId="686E729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②</w:t>
            </w:r>
            <w:r>
              <w:rPr>
                <w:rFonts w:hint="eastAsia" w:ascii="Times New Roman" w:hAnsi="Times New Roman" w:cs="Times New Roman"/>
                <w:color w:val="000000"/>
                <w:sz w:val="24"/>
                <w:highlight w:val="none"/>
              </w:rPr>
              <w:t>源头预防</w:t>
            </w:r>
            <w:r>
              <w:rPr>
                <w:rFonts w:hint="default" w:ascii="Times New Roman" w:hAnsi="Times New Roman" w:cs="Times New Roman"/>
                <w:color w:val="000000"/>
                <w:sz w:val="24"/>
                <w:highlight w:val="none"/>
              </w:rPr>
              <w:t>：设备选型时选择噪声低的设备，对设备采取减振、隔音、建筑屏蔽等措施，采取降噪措施后，噪声水平可降低约2</w:t>
            </w:r>
            <w:r>
              <w:rPr>
                <w:rFonts w:hint="eastAsia" w:ascii="Times New Roman" w:hAnsi="Times New Roman" w:cs="Times New Roman"/>
                <w:color w:val="000000"/>
                <w:sz w:val="24"/>
                <w:highlight w:val="none"/>
              </w:rPr>
              <w:t>5</w:t>
            </w:r>
            <w:r>
              <w:rPr>
                <w:rFonts w:hint="default" w:ascii="Times New Roman" w:hAnsi="Times New Roman" w:cs="Times New Roman"/>
                <w:color w:val="000000"/>
                <w:sz w:val="24"/>
                <w:highlight w:val="none"/>
              </w:rPr>
              <w:t>dB(A)</w:t>
            </w:r>
            <w:r>
              <w:rPr>
                <w:rFonts w:hint="eastAsia" w:cs="Times New Roman"/>
                <w:color w:val="000000"/>
                <w:sz w:val="24"/>
                <w:highlight w:val="none"/>
                <w:lang w:eastAsia="zh-CN"/>
              </w:rPr>
              <w:t>，</w:t>
            </w:r>
            <w:r>
              <w:rPr>
                <w:rFonts w:hint="eastAsia" w:cs="Times New Roman"/>
                <w:color w:val="000000"/>
                <w:sz w:val="24"/>
                <w:highlight w:val="none"/>
                <w:lang w:val="en-US" w:eastAsia="zh-CN"/>
              </w:rPr>
              <w:t>风机采取隔声罩，</w:t>
            </w:r>
            <w:r>
              <w:rPr>
                <w:rFonts w:hint="default" w:ascii="Times New Roman" w:hAnsi="Times New Roman" w:cs="Times New Roman"/>
                <w:color w:val="000000"/>
                <w:sz w:val="24"/>
                <w:highlight w:val="none"/>
              </w:rPr>
              <w:t>噪声水平可降低约</w:t>
            </w:r>
            <w:r>
              <w:rPr>
                <w:rFonts w:hint="eastAsia" w:ascii="Times New Roman" w:hAnsi="Times New Roman" w:cs="Times New Roman"/>
                <w:color w:val="000000"/>
                <w:sz w:val="24"/>
                <w:highlight w:val="none"/>
                <w:lang w:val="en-US" w:eastAsia="zh-CN"/>
              </w:rPr>
              <w:t>10</w:t>
            </w:r>
            <w:r>
              <w:rPr>
                <w:rFonts w:hint="default" w:ascii="Times New Roman" w:hAnsi="Times New Roman" w:cs="Times New Roman"/>
                <w:color w:val="000000"/>
                <w:sz w:val="24"/>
                <w:highlight w:val="none"/>
              </w:rPr>
              <w:t>dB(A)。</w:t>
            </w:r>
          </w:p>
          <w:p w14:paraId="40DBAB2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③加强管理：建立设备定期维护，保养的管理制度，以防止设备故障形成的非正常生产噪声；加强职工环保意识教育，提倡文明生产，减少人为噪声。</w:t>
            </w:r>
          </w:p>
          <w:p w14:paraId="6DD36EF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rPr>
              <w:t>④</w:t>
            </w:r>
            <w:r>
              <w:rPr>
                <w:rFonts w:hint="default" w:ascii="Times New Roman" w:hAnsi="Times New Roman" w:cs="Times New Roman"/>
                <w:color w:val="000000"/>
                <w:sz w:val="24"/>
                <w:highlight w:val="none"/>
              </w:rPr>
              <w:t>搞好绿化降噪</w:t>
            </w:r>
            <w:r>
              <w:rPr>
                <w:rFonts w:hint="eastAsia" w:ascii="Times New Roman" w:hAnsi="Times New Roman" w:cs="Times New Roman"/>
                <w:color w:val="000000"/>
                <w:sz w:val="24"/>
                <w:highlight w:val="none"/>
              </w:rPr>
              <w:t>，增加厂区周围高大乔木、灌木的种植。</w:t>
            </w:r>
          </w:p>
          <w:p w14:paraId="1CCFB40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（3）预测结果及评价</w:t>
            </w:r>
          </w:p>
          <w:p w14:paraId="34358338">
            <w:pPr>
              <w:pStyle w:val="3"/>
              <w:keepNext w:val="0"/>
              <w:keepLines w:val="0"/>
              <w:suppressLineNumbers w:val="0"/>
              <w:spacing w:before="0" w:beforeAutospacing="0" w:afterAutospacing="0" w:line="360" w:lineRule="auto"/>
              <w:ind w:left="0" w:leftChars="0" w:right="0" w:firstLine="480" w:firstLineChars="200"/>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本次评价采用《环境影响评价技术导则-声环境》（HJ2.4-2021）中推荐的模式进行预测，用A声级计算，模式如下：</w:t>
            </w:r>
          </w:p>
          <w:p w14:paraId="1FB793D3">
            <w:pPr>
              <w:pStyle w:val="3"/>
              <w:keepNext w:val="0"/>
              <w:keepLines w:val="0"/>
              <w:suppressLineNumbers w:val="0"/>
              <w:spacing w:before="0" w:beforeAutospacing="0" w:afterAutospacing="0" w:line="360" w:lineRule="auto"/>
              <w:ind w:right="0"/>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①室外声源在预测点的声压级</w:t>
            </w:r>
          </w:p>
          <w:p w14:paraId="0A147C40">
            <w:pPr>
              <w:pStyle w:val="3"/>
              <w:keepNext w:val="0"/>
              <w:keepLines w:val="0"/>
              <w:suppressLineNumbers w:val="0"/>
              <w:spacing w:before="0" w:beforeAutospacing="0" w:afterAutospacing="0" w:line="360" w:lineRule="auto"/>
              <w:ind w:right="0"/>
              <w:jc w:val="center"/>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LA(r)=LAref(r0)-(AdiⅤ+Abar+Aatm+Aexc)</w:t>
            </w:r>
          </w:p>
          <w:p w14:paraId="71DE4048">
            <w:pPr>
              <w:pStyle w:val="3"/>
              <w:keepNext w:val="0"/>
              <w:keepLines w:val="0"/>
              <w:suppressLineNumbers w:val="0"/>
              <w:spacing w:before="0" w:beforeAutospacing="0" w:afterAutospacing="0" w:line="360" w:lineRule="auto"/>
              <w:ind w:right="0"/>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式中：LA(r)——距声源r处的A声级，dB(A)；</w:t>
            </w:r>
          </w:p>
          <w:p w14:paraId="092D6E2A">
            <w:pPr>
              <w:pStyle w:val="3"/>
              <w:keepNext w:val="0"/>
              <w:keepLines w:val="0"/>
              <w:suppressLineNumbers w:val="0"/>
              <w:spacing w:before="0" w:beforeAutospacing="0" w:afterAutospacing="0" w:line="360" w:lineRule="auto"/>
              <w:ind w:right="0" w:firstLine="720" w:firstLineChars="300"/>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LAref(r0)——参考位置r0处的A声级，dB(A)；</w:t>
            </w:r>
          </w:p>
          <w:p w14:paraId="22613091">
            <w:pPr>
              <w:pStyle w:val="3"/>
              <w:keepNext w:val="0"/>
              <w:keepLines w:val="0"/>
              <w:suppressLineNumbers w:val="0"/>
              <w:spacing w:before="0" w:beforeAutospacing="0" w:afterAutospacing="0" w:line="360" w:lineRule="auto"/>
              <w:ind w:right="0" w:firstLine="720" w:firstLineChars="300"/>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AdiⅤ——声波几何发散引起的A声级衰减量，dB(A)；</w:t>
            </w:r>
          </w:p>
          <w:p w14:paraId="0459142D">
            <w:pPr>
              <w:pStyle w:val="3"/>
              <w:keepNext w:val="0"/>
              <w:keepLines w:val="0"/>
              <w:suppressLineNumbers w:val="0"/>
              <w:spacing w:before="0" w:beforeAutospacing="0" w:afterAutospacing="0" w:line="360" w:lineRule="auto"/>
              <w:ind w:right="0" w:firstLine="720" w:firstLineChars="300"/>
              <w:rPr>
                <w:rFonts w:hint="default" w:ascii="Times New Roman" w:hAnsi="Times New Roman" w:cs="Times New Roman"/>
                <w:color w:val="000000"/>
                <w:kern w:val="2"/>
                <w:szCs w:val="24"/>
                <w:highlight w:val="none"/>
              </w:rPr>
            </w:pPr>
            <w:r>
              <w:rPr>
                <w:rFonts w:hint="default" w:ascii="Times New Roman" w:hAnsi="Times New Roman" w:cs="Times New Roman"/>
                <w:color w:val="000000"/>
                <w:kern w:val="2"/>
                <w:szCs w:val="24"/>
                <w:highlight w:val="none"/>
              </w:rPr>
              <w:t>Abar——遮挡物引起的A声级衰减量，dB(A)；</w:t>
            </w:r>
          </w:p>
          <w:p w14:paraId="64563AD8">
            <w:pPr>
              <w:keepNext w:val="0"/>
              <w:keepLines w:val="0"/>
              <w:suppressLineNumbers w:val="0"/>
              <w:spacing w:before="0" w:beforeAutospacing="0" w:after="0" w:afterAutospacing="0" w:line="360" w:lineRule="auto"/>
              <w:ind w:left="0" w:right="0" w:firstLine="1200" w:firstLineChars="5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Abar－遮挡物引起的A声级衰减量，dB(A)；</w:t>
            </w:r>
          </w:p>
          <w:p w14:paraId="3FFEBB13">
            <w:pPr>
              <w:keepNext w:val="0"/>
              <w:keepLines w:val="0"/>
              <w:suppressLineNumbers w:val="0"/>
              <w:spacing w:before="0" w:beforeAutospacing="0" w:after="0" w:afterAutospacing="0" w:line="360" w:lineRule="auto"/>
              <w:ind w:left="0" w:right="0" w:firstLine="1200" w:firstLineChars="5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Aatm－空气吸收引起的A声级衰减量，dB(A)；</w:t>
            </w:r>
          </w:p>
          <w:p w14:paraId="6BE4F8D9">
            <w:pPr>
              <w:keepNext w:val="0"/>
              <w:keepLines w:val="0"/>
              <w:suppressLineNumbers w:val="0"/>
              <w:spacing w:before="0" w:beforeAutospacing="0" w:after="0" w:afterAutospacing="0" w:line="360" w:lineRule="auto"/>
              <w:ind w:left="0" w:right="0" w:firstLine="1200" w:firstLineChars="5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Aexc－附加衰减量，dB(A)。</w:t>
            </w:r>
          </w:p>
          <w:p w14:paraId="244A7132">
            <w:pPr>
              <w:keepNext w:val="0"/>
              <w:keepLines w:val="0"/>
              <w:suppressLineNumbers w:val="0"/>
              <w:spacing w:before="0" w:beforeAutospacing="0" w:after="0" w:afterAutospacing="0" w:line="360" w:lineRule="auto"/>
              <w:ind w:left="0" w:right="0" w:firstLine="540" w:firstLineChars="2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②室内声源在预测点的声压级</w:t>
            </w:r>
          </w:p>
          <w:p w14:paraId="18FCB7F9">
            <w:pPr>
              <w:keepNext w:val="0"/>
              <w:keepLines w:val="0"/>
              <w:suppressLineNumbers w:val="0"/>
              <w:spacing w:before="0" w:beforeAutospacing="0" w:after="0" w:afterAutospacing="0" w:line="360" w:lineRule="auto"/>
              <w:ind w:left="0" w:right="0" w:firstLine="540" w:firstLineChars="2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a.首先计算某个室内声源在靠近围护结构处的声压级：</w:t>
            </w:r>
          </w:p>
          <w:p w14:paraId="250F26E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sz w:val="24"/>
                <w:highlight w:val="none"/>
                <w:lang w:val="fr-FR"/>
              </w:rPr>
            </w:pPr>
            <w:r>
              <w:rPr>
                <w:rFonts w:hint="default" w:ascii="Times New Roman" w:hAnsi="Times New Roman" w:cs="Times New Roman"/>
                <w:color w:val="000000"/>
                <w:sz w:val="24"/>
                <w:highlight w:val="none"/>
                <w:lang w:val="fr-FR"/>
              </w:rPr>
              <w:t>Li=Lw+10lg(Q/4</w:t>
            </w:r>
            <w:r>
              <w:rPr>
                <w:rFonts w:hint="default" w:ascii="Times New Roman" w:hAnsi="Times New Roman" w:cs="Times New Roman"/>
                <w:color w:val="000000"/>
                <w:sz w:val="24"/>
                <w:highlight w:val="none"/>
              </w:rPr>
              <w:t>π</w:t>
            </w:r>
            <w:r>
              <w:rPr>
                <w:rFonts w:hint="default" w:ascii="Times New Roman" w:hAnsi="Times New Roman" w:cs="Times New Roman"/>
                <w:color w:val="000000"/>
                <w:sz w:val="24"/>
                <w:highlight w:val="none"/>
                <w:lang w:val="fr-FR"/>
              </w:rPr>
              <w:t>ri2+4/R)</w:t>
            </w:r>
          </w:p>
          <w:p w14:paraId="75589C5B">
            <w:pPr>
              <w:keepNext w:val="0"/>
              <w:keepLines w:val="0"/>
              <w:suppressLineNumbers w:val="0"/>
              <w:spacing w:before="0" w:beforeAutospacing="0" w:after="0" w:afterAutospacing="0" w:line="360" w:lineRule="auto"/>
              <w:ind w:left="0" w:right="0" w:firstLine="540" w:firstLineChars="2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式中：Li－某个室内声源在靠近围护结构处的声压级，dB(A)；</w:t>
            </w:r>
          </w:p>
          <w:p w14:paraId="5C39F98E">
            <w:pPr>
              <w:keepNext w:val="0"/>
              <w:keepLines w:val="0"/>
              <w:suppressLineNumbers w:val="0"/>
              <w:spacing w:before="0" w:beforeAutospacing="0" w:after="0" w:afterAutospacing="0" w:line="360" w:lineRule="auto"/>
              <w:ind w:left="0" w:right="0" w:firstLine="1260" w:firstLineChars="5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Lw－某个声源的声功率级，dB；</w:t>
            </w:r>
          </w:p>
          <w:p w14:paraId="2D14F1A8">
            <w:pPr>
              <w:keepNext w:val="0"/>
              <w:keepLines w:val="0"/>
              <w:suppressLineNumbers w:val="0"/>
              <w:spacing w:before="0" w:beforeAutospacing="0" w:after="0" w:afterAutospacing="0" w:line="360" w:lineRule="auto"/>
              <w:ind w:left="0" w:right="0" w:firstLine="1260" w:firstLineChars="5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ri－某个声源与靠近围护结构处的距离，m；</w:t>
            </w:r>
          </w:p>
          <w:p w14:paraId="38BE826A">
            <w:pPr>
              <w:keepNext w:val="0"/>
              <w:keepLines w:val="0"/>
              <w:suppressLineNumbers w:val="0"/>
              <w:spacing w:before="0" w:beforeAutospacing="0" w:after="0" w:afterAutospacing="0" w:line="360" w:lineRule="auto"/>
              <w:ind w:left="0" w:right="0" w:firstLine="1260" w:firstLineChars="5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R－房间常数；</w:t>
            </w:r>
          </w:p>
          <w:p w14:paraId="3E00E62C">
            <w:pPr>
              <w:keepNext w:val="0"/>
              <w:keepLines w:val="0"/>
              <w:suppressLineNumbers w:val="0"/>
              <w:spacing w:before="0" w:beforeAutospacing="0" w:after="0" w:afterAutospacing="0" w:line="360" w:lineRule="auto"/>
              <w:ind w:left="0" w:right="0" w:firstLine="1260" w:firstLineChars="5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Q－方向性因子。</w:t>
            </w:r>
          </w:p>
          <w:p w14:paraId="33C03A63">
            <w:pPr>
              <w:keepNext w:val="0"/>
              <w:keepLines w:val="0"/>
              <w:suppressLineNumbers w:val="0"/>
              <w:spacing w:before="0" w:beforeAutospacing="0" w:after="0" w:afterAutospacing="0" w:line="360" w:lineRule="auto"/>
              <w:ind w:left="0" w:right="0" w:firstLine="540" w:firstLineChars="2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b.计算所有室内声源在靠近围护结构处产生的总声压级：</w:t>
            </w:r>
          </w:p>
          <w:p w14:paraId="5779C395">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sz w:val="24"/>
                <w:highlight w:val="none"/>
                <w:lang w:val="fr-FR"/>
              </w:rPr>
            </w:pPr>
            <w:r>
              <w:rPr>
                <w:rFonts w:hint="default" w:ascii="Times New Roman" w:hAnsi="Times New Roman" w:cs="Times New Roman"/>
                <w:color w:val="000000"/>
                <w:sz w:val="24"/>
                <w:highlight w:val="none"/>
                <w:lang w:val="fr-FR"/>
              </w:rPr>
              <w:t>L1（T）=10lg[∑100.1LA(r)]</w:t>
            </w:r>
          </w:p>
          <w:p w14:paraId="311BA6B6">
            <w:pPr>
              <w:keepNext w:val="0"/>
              <w:keepLines w:val="0"/>
              <w:suppressLineNumbers w:val="0"/>
              <w:spacing w:before="0" w:beforeAutospacing="0" w:after="0" w:afterAutospacing="0" w:line="360" w:lineRule="auto"/>
              <w:ind w:left="0" w:right="0" w:firstLine="540" w:firstLineChars="2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c.计算室外靠近围护结构处的声压级：</w:t>
            </w:r>
          </w:p>
          <w:p w14:paraId="4FC934A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L2（T）=L1（T）－（TL+6）</w:t>
            </w:r>
          </w:p>
          <w:p w14:paraId="1CAEF24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式中：TL－厂房平均隔声量，dB(A)。</w:t>
            </w:r>
          </w:p>
          <w:p w14:paraId="6E6E972E">
            <w:pPr>
              <w:keepNext w:val="0"/>
              <w:keepLines w:val="0"/>
              <w:suppressLineNumbers w:val="0"/>
              <w:spacing w:before="0" w:beforeAutospacing="0" w:after="0" w:afterAutospacing="0" w:line="360" w:lineRule="auto"/>
              <w:ind w:left="0" w:right="0" w:firstLine="540" w:firstLineChars="225"/>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d.将室外声级L2（T）和透声面积换算成等效的室外声源，计算出等效声源的声功率级Lw：</w:t>
            </w:r>
          </w:p>
          <w:p w14:paraId="4004B51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Lw=L2（T）+10lgS</w:t>
            </w:r>
          </w:p>
          <w:p w14:paraId="0E0C34E9">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式中：S－透声面积，</w:t>
            </w:r>
            <w:r>
              <w:rPr>
                <w:rFonts w:hint="eastAsia" w:ascii="Times New Roman" w:hAnsi="Times New Roman" w:cs="Times New Roman"/>
                <w:color w:val="000000"/>
                <w:sz w:val="24"/>
                <w:highlight w:val="none"/>
              </w:rPr>
              <w:t>㎡</w:t>
            </w:r>
            <w:r>
              <w:rPr>
                <w:rFonts w:hint="default" w:ascii="Times New Roman" w:hAnsi="Times New Roman" w:cs="Times New Roman"/>
                <w:color w:val="000000"/>
                <w:sz w:val="24"/>
                <w:highlight w:val="none"/>
              </w:rPr>
              <w:t>。</w:t>
            </w:r>
          </w:p>
          <w:p w14:paraId="1B99430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e.等效室外声源的位置为围护结构的位置，由此计算等效声源在预测点产生的声级。</w:t>
            </w:r>
          </w:p>
          <w:p w14:paraId="1295B817">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③参数确定</w:t>
            </w:r>
          </w:p>
          <w:p w14:paraId="1005FE2F">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lang w:val="en-US" w:eastAsia="zh-CN"/>
              </w:rPr>
              <w:t>a</w:t>
            </w:r>
            <w:r>
              <w:rPr>
                <w:rFonts w:hint="default" w:ascii="Times New Roman" w:hAnsi="Times New Roman" w:cs="Times New Roman"/>
                <w:color w:val="000000"/>
                <w:sz w:val="24"/>
                <w:highlight w:val="none"/>
              </w:rPr>
              <w:t>、AdiⅤ：对于点声源，AdiⅤ=20lg(r/r0)</w:t>
            </w:r>
          </w:p>
          <w:p w14:paraId="3DDC06D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对于有限长（L0）线声源：当r&gt;L0且r0&gt;L0时，AdiⅤ=20lg(r/r0)</w:t>
            </w:r>
          </w:p>
          <w:p w14:paraId="43BEB805">
            <w:pPr>
              <w:keepNext w:val="0"/>
              <w:keepLines w:val="0"/>
              <w:suppressLineNumbers w:val="0"/>
              <w:spacing w:before="0" w:beforeAutospacing="0" w:after="0" w:afterAutospacing="0" w:line="360" w:lineRule="auto"/>
              <w:ind w:left="0" w:right="0" w:firstLine="3360" w:firstLineChars="14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当r&lt;L0/3且r0&lt;L0/3时，AdiⅤ=10lg(r/r0)</w:t>
            </w:r>
          </w:p>
          <w:p w14:paraId="2A44C167">
            <w:pPr>
              <w:keepNext w:val="0"/>
              <w:keepLines w:val="0"/>
              <w:suppressLineNumbers w:val="0"/>
              <w:spacing w:before="0" w:beforeAutospacing="0" w:after="0" w:afterAutospacing="0" w:line="360" w:lineRule="auto"/>
              <w:ind w:left="0" w:right="0" w:firstLine="3360" w:firstLineChars="14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当L0/3&lt;r&lt;L0且L0/3&lt;r0&lt;L0时，AdiⅤ=15lg(r/r0)</w:t>
            </w:r>
          </w:p>
          <w:p w14:paraId="1745BAB4">
            <w:pPr>
              <w:keepNext w:val="0"/>
              <w:keepLines w:val="0"/>
              <w:suppressLineNumbers w:val="0"/>
              <w:spacing w:before="0" w:beforeAutospacing="0" w:after="0" w:afterAutospacing="0" w:line="336" w:lineRule="auto"/>
              <w:ind w:left="0" w:right="0" w:firstLine="480" w:firstLineChars="200"/>
              <w:jc w:val="left"/>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lang w:val="en-US" w:eastAsia="zh-CN"/>
              </w:rPr>
              <w:t>b</w:t>
            </w:r>
            <w:r>
              <w:rPr>
                <w:rFonts w:hint="default" w:ascii="Times New Roman" w:hAnsi="Times New Roman" w:cs="Times New Roman"/>
                <w:color w:val="000000"/>
                <w:sz w:val="24"/>
                <w:highlight w:val="none"/>
              </w:rPr>
              <w:t>、其它类型的衰减忽略不计。</w:t>
            </w:r>
          </w:p>
          <w:p w14:paraId="4B0DF4E1">
            <w:pPr>
              <w:keepNext w:val="0"/>
              <w:keepLines w:val="0"/>
              <w:suppressLineNumbers w:val="0"/>
              <w:spacing w:before="0" w:beforeAutospacing="0" w:after="0" w:afterAutospacing="0" w:line="336" w:lineRule="auto"/>
              <w:ind w:left="0" w:right="0"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根据以上模式，将主要等效声源按综合衰减模式求出到各预测点（噪声最大影响点）噪声贡献值，见下表。</w:t>
            </w:r>
          </w:p>
          <w:p w14:paraId="7DB489F6">
            <w:pPr>
              <w:keepNext w:val="0"/>
              <w:keepLines w:val="0"/>
              <w:suppressLineNumbers w:val="0"/>
              <w:adjustRightInd w:val="0"/>
              <w:snapToGrid w:val="0"/>
              <w:spacing w:before="0" w:beforeAutospacing="0" w:after="0" w:afterAutospacing="0" w:line="336" w:lineRule="auto"/>
              <w:ind w:left="0" w:right="0" w:firstLine="480" w:firstLineChars="200"/>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rPr>
              <w:t>（3）</w:t>
            </w:r>
            <w:r>
              <w:rPr>
                <w:rFonts w:hint="default" w:ascii="Times New Roman" w:hAnsi="Times New Roman" w:cs="Times New Roman"/>
                <w:color w:val="000000"/>
                <w:sz w:val="24"/>
                <w:highlight w:val="none"/>
              </w:rPr>
              <w:t>噪声达标分析</w:t>
            </w:r>
          </w:p>
          <w:p w14:paraId="074DC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6" w:lineRule="auto"/>
              <w:ind w:left="0" w:right="0" w:firstLine="480" w:firstLineChars="200"/>
              <w:jc w:val="left"/>
              <w:textAlignment w:val="auto"/>
              <w:rPr>
                <w:rFonts w:hint="default" w:ascii="Times New Roman" w:hAnsi="Times New Roman" w:cs="Times New Roman"/>
                <w:color w:val="auto"/>
                <w:sz w:val="24"/>
                <w:highlight w:val="none"/>
              </w:rPr>
            </w:pPr>
            <w:r>
              <w:rPr>
                <w:rFonts w:hint="eastAsia" w:ascii="Times New Roman" w:hAnsi="Times New Roman" w:cs="Times New Roman"/>
                <w:color w:val="000000"/>
                <w:sz w:val="24"/>
                <w:highlight w:val="none"/>
                <w:lang w:eastAsia="zh-CN"/>
              </w:rPr>
              <w:t>本项目</w:t>
            </w:r>
            <w:r>
              <w:rPr>
                <w:rFonts w:hint="default" w:ascii="Times New Roman" w:hAnsi="Times New Roman" w:cs="Times New Roman"/>
                <w:color w:val="000000"/>
                <w:sz w:val="24"/>
                <w:highlight w:val="none"/>
              </w:rPr>
              <w:t>预测数据详见下表</w:t>
            </w:r>
            <w:r>
              <w:rPr>
                <w:rFonts w:hint="default" w:ascii="Times New Roman" w:hAnsi="Times New Roman" w:cs="Times New Roman"/>
                <w:color w:val="auto"/>
                <w:sz w:val="24"/>
                <w:highlight w:val="none"/>
              </w:rPr>
              <w:t>。</w:t>
            </w:r>
          </w:p>
          <w:p w14:paraId="68BDDD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表4-</w:t>
            </w:r>
            <w:r>
              <w:rPr>
                <w:rFonts w:hint="eastAsia" w:cs="Times New Roman"/>
                <w:b/>
                <w:color w:val="auto"/>
                <w:szCs w:val="21"/>
                <w:highlight w:val="none"/>
                <w:lang w:val="en-US" w:eastAsia="zh-CN"/>
              </w:rPr>
              <w:t>5</w:t>
            </w:r>
            <w:r>
              <w:rPr>
                <w:rFonts w:hint="default" w:ascii="Times New Roman" w:hAnsi="Times New Roman" w:eastAsia="宋体" w:cs="Times New Roman"/>
                <w:b/>
                <w:color w:val="auto"/>
                <w:szCs w:val="21"/>
                <w:highlight w:val="none"/>
                <w:lang w:val="en-US" w:eastAsia="zh-CN"/>
              </w:rPr>
              <w:t xml:space="preserve"> 本项目噪声产生环节及排放情况</w:t>
            </w:r>
          </w:p>
          <w:tbl>
            <w:tblPr>
              <w:tblStyle w:val="36"/>
              <w:tblW w:w="873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8"/>
              <w:gridCol w:w="740"/>
              <w:gridCol w:w="699"/>
              <w:gridCol w:w="1111"/>
              <w:gridCol w:w="663"/>
              <w:gridCol w:w="1277"/>
              <w:gridCol w:w="838"/>
              <w:gridCol w:w="796"/>
              <w:gridCol w:w="667"/>
              <w:gridCol w:w="667"/>
            </w:tblGrid>
            <w:tr w14:paraId="549786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6" w:hRule="atLeast"/>
                <w:jc w:val="center"/>
              </w:trPr>
              <w:tc>
                <w:tcPr>
                  <w:tcW w:w="1278" w:type="dxa"/>
                  <w:vMerge w:val="restart"/>
                  <w:noWrap w:val="0"/>
                  <w:vAlign w:val="center"/>
                </w:tcPr>
                <w:p w14:paraId="1042286C">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噪声源</w:t>
                  </w:r>
                </w:p>
              </w:tc>
              <w:tc>
                <w:tcPr>
                  <w:tcW w:w="740" w:type="dxa"/>
                  <w:vMerge w:val="restart"/>
                  <w:noWrap w:val="0"/>
                  <w:vAlign w:val="center"/>
                </w:tcPr>
                <w:p w14:paraId="20F69E22">
                  <w:pPr>
                    <w:pStyle w:val="67"/>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声源类型</w:t>
                  </w:r>
                </w:p>
              </w:tc>
              <w:tc>
                <w:tcPr>
                  <w:tcW w:w="2473" w:type="dxa"/>
                  <w:gridSpan w:val="3"/>
                  <w:noWrap w:val="0"/>
                  <w:vAlign w:val="center"/>
                </w:tcPr>
                <w:p w14:paraId="391D7DD2">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噪声产生量</w:t>
                  </w:r>
                </w:p>
              </w:tc>
              <w:tc>
                <w:tcPr>
                  <w:tcW w:w="2115" w:type="dxa"/>
                  <w:gridSpan w:val="2"/>
                  <w:noWrap w:val="0"/>
                  <w:vAlign w:val="center"/>
                </w:tcPr>
                <w:p w14:paraId="69629156">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降噪措施</w:t>
                  </w:r>
                </w:p>
              </w:tc>
              <w:tc>
                <w:tcPr>
                  <w:tcW w:w="796" w:type="dxa"/>
                  <w:vMerge w:val="restart"/>
                  <w:noWrap w:val="0"/>
                  <w:vAlign w:val="center"/>
                </w:tcPr>
                <w:p w14:paraId="77C9B021">
                  <w:pPr>
                    <w:pStyle w:val="67"/>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噪声排放量（dB（A）</w:t>
                  </w:r>
                </w:p>
              </w:tc>
              <w:tc>
                <w:tcPr>
                  <w:tcW w:w="667" w:type="dxa"/>
                  <w:vMerge w:val="restart"/>
                  <w:noWrap w:val="0"/>
                  <w:vAlign w:val="center"/>
                </w:tcPr>
                <w:p w14:paraId="6CAD6DCC">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持续时间（h）</w:t>
                  </w:r>
                </w:p>
              </w:tc>
              <w:tc>
                <w:tcPr>
                  <w:tcW w:w="667" w:type="dxa"/>
                  <w:vMerge w:val="restart"/>
                  <w:noWrap w:val="0"/>
                  <w:vAlign w:val="center"/>
                </w:tcPr>
                <w:p w14:paraId="69C49122">
                  <w:pPr>
                    <w:pStyle w:val="67"/>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000000"/>
                      <w:sz w:val="21"/>
                      <w:szCs w:val="21"/>
                      <w:highlight w:val="none"/>
                      <w:lang w:val="en-US" w:eastAsia="zh-CN"/>
                    </w:rPr>
                  </w:pPr>
                  <w:r>
                    <w:rPr>
                      <w:rFonts w:hint="eastAsia" w:ascii="Times New Roman" w:hAnsi="Times New Roman" w:cs="Times New Roman"/>
                      <w:b/>
                      <w:color w:val="000000"/>
                      <w:sz w:val="21"/>
                      <w:szCs w:val="21"/>
                      <w:highlight w:val="none"/>
                      <w:lang w:eastAsia="zh-CN"/>
                    </w:rPr>
                    <w:t>室内</w:t>
                  </w:r>
                  <w:r>
                    <w:rPr>
                      <w:rFonts w:hint="eastAsia" w:ascii="Times New Roman" w:hAnsi="Times New Roman" w:cs="Times New Roman"/>
                      <w:b/>
                      <w:color w:val="000000"/>
                      <w:sz w:val="21"/>
                      <w:szCs w:val="21"/>
                      <w:highlight w:val="none"/>
                      <w:lang w:val="en-US" w:eastAsia="zh-CN"/>
                    </w:rPr>
                    <w:t>/室外设备</w:t>
                  </w:r>
                </w:p>
              </w:tc>
            </w:tr>
            <w:tr w14:paraId="0B02A4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29" w:hRule="atLeast"/>
                <w:jc w:val="center"/>
              </w:trPr>
              <w:tc>
                <w:tcPr>
                  <w:tcW w:w="1278" w:type="dxa"/>
                  <w:vMerge w:val="continue"/>
                  <w:noWrap w:val="0"/>
                  <w:vAlign w:val="center"/>
                </w:tcPr>
                <w:p w14:paraId="79FF0886">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p>
              </w:tc>
              <w:tc>
                <w:tcPr>
                  <w:tcW w:w="740" w:type="dxa"/>
                  <w:vMerge w:val="continue"/>
                  <w:noWrap w:val="0"/>
                  <w:vAlign w:val="center"/>
                </w:tcPr>
                <w:p w14:paraId="018F0637">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p>
              </w:tc>
              <w:tc>
                <w:tcPr>
                  <w:tcW w:w="699" w:type="dxa"/>
                  <w:noWrap w:val="0"/>
                  <w:vAlign w:val="center"/>
                </w:tcPr>
                <w:p w14:paraId="54C11EBE">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核算方法</w:t>
                  </w:r>
                </w:p>
              </w:tc>
              <w:tc>
                <w:tcPr>
                  <w:tcW w:w="1111" w:type="dxa"/>
                  <w:noWrap w:val="0"/>
                  <w:vAlign w:val="center"/>
                </w:tcPr>
                <w:p w14:paraId="38B7A60F">
                  <w:pPr>
                    <w:pStyle w:val="67"/>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单台设备源强（dB（A））</w:t>
                  </w:r>
                </w:p>
              </w:tc>
              <w:tc>
                <w:tcPr>
                  <w:tcW w:w="663" w:type="dxa"/>
                  <w:noWrap w:val="0"/>
                  <w:vAlign w:val="center"/>
                </w:tcPr>
                <w:p w14:paraId="1DF07C7F">
                  <w:pPr>
                    <w:pStyle w:val="67"/>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数量（台/套）</w:t>
                  </w:r>
                </w:p>
              </w:tc>
              <w:tc>
                <w:tcPr>
                  <w:tcW w:w="1277" w:type="dxa"/>
                  <w:noWrap w:val="0"/>
                  <w:vAlign w:val="center"/>
                </w:tcPr>
                <w:p w14:paraId="4E71FD1A">
                  <w:pPr>
                    <w:pStyle w:val="67"/>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措施</w:t>
                  </w:r>
                </w:p>
              </w:tc>
              <w:tc>
                <w:tcPr>
                  <w:tcW w:w="838" w:type="dxa"/>
                  <w:noWrap w:val="0"/>
                  <w:vAlign w:val="center"/>
                </w:tcPr>
                <w:p w14:paraId="0BFD9219">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rPr>
                    <w:t>效果（dB（A））</w:t>
                  </w:r>
                </w:p>
              </w:tc>
              <w:tc>
                <w:tcPr>
                  <w:tcW w:w="796" w:type="dxa"/>
                  <w:vMerge w:val="continue"/>
                  <w:noWrap w:val="0"/>
                  <w:vAlign w:val="center"/>
                </w:tcPr>
                <w:p w14:paraId="7250FDF5">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p>
              </w:tc>
              <w:tc>
                <w:tcPr>
                  <w:tcW w:w="667" w:type="dxa"/>
                  <w:vMerge w:val="continue"/>
                  <w:noWrap w:val="0"/>
                  <w:vAlign w:val="center"/>
                </w:tcPr>
                <w:p w14:paraId="7AF7C800">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p>
              </w:tc>
              <w:tc>
                <w:tcPr>
                  <w:tcW w:w="667" w:type="dxa"/>
                  <w:vMerge w:val="continue"/>
                  <w:noWrap w:val="0"/>
                  <w:vAlign w:val="center"/>
                </w:tcPr>
                <w:p w14:paraId="777E1E23">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p>
              </w:tc>
            </w:tr>
            <w:tr w14:paraId="386D28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1278" w:type="dxa"/>
                  <w:shd w:val="clear" w:color="auto" w:fill="auto"/>
                  <w:noWrap w:val="0"/>
                  <w:vAlign w:val="center"/>
                </w:tcPr>
                <w:p w14:paraId="7C59C86C">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解聚均化搅拌机</w:t>
                  </w:r>
                </w:p>
              </w:tc>
              <w:tc>
                <w:tcPr>
                  <w:tcW w:w="740" w:type="dxa"/>
                  <w:noWrap w:val="0"/>
                  <w:vAlign w:val="center"/>
                </w:tcPr>
                <w:p w14:paraId="71B50244">
                  <w:pPr>
                    <w:pStyle w:val="67"/>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固定声源</w:t>
                  </w:r>
                </w:p>
              </w:tc>
              <w:tc>
                <w:tcPr>
                  <w:tcW w:w="699" w:type="dxa"/>
                  <w:noWrap w:val="0"/>
                  <w:vAlign w:val="center"/>
                </w:tcPr>
                <w:p w14:paraId="488A40B5">
                  <w:pPr>
                    <w:pStyle w:val="67"/>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类比法</w:t>
                  </w:r>
                </w:p>
              </w:tc>
              <w:tc>
                <w:tcPr>
                  <w:tcW w:w="1111" w:type="dxa"/>
                  <w:noWrap w:val="0"/>
                  <w:vAlign w:val="center"/>
                </w:tcPr>
                <w:p w14:paraId="43AF1EF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highlight w:val="none"/>
                      <w:lang w:val="en-US" w:eastAsia="zh-CN"/>
                    </w:rPr>
                  </w:pPr>
                  <w:r>
                    <w:rPr>
                      <w:rFonts w:hint="eastAsia" w:cs="Times New Roman"/>
                      <w:color w:val="000000"/>
                      <w:kern w:val="0"/>
                      <w:szCs w:val="21"/>
                      <w:highlight w:val="none"/>
                      <w:lang w:val="en-US" w:eastAsia="zh-CN"/>
                    </w:rPr>
                    <w:t>80</w:t>
                  </w:r>
                </w:p>
              </w:tc>
              <w:tc>
                <w:tcPr>
                  <w:tcW w:w="663" w:type="dxa"/>
                  <w:shd w:val="clear" w:color="auto" w:fill="auto"/>
                  <w:noWrap w:val="0"/>
                  <w:vAlign w:val="center"/>
                </w:tcPr>
                <w:p w14:paraId="372994F9">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6</w:t>
                  </w:r>
                </w:p>
              </w:tc>
              <w:tc>
                <w:tcPr>
                  <w:tcW w:w="1277" w:type="dxa"/>
                  <w:noWrap w:val="0"/>
                  <w:vAlign w:val="center"/>
                </w:tcPr>
                <w:p w14:paraId="6B6752BF">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000000"/>
                      <w:szCs w:val="21"/>
                      <w:highlight w:val="none"/>
                    </w:rPr>
                  </w:pPr>
                  <w:r>
                    <w:rPr>
                      <w:rFonts w:hint="eastAsia" w:ascii="Times New Roman" w:hAnsi="Times New Roman" w:cs="Times New Roman"/>
                      <w:bCs/>
                      <w:color w:val="000000"/>
                      <w:szCs w:val="21"/>
                      <w:highlight w:val="none"/>
                    </w:rPr>
                    <w:t>隔声、减振</w:t>
                  </w:r>
                </w:p>
              </w:tc>
              <w:tc>
                <w:tcPr>
                  <w:tcW w:w="838" w:type="dxa"/>
                  <w:noWrap w:val="0"/>
                  <w:vAlign w:val="center"/>
                </w:tcPr>
                <w:p w14:paraId="45C00485">
                  <w:pPr>
                    <w:pStyle w:val="67"/>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25</w:t>
                  </w:r>
                </w:p>
              </w:tc>
              <w:tc>
                <w:tcPr>
                  <w:tcW w:w="796" w:type="dxa"/>
                  <w:noWrap w:val="0"/>
                  <w:vAlign w:val="center"/>
                </w:tcPr>
                <w:p w14:paraId="3E921DC7">
                  <w:pPr>
                    <w:pStyle w:val="67"/>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55</w:t>
                  </w:r>
                </w:p>
              </w:tc>
              <w:tc>
                <w:tcPr>
                  <w:tcW w:w="667" w:type="dxa"/>
                  <w:noWrap w:val="0"/>
                  <w:vAlign w:val="center"/>
                </w:tcPr>
                <w:p w14:paraId="12C3D6F8">
                  <w:pPr>
                    <w:pStyle w:val="67"/>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2400</w:t>
                  </w:r>
                </w:p>
              </w:tc>
              <w:tc>
                <w:tcPr>
                  <w:tcW w:w="667" w:type="dxa"/>
                  <w:noWrap w:val="0"/>
                  <w:vAlign w:val="center"/>
                </w:tcPr>
                <w:p w14:paraId="182E9928">
                  <w:pPr>
                    <w:pStyle w:val="67"/>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color w:val="000000"/>
                      <w:sz w:val="21"/>
                      <w:szCs w:val="21"/>
                      <w:highlight w:val="none"/>
                      <w:lang w:eastAsia="zh-CN"/>
                    </w:rPr>
                  </w:pPr>
                  <w:r>
                    <w:rPr>
                      <w:rFonts w:hint="eastAsia" w:ascii="Times New Roman" w:hAnsi="Times New Roman" w:cs="Times New Roman"/>
                      <w:bCs/>
                      <w:color w:val="000000"/>
                      <w:sz w:val="21"/>
                      <w:szCs w:val="21"/>
                      <w:highlight w:val="none"/>
                      <w:lang w:eastAsia="zh-CN"/>
                    </w:rPr>
                    <w:t>室内</w:t>
                  </w:r>
                </w:p>
              </w:tc>
            </w:tr>
            <w:tr w14:paraId="2DC9BE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1278" w:type="dxa"/>
                  <w:shd w:val="clear" w:color="auto" w:fill="auto"/>
                  <w:noWrap w:val="0"/>
                  <w:vAlign w:val="center"/>
                </w:tcPr>
                <w:p w14:paraId="6496755D">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磁选机</w:t>
                  </w:r>
                </w:p>
              </w:tc>
              <w:tc>
                <w:tcPr>
                  <w:tcW w:w="740" w:type="dxa"/>
                  <w:noWrap w:val="0"/>
                  <w:vAlign w:val="center"/>
                </w:tcPr>
                <w:p w14:paraId="2281203F">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固定声源</w:t>
                  </w:r>
                </w:p>
              </w:tc>
              <w:tc>
                <w:tcPr>
                  <w:tcW w:w="699" w:type="dxa"/>
                  <w:noWrap w:val="0"/>
                  <w:vAlign w:val="center"/>
                </w:tcPr>
                <w:p w14:paraId="03AA9357">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类比法</w:t>
                  </w:r>
                </w:p>
              </w:tc>
              <w:tc>
                <w:tcPr>
                  <w:tcW w:w="1111" w:type="dxa"/>
                  <w:noWrap w:val="0"/>
                  <w:vAlign w:val="center"/>
                </w:tcPr>
                <w:p w14:paraId="5C847234">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highlight w:val="none"/>
                      <w:lang w:val="en-US"/>
                    </w:rPr>
                  </w:pPr>
                  <w:r>
                    <w:rPr>
                      <w:rFonts w:hint="eastAsia" w:cs="Times New Roman"/>
                      <w:color w:val="000000"/>
                      <w:kern w:val="0"/>
                      <w:szCs w:val="21"/>
                      <w:highlight w:val="none"/>
                      <w:lang w:val="en-US" w:eastAsia="zh-CN"/>
                    </w:rPr>
                    <w:t>75</w:t>
                  </w:r>
                </w:p>
              </w:tc>
              <w:tc>
                <w:tcPr>
                  <w:tcW w:w="663" w:type="dxa"/>
                  <w:shd w:val="clear" w:color="auto" w:fill="auto"/>
                  <w:noWrap w:val="0"/>
                  <w:vAlign w:val="center"/>
                </w:tcPr>
                <w:p w14:paraId="79C1E1E1">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2</w:t>
                  </w:r>
                </w:p>
              </w:tc>
              <w:tc>
                <w:tcPr>
                  <w:tcW w:w="1277" w:type="dxa"/>
                  <w:noWrap w:val="0"/>
                  <w:vAlign w:val="center"/>
                </w:tcPr>
                <w:p w14:paraId="1384B113">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Cs w:val="21"/>
                      <w:highlight w:val="none"/>
                    </w:rPr>
                    <w:t>隔声、减振</w:t>
                  </w:r>
                </w:p>
              </w:tc>
              <w:tc>
                <w:tcPr>
                  <w:tcW w:w="838" w:type="dxa"/>
                  <w:noWrap w:val="0"/>
                  <w:vAlign w:val="center"/>
                </w:tcPr>
                <w:p w14:paraId="445499B8">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 w:val="21"/>
                      <w:szCs w:val="21"/>
                      <w:highlight w:val="none"/>
                      <w:lang w:val="en-US" w:eastAsia="zh-CN"/>
                    </w:rPr>
                    <w:t>25</w:t>
                  </w:r>
                </w:p>
              </w:tc>
              <w:tc>
                <w:tcPr>
                  <w:tcW w:w="796" w:type="dxa"/>
                  <w:noWrap w:val="0"/>
                  <w:vAlign w:val="center"/>
                </w:tcPr>
                <w:p w14:paraId="3C8C639D">
                  <w:pPr>
                    <w:pStyle w:val="67"/>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50</w:t>
                  </w:r>
                </w:p>
              </w:tc>
              <w:tc>
                <w:tcPr>
                  <w:tcW w:w="667" w:type="dxa"/>
                  <w:noWrap w:val="0"/>
                  <w:vAlign w:val="center"/>
                </w:tcPr>
                <w:p w14:paraId="727BEA0C">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2400</w:t>
                  </w:r>
                </w:p>
              </w:tc>
              <w:tc>
                <w:tcPr>
                  <w:tcW w:w="667" w:type="dxa"/>
                  <w:noWrap w:val="0"/>
                  <w:vAlign w:val="center"/>
                </w:tcPr>
                <w:p w14:paraId="0AED9D47">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lang w:eastAsia="zh-CN"/>
                    </w:rPr>
                    <w:t>室内</w:t>
                  </w:r>
                </w:p>
              </w:tc>
            </w:tr>
            <w:tr w14:paraId="7A4DCA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1278" w:type="dxa"/>
                  <w:shd w:val="clear" w:color="auto" w:fill="auto"/>
                  <w:noWrap w:val="0"/>
                  <w:vAlign w:val="center"/>
                </w:tcPr>
                <w:p w14:paraId="0205AF03">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球磨机</w:t>
                  </w:r>
                </w:p>
              </w:tc>
              <w:tc>
                <w:tcPr>
                  <w:tcW w:w="740" w:type="dxa"/>
                  <w:noWrap w:val="0"/>
                  <w:vAlign w:val="center"/>
                </w:tcPr>
                <w:p w14:paraId="6DBBC28E">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固定声源</w:t>
                  </w:r>
                </w:p>
              </w:tc>
              <w:tc>
                <w:tcPr>
                  <w:tcW w:w="699" w:type="dxa"/>
                  <w:noWrap w:val="0"/>
                  <w:vAlign w:val="center"/>
                </w:tcPr>
                <w:p w14:paraId="406FECFE">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类比法</w:t>
                  </w:r>
                </w:p>
              </w:tc>
              <w:tc>
                <w:tcPr>
                  <w:tcW w:w="1111" w:type="dxa"/>
                  <w:noWrap w:val="0"/>
                  <w:vAlign w:val="center"/>
                </w:tcPr>
                <w:p w14:paraId="00E5A91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highlight w:val="none"/>
                      <w:lang w:val="en-US" w:eastAsia="zh-CN"/>
                    </w:rPr>
                  </w:pPr>
                  <w:r>
                    <w:rPr>
                      <w:rFonts w:hint="eastAsia" w:cs="Times New Roman"/>
                      <w:color w:val="000000"/>
                      <w:kern w:val="0"/>
                      <w:szCs w:val="21"/>
                      <w:highlight w:val="none"/>
                      <w:lang w:val="en-US" w:eastAsia="zh-CN"/>
                    </w:rPr>
                    <w:t>85</w:t>
                  </w:r>
                </w:p>
              </w:tc>
              <w:tc>
                <w:tcPr>
                  <w:tcW w:w="663" w:type="dxa"/>
                  <w:shd w:val="clear" w:color="auto" w:fill="auto"/>
                  <w:noWrap w:val="0"/>
                  <w:vAlign w:val="center"/>
                </w:tcPr>
                <w:p w14:paraId="73D03E58">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12</w:t>
                  </w:r>
                </w:p>
              </w:tc>
              <w:tc>
                <w:tcPr>
                  <w:tcW w:w="1277" w:type="dxa"/>
                  <w:noWrap w:val="0"/>
                  <w:vAlign w:val="center"/>
                </w:tcPr>
                <w:p w14:paraId="734F7452">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Cs w:val="21"/>
                      <w:highlight w:val="none"/>
                    </w:rPr>
                    <w:t>隔声、减振</w:t>
                  </w:r>
                </w:p>
              </w:tc>
              <w:tc>
                <w:tcPr>
                  <w:tcW w:w="838" w:type="dxa"/>
                  <w:noWrap w:val="0"/>
                  <w:vAlign w:val="center"/>
                </w:tcPr>
                <w:p w14:paraId="63994ECD">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 w:val="21"/>
                      <w:szCs w:val="21"/>
                      <w:highlight w:val="none"/>
                      <w:lang w:val="en-US" w:eastAsia="zh-CN"/>
                    </w:rPr>
                    <w:t>25</w:t>
                  </w:r>
                </w:p>
              </w:tc>
              <w:tc>
                <w:tcPr>
                  <w:tcW w:w="796" w:type="dxa"/>
                  <w:noWrap w:val="0"/>
                  <w:vAlign w:val="center"/>
                </w:tcPr>
                <w:p w14:paraId="2A9A1548">
                  <w:pPr>
                    <w:pStyle w:val="67"/>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60</w:t>
                  </w:r>
                </w:p>
              </w:tc>
              <w:tc>
                <w:tcPr>
                  <w:tcW w:w="667" w:type="dxa"/>
                  <w:noWrap w:val="0"/>
                  <w:vAlign w:val="center"/>
                </w:tcPr>
                <w:p w14:paraId="53E13572">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2400</w:t>
                  </w:r>
                </w:p>
              </w:tc>
              <w:tc>
                <w:tcPr>
                  <w:tcW w:w="667" w:type="dxa"/>
                  <w:noWrap w:val="0"/>
                  <w:vAlign w:val="center"/>
                </w:tcPr>
                <w:p w14:paraId="07789F86">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lang w:eastAsia="zh-CN"/>
                    </w:rPr>
                    <w:t>室内</w:t>
                  </w:r>
                </w:p>
              </w:tc>
            </w:tr>
            <w:tr w14:paraId="0496B6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7" w:hRule="atLeast"/>
                <w:jc w:val="center"/>
              </w:trPr>
              <w:tc>
                <w:tcPr>
                  <w:tcW w:w="1278" w:type="dxa"/>
                  <w:shd w:val="clear" w:color="auto" w:fill="auto"/>
                  <w:noWrap w:val="0"/>
                  <w:vAlign w:val="center"/>
                </w:tcPr>
                <w:p w14:paraId="0DD32485">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气流筛分机</w:t>
                  </w:r>
                </w:p>
              </w:tc>
              <w:tc>
                <w:tcPr>
                  <w:tcW w:w="740" w:type="dxa"/>
                  <w:noWrap w:val="0"/>
                  <w:vAlign w:val="center"/>
                </w:tcPr>
                <w:p w14:paraId="37CDCFB0">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固定声源</w:t>
                  </w:r>
                </w:p>
              </w:tc>
              <w:tc>
                <w:tcPr>
                  <w:tcW w:w="699" w:type="dxa"/>
                  <w:noWrap w:val="0"/>
                  <w:vAlign w:val="center"/>
                </w:tcPr>
                <w:p w14:paraId="1246905E">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类比法</w:t>
                  </w:r>
                </w:p>
              </w:tc>
              <w:tc>
                <w:tcPr>
                  <w:tcW w:w="1111" w:type="dxa"/>
                  <w:noWrap w:val="0"/>
                  <w:vAlign w:val="center"/>
                </w:tcPr>
                <w:p w14:paraId="500614A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highlight w:val="none"/>
                      <w:lang w:val="en-US" w:eastAsia="zh-CN"/>
                    </w:rPr>
                  </w:pPr>
                  <w:r>
                    <w:rPr>
                      <w:rFonts w:hint="eastAsia" w:cs="Times New Roman"/>
                      <w:color w:val="000000"/>
                      <w:kern w:val="0"/>
                      <w:szCs w:val="21"/>
                      <w:highlight w:val="none"/>
                      <w:lang w:val="en-US" w:eastAsia="zh-CN"/>
                    </w:rPr>
                    <w:t>80</w:t>
                  </w:r>
                </w:p>
              </w:tc>
              <w:tc>
                <w:tcPr>
                  <w:tcW w:w="663" w:type="dxa"/>
                  <w:shd w:val="clear" w:color="auto" w:fill="auto"/>
                  <w:noWrap w:val="0"/>
                  <w:vAlign w:val="center"/>
                </w:tcPr>
                <w:p w14:paraId="0A9B2E52">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2</w:t>
                  </w:r>
                </w:p>
              </w:tc>
              <w:tc>
                <w:tcPr>
                  <w:tcW w:w="1277" w:type="dxa"/>
                  <w:noWrap w:val="0"/>
                  <w:vAlign w:val="center"/>
                </w:tcPr>
                <w:p w14:paraId="309437F7">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Cs w:val="21"/>
                      <w:highlight w:val="none"/>
                    </w:rPr>
                    <w:t>隔声、减振</w:t>
                  </w:r>
                </w:p>
              </w:tc>
              <w:tc>
                <w:tcPr>
                  <w:tcW w:w="838" w:type="dxa"/>
                  <w:noWrap w:val="0"/>
                  <w:vAlign w:val="center"/>
                </w:tcPr>
                <w:p w14:paraId="12091DAD">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Cs w:val="21"/>
                      <w:highlight w:val="none"/>
                    </w:rPr>
                  </w:pPr>
                  <w:r>
                    <w:rPr>
                      <w:rFonts w:hint="eastAsia" w:ascii="Times New Roman" w:hAnsi="Times New Roman" w:cs="Times New Roman"/>
                      <w:bCs/>
                      <w:color w:val="000000"/>
                      <w:sz w:val="21"/>
                      <w:szCs w:val="21"/>
                      <w:highlight w:val="none"/>
                      <w:lang w:val="en-US" w:eastAsia="zh-CN"/>
                    </w:rPr>
                    <w:t>25</w:t>
                  </w:r>
                </w:p>
              </w:tc>
              <w:tc>
                <w:tcPr>
                  <w:tcW w:w="796" w:type="dxa"/>
                  <w:noWrap w:val="0"/>
                  <w:vAlign w:val="center"/>
                </w:tcPr>
                <w:p w14:paraId="74BD8C59">
                  <w:pPr>
                    <w:pStyle w:val="67"/>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55</w:t>
                  </w:r>
                </w:p>
              </w:tc>
              <w:tc>
                <w:tcPr>
                  <w:tcW w:w="667" w:type="dxa"/>
                  <w:noWrap w:val="0"/>
                  <w:vAlign w:val="center"/>
                </w:tcPr>
                <w:p w14:paraId="5A56D6FE">
                  <w:pPr>
                    <w:pStyle w:val="67"/>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rPr>
                    <w:t>2400</w:t>
                  </w:r>
                </w:p>
              </w:tc>
              <w:tc>
                <w:tcPr>
                  <w:tcW w:w="667" w:type="dxa"/>
                  <w:noWrap w:val="0"/>
                  <w:vAlign w:val="center"/>
                </w:tcPr>
                <w:p w14:paraId="07CA7D58">
                  <w:pPr>
                    <w:keepNext w:val="0"/>
                    <w:keepLines w:val="0"/>
                    <w:suppressLineNumbers w:val="0"/>
                    <w:snapToGrid w:val="0"/>
                    <w:spacing w:before="0" w:beforeAutospacing="0" w:after="0" w:afterAutospacing="0"/>
                    <w:ind w:left="0" w:right="0"/>
                    <w:jc w:val="center"/>
                    <w:rPr>
                      <w:rFonts w:hint="eastAsia" w:ascii="Times New Roman" w:hAnsi="Times New Roman" w:cs="Times New Roman"/>
                      <w:bCs/>
                      <w:color w:val="000000"/>
                      <w:sz w:val="21"/>
                      <w:szCs w:val="21"/>
                      <w:highlight w:val="none"/>
                    </w:rPr>
                  </w:pPr>
                  <w:r>
                    <w:rPr>
                      <w:rFonts w:hint="eastAsia" w:ascii="Times New Roman" w:hAnsi="Times New Roman" w:cs="Times New Roman"/>
                      <w:bCs/>
                      <w:color w:val="000000"/>
                      <w:sz w:val="21"/>
                      <w:szCs w:val="21"/>
                      <w:highlight w:val="none"/>
                      <w:lang w:eastAsia="zh-CN"/>
                    </w:rPr>
                    <w:t>室内</w:t>
                  </w:r>
                </w:p>
              </w:tc>
            </w:tr>
            <w:tr w14:paraId="6BEE6B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1" w:hRule="atLeast"/>
                <w:jc w:val="center"/>
              </w:trPr>
              <w:tc>
                <w:tcPr>
                  <w:tcW w:w="1278" w:type="dxa"/>
                  <w:shd w:val="clear" w:color="auto" w:fill="auto"/>
                  <w:noWrap w:val="0"/>
                  <w:vAlign w:val="center"/>
                </w:tcPr>
                <w:p w14:paraId="69EA4417">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bCs/>
                      <w:color w:val="000000"/>
                      <w:szCs w:val="21"/>
                      <w:highlight w:val="none"/>
                      <w:lang w:val="en-US" w:eastAsia="zh-CN"/>
                    </w:rPr>
                    <w:t>DA001配套风机</w:t>
                  </w:r>
                </w:p>
              </w:tc>
              <w:tc>
                <w:tcPr>
                  <w:tcW w:w="740" w:type="dxa"/>
                  <w:shd w:val="clear" w:color="auto" w:fill="auto"/>
                  <w:noWrap w:val="0"/>
                  <w:vAlign w:val="center"/>
                </w:tcPr>
                <w:p w14:paraId="54DD193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bCs/>
                      <w:color w:val="000000"/>
                      <w:szCs w:val="21"/>
                      <w:highlight w:val="none"/>
                    </w:rPr>
                    <w:t>固定声源</w:t>
                  </w:r>
                </w:p>
              </w:tc>
              <w:tc>
                <w:tcPr>
                  <w:tcW w:w="699" w:type="dxa"/>
                  <w:shd w:val="clear" w:color="auto" w:fill="auto"/>
                  <w:noWrap w:val="0"/>
                  <w:vAlign w:val="center"/>
                </w:tcPr>
                <w:p w14:paraId="0E363417">
                  <w:pPr>
                    <w:pStyle w:val="67"/>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sz w:val="21"/>
                      <w:szCs w:val="21"/>
                      <w:highlight w:val="none"/>
                      <w:lang w:val="en-US" w:eastAsia="zh-CN" w:bidi="ar-SA"/>
                    </w:rPr>
                  </w:pPr>
                  <w:r>
                    <w:rPr>
                      <w:rFonts w:hint="eastAsia" w:ascii="Times New Roman" w:hAnsi="Times New Roman" w:cs="Times New Roman"/>
                      <w:bCs/>
                      <w:color w:val="000000"/>
                      <w:sz w:val="21"/>
                      <w:szCs w:val="21"/>
                      <w:highlight w:val="none"/>
                    </w:rPr>
                    <w:t>类比法</w:t>
                  </w:r>
                </w:p>
              </w:tc>
              <w:tc>
                <w:tcPr>
                  <w:tcW w:w="1111" w:type="dxa"/>
                  <w:shd w:val="clear" w:color="auto" w:fill="auto"/>
                  <w:noWrap w:val="0"/>
                  <w:vAlign w:val="center"/>
                </w:tcPr>
                <w:p w14:paraId="7FF3D52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color w:val="000000"/>
                      <w:kern w:val="0"/>
                      <w:szCs w:val="21"/>
                      <w:highlight w:val="none"/>
                    </w:rPr>
                    <w:t>90</w:t>
                  </w:r>
                </w:p>
              </w:tc>
              <w:tc>
                <w:tcPr>
                  <w:tcW w:w="663" w:type="dxa"/>
                  <w:shd w:val="clear" w:color="auto" w:fill="auto"/>
                  <w:noWrap w:val="0"/>
                  <w:vAlign w:val="center"/>
                </w:tcPr>
                <w:p w14:paraId="51D3A727">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w:t>
                  </w:r>
                </w:p>
              </w:tc>
              <w:tc>
                <w:tcPr>
                  <w:tcW w:w="1277" w:type="dxa"/>
                  <w:shd w:val="clear" w:color="auto" w:fill="auto"/>
                  <w:noWrap w:val="0"/>
                  <w:vAlign w:val="center"/>
                </w:tcPr>
                <w:p w14:paraId="253E651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bCs/>
                      <w:color w:val="000000"/>
                      <w:szCs w:val="21"/>
                      <w:highlight w:val="none"/>
                      <w:lang w:val="en-US" w:eastAsia="zh-CN"/>
                    </w:rPr>
                    <w:t>隔声罩</w:t>
                  </w:r>
                  <w:r>
                    <w:rPr>
                      <w:rFonts w:hint="eastAsia" w:cs="Times New Roman"/>
                      <w:bCs/>
                      <w:color w:val="000000"/>
                      <w:szCs w:val="21"/>
                      <w:highlight w:val="none"/>
                      <w:lang w:val="en-US" w:eastAsia="zh-CN"/>
                    </w:rPr>
                    <w:t>、</w:t>
                  </w:r>
                  <w:r>
                    <w:rPr>
                      <w:rFonts w:hint="eastAsia" w:ascii="Times New Roman" w:hAnsi="Times New Roman" w:cs="Times New Roman"/>
                      <w:bCs/>
                      <w:color w:val="000000"/>
                      <w:szCs w:val="21"/>
                      <w:highlight w:val="none"/>
                    </w:rPr>
                    <w:t>隔声、减振</w:t>
                  </w:r>
                  <w:r>
                    <w:rPr>
                      <w:rFonts w:hint="eastAsia" w:cs="Times New Roman"/>
                      <w:bCs/>
                      <w:color w:val="000000"/>
                      <w:szCs w:val="21"/>
                      <w:highlight w:val="none"/>
                      <w:lang w:eastAsia="zh-CN"/>
                    </w:rPr>
                    <w:t>、</w:t>
                  </w:r>
                </w:p>
              </w:tc>
              <w:tc>
                <w:tcPr>
                  <w:tcW w:w="838" w:type="dxa"/>
                  <w:shd w:val="clear" w:color="auto" w:fill="auto"/>
                  <w:noWrap w:val="0"/>
                  <w:vAlign w:val="center"/>
                </w:tcPr>
                <w:p w14:paraId="0ABF3F2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cs="Times New Roman"/>
                      <w:bCs/>
                      <w:color w:val="000000"/>
                      <w:sz w:val="21"/>
                      <w:szCs w:val="21"/>
                      <w:highlight w:val="none"/>
                      <w:lang w:val="en-US" w:eastAsia="zh-CN"/>
                    </w:rPr>
                    <w:t>35</w:t>
                  </w:r>
                </w:p>
              </w:tc>
              <w:tc>
                <w:tcPr>
                  <w:tcW w:w="796" w:type="dxa"/>
                  <w:shd w:val="clear" w:color="auto" w:fill="auto"/>
                  <w:noWrap w:val="0"/>
                  <w:vAlign w:val="center"/>
                </w:tcPr>
                <w:p w14:paraId="4BCC2012">
                  <w:pPr>
                    <w:pStyle w:val="67"/>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000000"/>
                      <w:sz w:val="21"/>
                      <w:szCs w:val="21"/>
                      <w:highlight w:val="none"/>
                      <w:lang w:val="en-US" w:eastAsia="zh-CN" w:bidi="ar-SA"/>
                    </w:rPr>
                  </w:pPr>
                  <w:r>
                    <w:rPr>
                      <w:rFonts w:hint="eastAsia" w:ascii="Times New Roman" w:hAnsi="Times New Roman" w:cs="Times New Roman"/>
                      <w:bCs/>
                      <w:color w:val="000000"/>
                      <w:sz w:val="21"/>
                      <w:szCs w:val="21"/>
                      <w:highlight w:val="none"/>
                      <w:lang w:val="en-US" w:eastAsia="zh-CN" w:bidi="ar-SA"/>
                    </w:rPr>
                    <w:t>65</w:t>
                  </w:r>
                </w:p>
              </w:tc>
              <w:tc>
                <w:tcPr>
                  <w:tcW w:w="667" w:type="dxa"/>
                  <w:shd w:val="clear" w:color="auto" w:fill="auto"/>
                  <w:noWrap w:val="0"/>
                  <w:vAlign w:val="center"/>
                </w:tcPr>
                <w:p w14:paraId="71AC0F4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bCs/>
                      <w:color w:val="000000"/>
                      <w:szCs w:val="21"/>
                      <w:highlight w:val="none"/>
                    </w:rPr>
                    <w:t>2400</w:t>
                  </w:r>
                </w:p>
              </w:tc>
              <w:tc>
                <w:tcPr>
                  <w:tcW w:w="667" w:type="dxa"/>
                  <w:shd w:val="clear" w:color="auto" w:fill="auto"/>
                  <w:noWrap w:val="0"/>
                  <w:vAlign w:val="center"/>
                </w:tcPr>
                <w:p w14:paraId="6750758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bCs/>
                      <w:color w:val="000000"/>
                      <w:sz w:val="21"/>
                      <w:szCs w:val="21"/>
                      <w:highlight w:val="none"/>
                      <w:lang w:eastAsia="zh-CN"/>
                    </w:rPr>
                    <w:t>室内</w:t>
                  </w:r>
                </w:p>
              </w:tc>
            </w:tr>
          </w:tbl>
          <w:p w14:paraId="09073513">
            <w:pPr>
              <w:keepNext w:val="0"/>
              <w:keepLines w:val="0"/>
              <w:suppressLineNumbers w:val="0"/>
              <w:adjustRightInd w:val="0"/>
              <w:snapToGrid w:val="0"/>
              <w:spacing w:before="0" w:beforeAutospacing="0" w:after="0" w:afterAutospacing="0"/>
              <w:ind w:left="0" w:right="0"/>
              <w:jc w:val="center"/>
              <w:rPr>
                <w:rFonts w:hint="default"/>
              </w:rPr>
            </w:pPr>
          </w:p>
          <w:p w14:paraId="24B446CA">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000000"/>
                <w:szCs w:val="21"/>
                <w:highlight w:val="none"/>
                <w:lang w:val="en-US" w:eastAsia="zh-CN"/>
              </w:rPr>
            </w:pPr>
            <w:r>
              <w:rPr>
                <w:rFonts w:hint="default"/>
              </w:rPr>
              <w:drawing>
                <wp:inline distT="0" distB="0" distL="114300" distR="114300">
                  <wp:extent cx="3181985" cy="3432810"/>
                  <wp:effectExtent l="0" t="0" r="18415" b="1524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26"/>
                          <a:stretch>
                            <a:fillRect/>
                          </a:stretch>
                        </pic:blipFill>
                        <pic:spPr>
                          <a:xfrm>
                            <a:off x="0" y="0"/>
                            <a:ext cx="3181985" cy="3432810"/>
                          </a:xfrm>
                          <a:prstGeom prst="rect">
                            <a:avLst/>
                          </a:prstGeom>
                          <a:noFill/>
                          <a:ln>
                            <a:noFill/>
                          </a:ln>
                        </pic:spPr>
                      </pic:pic>
                    </a:graphicData>
                  </a:graphic>
                </wp:inline>
              </w:drawing>
            </w:r>
          </w:p>
          <w:p w14:paraId="6E7469E6">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000000"/>
                <w:szCs w:val="21"/>
                <w:highlight w:val="none"/>
                <w:lang w:val="en-US" w:eastAsia="zh-CN"/>
              </w:rPr>
            </w:pPr>
            <w:r>
              <w:rPr>
                <w:rFonts w:hint="eastAsia" w:ascii="宋体" w:hAnsi="宋体" w:cs="宋体"/>
                <w:b/>
                <w:bCs w:val="0"/>
                <w:color w:val="000000"/>
                <w:szCs w:val="21"/>
                <w:highlight w:val="none"/>
                <w:lang w:val="en-US" w:eastAsia="zh-CN"/>
              </w:rPr>
              <w:t>图4-1 项目建构筑物、噪声产噪设备背景位图</w:t>
            </w:r>
          </w:p>
          <w:p w14:paraId="6851657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000000"/>
                <w:szCs w:val="21"/>
                <w:highlight w:val="none"/>
                <w:lang w:eastAsia="zh-CN"/>
              </w:rPr>
            </w:pPr>
            <w:r>
              <w:rPr>
                <w:rFonts w:hint="default"/>
              </w:rPr>
              <w:drawing>
                <wp:inline distT="0" distB="0" distL="114300" distR="114300">
                  <wp:extent cx="5542915" cy="4481195"/>
                  <wp:effectExtent l="0" t="0" r="635" b="1460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7"/>
                          <a:stretch>
                            <a:fillRect/>
                          </a:stretch>
                        </pic:blipFill>
                        <pic:spPr>
                          <a:xfrm>
                            <a:off x="0" y="0"/>
                            <a:ext cx="5542915" cy="4481195"/>
                          </a:xfrm>
                          <a:prstGeom prst="rect">
                            <a:avLst/>
                          </a:prstGeom>
                          <a:noFill/>
                          <a:ln>
                            <a:noFill/>
                          </a:ln>
                        </pic:spPr>
                      </pic:pic>
                    </a:graphicData>
                  </a:graphic>
                </wp:inline>
              </w:drawing>
            </w:r>
            <w:r>
              <w:rPr>
                <w:rFonts w:hint="default"/>
              </w:rPr>
              <w:drawing>
                <wp:inline distT="0" distB="0" distL="114300" distR="114300">
                  <wp:extent cx="5546725" cy="1497965"/>
                  <wp:effectExtent l="0" t="0" r="15875" b="698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8"/>
                          <a:stretch>
                            <a:fillRect/>
                          </a:stretch>
                        </pic:blipFill>
                        <pic:spPr>
                          <a:xfrm>
                            <a:off x="0" y="0"/>
                            <a:ext cx="5546725" cy="1497965"/>
                          </a:xfrm>
                          <a:prstGeom prst="rect">
                            <a:avLst/>
                          </a:prstGeom>
                          <a:noFill/>
                          <a:ln>
                            <a:noFill/>
                          </a:ln>
                        </pic:spPr>
                      </pic:pic>
                    </a:graphicData>
                  </a:graphic>
                </wp:inline>
              </w:drawing>
            </w:r>
          </w:p>
          <w:p w14:paraId="07F035DE">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Cs/>
                <w:color w:val="000000"/>
                <w:szCs w:val="21"/>
                <w:highlight w:val="none"/>
                <w:lang w:val="en-US" w:eastAsia="zh-CN"/>
              </w:rPr>
            </w:pPr>
            <w:r>
              <w:rPr>
                <w:rFonts w:hint="eastAsia" w:ascii="宋体" w:hAnsi="宋体" w:cs="宋体"/>
                <w:b/>
                <w:bCs w:val="0"/>
                <w:color w:val="000000"/>
                <w:szCs w:val="21"/>
                <w:highlight w:val="none"/>
                <w:lang w:val="en-US" w:eastAsia="zh-CN"/>
              </w:rPr>
              <w:t>图4-2 噪声设备工业声源属性表</w:t>
            </w:r>
          </w:p>
          <w:p w14:paraId="299ED11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highlight w:val="none"/>
                <w:lang w:eastAsia="zh-CN"/>
              </w:rPr>
            </w:pPr>
            <w:r>
              <w:rPr>
                <w:rFonts w:hint="default"/>
              </w:rPr>
              <w:drawing>
                <wp:inline distT="0" distB="0" distL="114300" distR="114300">
                  <wp:extent cx="5544820" cy="2118995"/>
                  <wp:effectExtent l="0" t="0" r="17780" b="1460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9"/>
                          <a:stretch>
                            <a:fillRect/>
                          </a:stretch>
                        </pic:blipFill>
                        <pic:spPr>
                          <a:xfrm>
                            <a:off x="0" y="0"/>
                            <a:ext cx="5544820" cy="2118995"/>
                          </a:xfrm>
                          <a:prstGeom prst="rect">
                            <a:avLst/>
                          </a:prstGeom>
                          <a:noFill/>
                          <a:ln>
                            <a:noFill/>
                          </a:ln>
                        </pic:spPr>
                      </pic:pic>
                    </a:graphicData>
                  </a:graphic>
                </wp:inline>
              </w:drawing>
            </w:r>
          </w:p>
          <w:p w14:paraId="1D9F1CEC">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000000"/>
                <w:szCs w:val="21"/>
                <w:highlight w:val="none"/>
                <w:lang w:val="en-US" w:eastAsia="zh-CN"/>
              </w:rPr>
            </w:pPr>
            <w:r>
              <w:rPr>
                <w:rFonts w:hint="eastAsia" w:ascii="宋体" w:hAnsi="宋体" w:cs="宋体"/>
                <w:b/>
                <w:bCs w:val="0"/>
                <w:color w:val="000000"/>
                <w:szCs w:val="21"/>
                <w:highlight w:val="none"/>
                <w:lang w:val="en-US" w:eastAsia="zh-CN"/>
              </w:rPr>
              <w:t>图4-3 建筑物衰减降噪属性表</w:t>
            </w:r>
          </w:p>
          <w:p w14:paraId="22728232">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Fonts w:hint="eastAsia" w:ascii="宋体" w:hAnsi="宋体" w:cs="宋体"/>
                <w:color w:val="000000"/>
                <w:sz w:val="24"/>
                <w:highlight w:val="none"/>
              </w:rPr>
            </w:pPr>
            <w:r>
              <w:rPr>
                <w:rFonts w:hint="eastAsia" w:ascii="宋体" w:hAnsi="宋体" w:cs="宋体"/>
                <w:color w:val="000000"/>
                <w:sz w:val="24"/>
                <w:highlight w:val="none"/>
              </w:rPr>
              <w:t>（2）噪声防治措施</w:t>
            </w:r>
          </w:p>
          <w:p w14:paraId="06B9F690">
            <w:pPr>
              <w:keepNext w:val="0"/>
              <w:keepLines w:val="0"/>
              <w:suppressLineNumbers w:val="0"/>
              <w:spacing w:before="0" w:beforeAutospacing="0" w:after="0" w:afterAutospacing="0" w:line="360" w:lineRule="auto"/>
              <w:ind w:left="0" w:right="0" w:firstLine="470" w:firstLineChars="196"/>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针对该项目噪声源的特点，项目采取如下措施：</w:t>
            </w:r>
          </w:p>
          <w:p w14:paraId="5A3E06A8">
            <w:pPr>
              <w:keepNext w:val="0"/>
              <w:keepLines w:val="0"/>
              <w:suppressLineNumbers w:val="0"/>
              <w:spacing w:before="0" w:beforeAutospacing="0" w:after="0" w:afterAutospacing="0" w:line="360" w:lineRule="auto"/>
              <w:ind w:left="0" w:right="0" w:firstLine="470" w:firstLineChars="196"/>
              <w:jc w:val="left"/>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rPr>
              <w:t>（1）</w:t>
            </w:r>
            <w:r>
              <w:rPr>
                <w:rFonts w:hint="default" w:ascii="Times New Roman" w:hAnsi="Times New Roman" w:cs="Times New Roman"/>
                <w:color w:val="000000"/>
                <w:sz w:val="24"/>
                <w:highlight w:val="none"/>
              </w:rPr>
              <w:t>选用低噪声设备：在满足项目生产工艺的前提下，尽可能选择先进、噪声低的生产设备，从源头降低噪声。</w:t>
            </w:r>
          </w:p>
          <w:p w14:paraId="6CCA462C">
            <w:pPr>
              <w:keepNext w:val="0"/>
              <w:keepLines w:val="0"/>
              <w:suppressLineNumbers w:val="0"/>
              <w:spacing w:before="0" w:beforeAutospacing="0" w:after="0" w:afterAutospacing="0" w:line="360" w:lineRule="auto"/>
              <w:ind w:left="0" w:right="0" w:firstLine="470" w:firstLineChars="196"/>
              <w:jc w:val="left"/>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rPr>
              <w:t>（2）</w:t>
            </w:r>
            <w:r>
              <w:rPr>
                <w:rFonts w:hint="default" w:ascii="Times New Roman" w:hAnsi="Times New Roman" w:cs="Times New Roman"/>
                <w:color w:val="000000"/>
                <w:sz w:val="24"/>
                <w:highlight w:val="none"/>
              </w:rPr>
              <w:t>车间内合理布局：将设备全部安置在</w:t>
            </w:r>
            <w:r>
              <w:rPr>
                <w:rFonts w:hint="eastAsia" w:ascii="Times New Roman" w:hAnsi="Times New Roman" w:cs="Times New Roman"/>
                <w:color w:val="000000"/>
                <w:sz w:val="24"/>
                <w:highlight w:val="none"/>
              </w:rPr>
              <w:t>密闭车间</w:t>
            </w:r>
            <w:r>
              <w:rPr>
                <w:rFonts w:hint="default" w:ascii="Times New Roman" w:hAnsi="Times New Roman" w:cs="Times New Roman"/>
                <w:color w:val="000000"/>
                <w:sz w:val="24"/>
                <w:highlight w:val="none"/>
              </w:rPr>
              <w:t>内，充分利用建筑物的隔声作用，以减轻各类声源对周围环境的影响。</w:t>
            </w:r>
          </w:p>
          <w:p w14:paraId="7D41CCF5">
            <w:pPr>
              <w:keepNext w:val="0"/>
              <w:keepLines w:val="0"/>
              <w:suppressLineNumbers w:val="0"/>
              <w:spacing w:before="0" w:beforeAutospacing="0" w:after="0" w:afterAutospacing="0" w:line="360" w:lineRule="auto"/>
              <w:ind w:left="0" w:right="0" w:firstLine="470" w:firstLineChars="196"/>
              <w:jc w:val="left"/>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rPr>
              <w:t>（3）</w:t>
            </w:r>
            <w:r>
              <w:rPr>
                <w:rFonts w:hint="default" w:ascii="Times New Roman" w:hAnsi="Times New Roman" w:cs="Times New Roman"/>
                <w:color w:val="000000"/>
                <w:sz w:val="24"/>
                <w:highlight w:val="none"/>
              </w:rPr>
              <w:t>设备在安装时，根据设备的自重及振动特性采用合适的隔振垫，以减轻由于设备自身振动引起的结构传声对周围环境产生的影响。</w:t>
            </w:r>
          </w:p>
          <w:p w14:paraId="770D9B83">
            <w:pPr>
              <w:keepNext w:val="0"/>
              <w:keepLines w:val="0"/>
              <w:suppressLineNumbers w:val="0"/>
              <w:spacing w:before="0" w:beforeAutospacing="0" w:after="0" w:afterAutospacing="0" w:line="360" w:lineRule="auto"/>
              <w:ind w:left="0" w:right="0" w:firstLine="470" w:firstLineChars="196"/>
              <w:jc w:val="left"/>
              <w:rPr>
                <w:rFonts w:hint="default" w:ascii="Times New Roman" w:hAnsi="Times New Roman" w:cs="Times New Roman"/>
                <w:color w:val="000000"/>
                <w:sz w:val="24"/>
                <w:highlight w:val="none"/>
              </w:rPr>
            </w:pPr>
            <w:r>
              <w:rPr>
                <w:rFonts w:hint="eastAsia" w:ascii="Times New Roman" w:hAnsi="Times New Roman" w:cs="Times New Roman"/>
                <w:color w:val="000000"/>
                <w:sz w:val="24"/>
                <w:highlight w:val="none"/>
              </w:rPr>
              <w:t>（4）</w:t>
            </w:r>
            <w:r>
              <w:rPr>
                <w:rFonts w:hint="default" w:ascii="Times New Roman" w:hAnsi="Times New Roman" w:cs="Times New Roman"/>
                <w:color w:val="000000"/>
                <w:sz w:val="24"/>
                <w:highlight w:val="none"/>
              </w:rPr>
              <w:t>加强设备的维护，确保设备处于良好的运转状态，杜绝因设备不正常运转时产生的高噪声现象。</w:t>
            </w:r>
          </w:p>
          <w:p w14:paraId="352F156D">
            <w:pPr>
              <w:keepNext w:val="0"/>
              <w:keepLines w:val="0"/>
              <w:suppressLineNumbers w:val="0"/>
              <w:spacing w:before="0" w:beforeAutospacing="0" w:after="0" w:afterAutospacing="0" w:line="360" w:lineRule="auto"/>
              <w:ind w:left="0" w:right="0" w:firstLine="470" w:firstLineChars="196"/>
              <w:jc w:val="left"/>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根据</w:t>
            </w:r>
            <w:r>
              <w:rPr>
                <w:rFonts w:hint="eastAsia" w:ascii="Times New Roman" w:hAnsi="Times New Roman" w:cs="Times New Roman"/>
                <w:color w:val="000000"/>
                <w:sz w:val="24"/>
                <w:highlight w:val="none"/>
                <w:lang w:eastAsia="zh-CN"/>
              </w:rPr>
              <w:t>本项目</w:t>
            </w:r>
            <w:r>
              <w:rPr>
                <w:rFonts w:hint="default" w:ascii="Times New Roman" w:hAnsi="Times New Roman" w:cs="Times New Roman"/>
                <w:color w:val="000000"/>
                <w:sz w:val="24"/>
                <w:highlight w:val="none"/>
              </w:rPr>
              <w:t>主要设备的噪声源的情况，预测厂界处的噪声值，预测结果见下表：</w:t>
            </w:r>
          </w:p>
          <w:p w14:paraId="2DF1975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000000"/>
                <w:szCs w:val="21"/>
                <w:highlight w:val="none"/>
                <w:lang w:eastAsia="zh-CN"/>
              </w:rPr>
            </w:pPr>
            <w:r>
              <w:rPr>
                <w:rFonts w:hint="default"/>
              </w:rPr>
              <w:drawing>
                <wp:inline distT="0" distB="0" distL="114300" distR="114300">
                  <wp:extent cx="5542280" cy="2635885"/>
                  <wp:effectExtent l="0" t="0" r="1270" b="1206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30"/>
                          <a:stretch>
                            <a:fillRect/>
                          </a:stretch>
                        </pic:blipFill>
                        <pic:spPr>
                          <a:xfrm>
                            <a:off x="0" y="0"/>
                            <a:ext cx="5542280" cy="2635885"/>
                          </a:xfrm>
                          <a:prstGeom prst="rect">
                            <a:avLst/>
                          </a:prstGeom>
                          <a:noFill/>
                          <a:ln>
                            <a:noFill/>
                          </a:ln>
                        </pic:spPr>
                      </pic:pic>
                    </a:graphicData>
                  </a:graphic>
                </wp:inline>
              </w:drawing>
            </w:r>
          </w:p>
          <w:p w14:paraId="73D951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Cs w:val="21"/>
                <w:highlight w:val="none"/>
                <w:lang w:val="en-US" w:eastAsia="zh-CN"/>
              </w:rPr>
            </w:pPr>
            <w:r>
              <w:rPr>
                <w:rFonts w:hint="default" w:ascii="Times New Roman" w:hAnsi="Times New Roman" w:cs="Times New Roman"/>
                <w:b/>
                <w:bCs w:val="0"/>
                <w:color w:val="000000"/>
                <w:szCs w:val="21"/>
                <w:highlight w:val="none"/>
                <w:lang w:val="en-US" w:eastAsia="zh-CN"/>
              </w:rPr>
              <w:t>图4-4 接收点预测噪声数值表</w:t>
            </w:r>
          </w:p>
          <w:p w14:paraId="2941B1C1">
            <w:pPr>
              <w:keepNext w:val="0"/>
              <w:keepLines w:val="0"/>
              <w:suppressLineNumbers w:val="0"/>
              <w:spacing w:before="0" w:beforeAutospacing="0" w:after="0" w:afterAutospacing="0" w:line="360" w:lineRule="auto"/>
              <w:ind w:left="0" w:right="0" w:firstLine="420" w:firstLineChars="200"/>
              <w:rPr>
                <w:rFonts w:hint="default" w:ascii="宋体" w:hAnsi="宋体" w:cs="宋体"/>
                <w:color w:val="000000"/>
                <w:sz w:val="24"/>
                <w:highlight w:val="none"/>
              </w:rPr>
            </w:pPr>
            <w:r>
              <w:rPr>
                <w:rFonts w:hint="default" w:ascii="Times New Roman" w:hAnsi="Times New Roman" w:cs="Times New Roman"/>
                <w:color w:val="000000"/>
                <w:highlight w:val="none"/>
              </w:rPr>
              <w:t>（</w:t>
            </w:r>
            <w:r>
              <w:rPr>
                <w:rFonts w:hint="eastAsia" w:ascii="Times New Roman" w:hAnsi="Times New Roman" w:cs="Times New Roman"/>
                <w:color w:val="000000"/>
                <w:highlight w:val="none"/>
              </w:rPr>
              <w:t>4</w:t>
            </w:r>
            <w:r>
              <w:rPr>
                <w:rFonts w:hint="default" w:ascii="Times New Roman" w:hAnsi="Times New Roman" w:cs="Times New Roman"/>
                <w:color w:val="000000"/>
                <w:highlight w:val="none"/>
              </w:rPr>
              <w:t>）</w:t>
            </w:r>
            <w:r>
              <w:rPr>
                <w:rFonts w:hint="default" w:ascii="宋体" w:hAnsi="宋体" w:cs="宋体"/>
                <w:color w:val="000000"/>
                <w:sz w:val="24"/>
                <w:highlight w:val="none"/>
              </w:rPr>
              <w:t>声环境预测结果</w:t>
            </w:r>
          </w:p>
          <w:p w14:paraId="4379214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highlight w:val="none"/>
              </w:rPr>
            </w:pPr>
            <w:r>
              <w:rPr>
                <w:rFonts w:hint="default" w:ascii="宋体" w:hAnsi="宋体" w:cs="宋体"/>
                <w:color w:val="000000"/>
                <w:sz w:val="24"/>
                <w:highlight w:val="none"/>
              </w:rPr>
              <w:t>利用以上预测模式和参数计算得各预测点的声环境贡献值。结果见下表</w:t>
            </w:r>
            <w:r>
              <w:rPr>
                <w:rFonts w:hint="default" w:ascii="Times New Roman" w:hAnsi="Times New Roman" w:cs="Times New Roman"/>
                <w:color w:val="000000"/>
                <w:highlight w:val="none"/>
              </w:rPr>
              <w:t>。</w:t>
            </w:r>
          </w:p>
          <w:p w14:paraId="686682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黑体" w:cs="Times New Roman"/>
                <w:b/>
                <w:bCs/>
                <w:color w:val="000000"/>
                <w:kern w:val="0"/>
                <w:sz w:val="21"/>
                <w:szCs w:val="21"/>
                <w:highlight w:val="none"/>
              </w:rPr>
            </w:pPr>
            <w:r>
              <w:rPr>
                <w:rFonts w:hint="default" w:ascii="Times New Roman" w:hAnsi="Times New Roman" w:eastAsia="宋体" w:cs="Times New Roman"/>
                <w:b/>
                <w:color w:val="auto"/>
                <w:szCs w:val="21"/>
                <w:highlight w:val="none"/>
                <w:lang w:val="en-US" w:eastAsia="zh-CN"/>
              </w:rPr>
              <w:t>表</w:t>
            </w:r>
            <w:r>
              <w:rPr>
                <w:rFonts w:hint="eastAsia" w:ascii="Times New Roman" w:hAnsi="Times New Roman" w:eastAsia="宋体" w:cs="Times New Roman"/>
                <w:b/>
                <w:color w:val="auto"/>
                <w:szCs w:val="21"/>
                <w:highlight w:val="none"/>
                <w:lang w:val="en-US" w:eastAsia="zh-CN"/>
              </w:rPr>
              <w:t>4-</w:t>
            </w:r>
            <w:r>
              <w:rPr>
                <w:rFonts w:hint="eastAsia" w:cs="Times New Roman"/>
                <w:b/>
                <w:color w:val="auto"/>
                <w:szCs w:val="21"/>
                <w:highlight w:val="none"/>
                <w:lang w:val="en-US" w:eastAsia="zh-CN"/>
              </w:rPr>
              <w:t>6</w:t>
            </w:r>
            <w:r>
              <w:rPr>
                <w:rFonts w:hint="default" w:ascii="Times New Roman" w:hAnsi="Times New Roman" w:eastAsia="宋体" w:cs="Times New Roman"/>
                <w:b/>
                <w:color w:val="auto"/>
                <w:szCs w:val="21"/>
                <w:highlight w:val="none"/>
                <w:lang w:val="en-US" w:eastAsia="zh-CN"/>
              </w:rPr>
              <w:t xml:space="preserve"> </w:t>
            </w:r>
            <w:r>
              <w:rPr>
                <w:rFonts w:hint="eastAsia" w:ascii="Times New Roman" w:hAnsi="Times New Roman" w:eastAsia="宋体" w:cs="Times New Roman"/>
                <w:b/>
                <w:color w:val="auto"/>
                <w:szCs w:val="21"/>
                <w:highlight w:val="none"/>
                <w:lang w:val="en-US" w:eastAsia="zh-CN"/>
              </w:rPr>
              <w:t>本项目噪声厂界预测值一览表</w:t>
            </w:r>
          </w:p>
          <w:tbl>
            <w:tblPr>
              <w:tblStyle w:val="36"/>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10"/>
              <w:gridCol w:w="1183"/>
              <w:gridCol w:w="1937"/>
              <w:gridCol w:w="1937"/>
              <w:gridCol w:w="1867"/>
            </w:tblGrid>
            <w:tr w14:paraId="21973E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1035" w:type="pct"/>
                  <w:noWrap w:val="0"/>
                  <w:vAlign w:val="center"/>
                </w:tcPr>
                <w:p w14:paraId="4220BE37">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预测点位</w:t>
                  </w:r>
                </w:p>
              </w:tc>
              <w:tc>
                <w:tcPr>
                  <w:tcW w:w="677" w:type="pct"/>
                  <w:noWrap w:val="0"/>
                  <w:vAlign w:val="center"/>
                </w:tcPr>
                <w:p w14:paraId="3AD1A951">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时间</w:t>
                  </w:r>
                </w:p>
              </w:tc>
              <w:tc>
                <w:tcPr>
                  <w:tcW w:w="1109" w:type="pct"/>
                  <w:noWrap w:val="0"/>
                  <w:vAlign w:val="center"/>
                </w:tcPr>
                <w:p w14:paraId="1BA7BEBB">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贡献值（dB(A)）</w:t>
                  </w:r>
                </w:p>
              </w:tc>
              <w:tc>
                <w:tcPr>
                  <w:tcW w:w="1109" w:type="pct"/>
                  <w:noWrap w:val="0"/>
                  <w:vAlign w:val="center"/>
                </w:tcPr>
                <w:p w14:paraId="31D6031B">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标准值（dB(A)）</w:t>
                  </w:r>
                </w:p>
              </w:tc>
              <w:tc>
                <w:tcPr>
                  <w:tcW w:w="1069" w:type="pct"/>
                  <w:noWrap w:val="0"/>
                  <w:vAlign w:val="center"/>
                </w:tcPr>
                <w:p w14:paraId="099F3FC7">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000000"/>
                      <w:sz w:val="21"/>
                      <w:szCs w:val="21"/>
                      <w:highlight w:val="none"/>
                    </w:rPr>
                  </w:pPr>
                  <w:r>
                    <w:rPr>
                      <w:rFonts w:hint="default" w:ascii="Times New Roman" w:hAnsi="Times New Roman" w:eastAsia="宋体" w:cs="Times New Roman"/>
                      <w:b/>
                      <w:bCs/>
                      <w:snapToGrid w:val="0"/>
                      <w:color w:val="000000"/>
                      <w:sz w:val="21"/>
                      <w:szCs w:val="21"/>
                      <w:highlight w:val="none"/>
                    </w:rPr>
                    <w:t>预测结果（dB(A)）</w:t>
                  </w:r>
                </w:p>
              </w:tc>
            </w:tr>
            <w:tr w14:paraId="0F8EBB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35" w:type="pct"/>
                  <w:noWrap w:val="0"/>
                  <w:vAlign w:val="center"/>
                </w:tcPr>
                <w:p w14:paraId="3080C683">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东厂界</w:t>
                  </w:r>
                </w:p>
              </w:tc>
              <w:tc>
                <w:tcPr>
                  <w:tcW w:w="677" w:type="pct"/>
                  <w:noWrap w:val="0"/>
                  <w:vAlign w:val="center"/>
                </w:tcPr>
                <w:p w14:paraId="16CC3CBF">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昼间</w:t>
                  </w:r>
                </w:p>
              </w:tc>
              <w:tc>
                <w:tcPr>
                  <w:tcW w:w="2727" w:type="dxa"/>
                  <w:noWrap w:val="0"/>
                  <w:vAlign w:val="center"/>
                </w:tcPr>
                <w:p w14:paraId="6C1583D6">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cs="Times New Roman"/>
                      <w:snapToGrid w:val="0"/>
                      <w:color w:val="000000"/>
                      <w:sz w:val="21"/>
                      <w:szCs w:val="21"/>
                      <w:highlight w:val="none"/>
                      <w:lang w:val="en-US" w:eastAsia="zh-CN"/>
                    </w:rPr>
                    <w:t>46.14</w:t>
                  </w:r>
                </w:p>
              </w:tc>
              <w:tc>
                <w:tcPr>
                  <w:tcW w:w="1109" w:type="pct"/>
                  <w:noWrap w:val="0"/>
                  <w:vAlign w:val="center"/>
                </w:tcPr>
                <w:p w14:paraId="6BF8D301">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cs="Times New Roman"/>
                      <w:snapToGrid w:val="0"/>
                      <w:color w:val="000000"/>
                      <w:sz w:val="21"/>
                      <w:szCs w:val="21"/>
                      <w:highlight w:val="none"/>
                      <w:lang w:val="en-US" w:eastAsia="zh-CN"/>
                    </w:rPr>
                    <w:t>60</w:t>
                  </w:r>
                </w:p>
              </w:tc>
              <w:tc>
                <w:tcPr>
                  <w:tcW w:w="1069" w:type="pct"/>
                  <w:noWrap w:val="0"/>
                  <w:vAlign w:val="center"/>
                </w:tcPr>
                <w:p w14:paraId="67ADC109">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达标</w:t>
                  </w:r>
                </w:p>
              </w:tc>
            </w:tr>
            <w:tr w14:paraId="17AC2D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35" w:type="pct"/>
                  <w:noWrap w:val="0"/>
                  <w:vAlign w:val="center"/>
                </w:tcPr>
                <w:p w14:paraId="5D649666">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南厂界</w:t>
                  </w:r>
                </w:p>
              </w:tc>
              <w:tc>
                <w:tcPr>
                  <w:tcW w:w="677" w:type="pct"/>
                  <w:noWrap w:val="0"/>
                  <w:vAlign w:val="center"/>
                </w:tcPr>
                <w:p w14:paraId="0E8DF301">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昼间</w:t>
                  </w:r>
                </w:p>
              </w:tc>
              <w:tc>
                <w:tcPr>
                  <w:tcW w:w="2727" w:type="dxa"/>
                  <w:noWrap w:val="0"/>
                  <w:vAlign w:val="center"/>
                </w:tcPr>
                <w:p w14:paraId="32CCDF83">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cs="Times New Roman"/>
                      <w:snapToGrid w:val="0"/>
                      <w:color w:val="000000"/>
                      <w:sz w:val="21"/>
                      <w:szCs w:val="21"/>
                      <w:highlight w:val="none"/>
                      <w:lang w:val="en-US" w:eastAsia="zh-CN"/>
                    </w:rPr>
                    <w:t>56.61</w:t>
                  </w:r>
                </w:p>
              </w:tc>
              <w:tc>
                <w:tcPr>
                  <w:tcW w:w="1109" w:type="pct"/>
                  <w:noWrap w:val="0"/>
                  <w:vAlign w:val="center"/>
                </w:tcPr>
                <w:p w14:paraId="581F18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eastAsia" w:cs="Times New Roman"/>
                      <w:snapToGrid w:val="0"/>
                      <w:color w:val="000000"/>
                      <w:sz w:val="21"/>
                      <w:szCs w:val="21"/>
                      <w:highlight w:val="none"/>
                      <w:lang w:val="en-US" w:eastAsia="zh-CN"/>
                    </w:rPr>
                    <w:t>60</w:t>
                  </w:r>
                </w:p>
              </w:tc>
              <w:tc>
                <w:tcPr>
                  <w:tcW w:w="1069" w:type="pct"/>
                  <w:noWrap w:val="0"/>
                  <w:vAlign w:val="center"/>
                </w:tcPr>
                <w:p w14:paraId="088EAD2C">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达标</w:t>
                  </w:r>
                </w:p>
              </w:tc>
            </w:tr>
            <w:tr w14:paraId="1E6F5B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35" w:type="pct"/>
                  <w:noWrap w:val="0"/>
                  <w:vAlign w:val="center"/>
                </w:tcPr>
                <w:p w14:paraId="6560A5CD">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西厂界</w:t>
                  </w:r>
                </w:p>
              </w:tc>
              <w:tc>
                <w:tcPr>
                  <w:tcW w:w="677" w:type="pct"/>
                  <w:noWrap w:val="0"/>
                  <w:vAlign w:val="center"/>
                </w:tcPr>
                <w:p w14:paraId="39AD0727">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昼间</w:t>
                  </w:r>
                </w:p>
              </w:tc>
              <w:tc>
                <w:tcPr>
                  <w:tcW w:w="2727" w:type="dxa"/>
                  <w:noWrap w:val="0"/>
                  <w:vAlign w:val="center"/>
                </w:tcPr>
                <w:p w14:paraId="3A104345">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cs="Times New Roman"/>
                      <w:snapToGrid w:val="0"/>
                      <w:color w:val="000000"/>
                      <w:sz w:val="21"/>
                      <w:szCs w:val="21"/>
                      <w:highlight w:val="none"/>
                      <w:lang w:val="en-US" w:eastAsia="zh-CN"/>
                    </w:rPr>
                    <w:t>56.73</w:t>
                  </w:r>
                </w:p>
              </w:tc>
              <w:tc>
                <w:tcPr>
                  <w:tcW w:w="1109" w:type="pct"/>
                  <w:noWrap w:val="0"/>
                  <w:vAlign w:val="center"/>
                </w:tcPr>
                <w:p w14:paraId="346BD9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eastAsia" w:cs="Times New Roman"/>
                      <w:snapToGrid w:val="0"/>
                      <w:color w:val="000000"/>
                      <w:sz w:val="21"/>
                      <w:szCs w:val="21"/>
                      <w:highlight w:val="none"/>
                      <w:lang w:val="en-US" w:eastAsia="zh-CN"/>
                    </w:rPr>
                    <w:t>60</w:t>
                  </w:r>
                </w:p>
              </w:tc>
              <w:tc>
                <w:tcPr>
                  <w:tcW w:w="1069" w:type="pct"/>
                  <w:noWrap w:val="0"/>
                  <w:vAlign w:val="center"/>
                </w:tcPr>
                <w:p w14:paraId="34E9F2AB">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达标</w:t>
                  </w:r>
                </w:p>
              </w:tc>
            </w:tr>
            <w:tr w14:paraId="4A0F76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35" w:type="pct"/>
                  <w:noWrap w:val="0"/>
                  <w:vAlign w:val="center"/>
                </w:tcPr>
                <w:p w14:paraId="3CCA5BBC">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北厂界</w:t>
                  </w:r>
                </w:p>
              </w:tc>
              <w:tc>
                <w:tcPr>
                  <w:tcW w:w="677" w:type="pct"/>
                  <w:noWrap w:val="0"/>
                  <w:vAlign w:val="center"/>
                </w:tcPr>
                <w:p w14:paraId="4F5BA9C6">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昼间</w:t>
                  </w:r>
                </w:p>
              </w:tc>
              <w:tc>
                <w:tcPr>
                  <w:tcW w:w="2727" w:type="dxa"/>
                  <w:noWrap w:val="0"/>
                  <w:vAlign w:val="center"/>
                </w:tcPr>
                <w:p w14:paraId="7D47084D">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r>
                    <w:rPr>
                      <w:rFonts w:hint="eastAsia" w:cs="Times New Roman"/>
                      <w:snapToGrid w:val="0"/>
                      <w:color w:val="000000"/>
                      <w:sz w:val="21"/>
                      <w:szCs w:val="21"/>
                      <w:highlight w:val="none"/>
                      <w:lang w:val="en-US" w:eastAsia="zh-CN"/>
                    </w:rPr>
                    <w:t>55.83</w:t>
                  </w:r>
                </w:p>
              </w:tc>
              <w:tc>
                <w:tcPr>
                  <w:tcW w:w="1109" w:type="pct"/>
                  <w:noWrap w:val="0"/>
                  <w:vAlign w:val="center"/>
                </w:tcPr>
                <w:p w14:paraId="3117DE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eastAsia" w:cs="Times New Roman"/>
                      <w:snapToGrid w:val="0"/>
                      <w:color w:val="000000"/>
                      <w:sz w:val="21"/>
                      <w:szCs w:val="21"/>
                      <w:highlight w:val="none"/>
                      <w:lang w:val="en-US" w:eastAsia="zh-CN"/>
                    </w:rPr>
                    <w:t>60</w:t>
                  </w:r>
                </w:p>
              </w:tc>
              <w:tc>
                <w:tcPr>
                  <w:tcW w:w="1069" w:type="pct"/>
                  <w:noWrap w:val="0"/>
                  <w:vAlign w:val="center"/>
                </w:tcPr>
                <w:p w14:paraId="04CBECE4">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达标</w:t>
                  </w:r>
                </w:p>
              </w:tc>
            </w:tr>
          </w:tbl>
          <w:p w14:paraId="4E08BAF5">
            <w:pPr>
              <w:keepNext w:val="0"/>
              <w:keepLines w:val="0"/>
              <w:suppressLineNumbers w:val="0"/>
              <w:adjustRightInd w:val="0"/>
              <w:snapToGrid w:val="0"/>
              <w:spacing w:before="0" w:beforeAutospacing="0" w:after="0" w:afterAutospacing="0" w:line="360" w:lineRule="auto"/>
              <w:ind w:left="0" w:right="0" w:firstLine="340"/>
              <w:jc w:val="left"/>
              <w:rPr>
                <w:rFonts w:hint="default" w:ascii="Times New Roman" w:hAnsi="Times New Roman" w:cs="Times New Roman"/>
                <w:color w:val="000000"/>
                <w:sz w:val="24"/>
                <w:highlight w:val="none"/>
              </w:rPr>
            </w:pPr>
            <w:r>
              <w:rPr>
                <w:rFonts w:hint="default" w:ascii="宋体" w:hAnsi="宋体" w:cs="宋体"/>
                <w:color w:val="000000"/>
                <w:sz w:val="24"/>
                <w:highlight w:val="none"/>
              </w:rPr>
              <w:t>由上表可以看出，</w:t>
            </w:r>
            <w:r>
              <w:rPr>
                <w:rFonts w:hint="eastAsia" w:ascii="宋体" w:hAnsi="宋体" w:cs="宋体"/>
                <w:color w:val="000000"/>
                <w:sz w:val="24"/>
                <w:highlight w:val="none"/>
                <w:lang w:eastAsia="zh-CN"/>
              </w:rPr>
              <w:t>本项目</w:t>
            </w:r>
            <w:r>
              <w:rPr>
                <w:rFonts w:hint="default" w:ascii="宋体" w:hAnsi="宋体" w:cs="宋体"/>
                <w:color w:val="000000"/>
                <w:sz w:val="24"/>
                <w:highlight w:val="none"/>
              </w:rPr>
              <w:t>采取降噪、减振措施后，再经距离衰减，厂界昼间噪声满足《工业企业厂界</w:t>
            </w:r>
            <w:r>
              <w:rPr>
                <w:rFonts w:hint="default" w:ascii="Times New Roman" w:hAnsi="Times New Roman" w:cs="Times New Roman"/>
                <w:color w:val="000000"/>
                <w:sz w:val="24"/>
                <w:highlight w:val="none"/>
              </w:rPr>
              <w:t>环境噪声排放标准》（GB12348-2008）中的</w:t>
            </w:r>
            <w:r>
              <w:rPr>
                <w:rFonts w:hint="eastAsia" w:cs="Times New Roman"/>
                <w:color w:val="000000"/>
                <w:sz w:val="24"/>
                <w:highlight w:val="none"/>
                <w:lang w:val="en-US" w:eastAsia="zh-CN"/>
              </w:rPr>
              <w:t>2类</w:t>
            </w:r>
            <w:r>
              <w:rPr>
                <w:rFonts w:hint="default" w:ascii="Times New Roman" w:hAnsi="Times New Roman" w:cs="Times New Roman"/>
                <w:color w:val="000000"/>
                <w:sz w:val="24"/>
                <w:highlight w:val="none"/>
              </w:rPr>
              <w:t>区噪声排放限值。因此，</w:t>
            </w:r>
            <w:r>
              <w:rPr>
                <w:rFonts w:hint="default" w:ascii="Times New Roman" w:hAnsi="Times New Roman" w:cs="Times New Roman"/>
                <w:color w:val="000000"/>
                <w:sz w:val="24"/>
                <w:highlight w:val="none"/>
                <w:lang w:eastAsia="zh-CN"/>
              </w:rPr>
              <w:t>本项目</w:t>
            </w:r>
            <w:r>
              <w:rPr>
                <w:rFonts w:hint="default" w:ascii="Times New Roman" w:hAnsi="Times New Roman" w:cs="Times New Roman"/>
                <w:color w:val="000000"/>
                <w:sz w:val="24"/>
                <w:highlight w:val="none"/>
              </w:rPr>
              <w:t>在做好噪声治理措施后，设备噪声对周围环境不会造成太大影响。</w:t>
            </w:r>
          </w:p>
          <w:p w14:paraId="61791EAE">
            <w:pPr>
              <w:pStyle w:val="2"/>
              <w:keepNext w:val="0"/>
              <w:keepLines w:val="0"/>
              <w:numPr>
                <w:ilvl w:val="0"/>
                <w:numId w:val="3"/>
              </w:numPr>
              <w:suppressLineNumbers w:val="0"/>
              <w:spacing w:before="0" w:beforeAutospacing="0" w:afterAutospacing="0"/>
              <w:ind w:left="0" w:leftChars="0" w:right="0" w:firstLine="240" w:firstLineChars="1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噪声监测计划</w:t>
            </w:r>
          </w:p>
          <w:p w14:paraId="44CAF915">
            <w:pPr>
              <w:keepNext w:val="0"/>
              <w:keepLines w:val="0"/>
              <w:suppressLineNumbers w:val="0"/>
              <w:adjustRightInd w:val="0"/>
              <w:snapToGrid w:val="0"/>
              <w:spacing w:before="0" w:beforeAutospacing="0" w:after="0" w:afterAutospacing="0" w:line="360" w:lineRule="auto"/>
              <w:ind w:left="0" w:right="0" w:firstLine="340"/>
              <w:jc w:val="left"/>
              <w:rPr>
                <w:rFonts w:hint="default" w:ascii="宋体" w:hAnsi="宋体" w:eastAsia="宋体" w:cs="宋体"/>
                <w:color w:val="000000"/>
                <w:sz w:val="24"/>
                <w:highlight w:val="none"/>
              </w:rPr>
            </w:pPr>
            <w:r>
              <w:rPr>
                <w:rFonts w:hint="default" w:ascii="Times New Roman" w:hAnsi="Times New Roman" w:eastAsia="宋体" w:cs="Times New Roman"/>
                <w:color w:val="000000"/>
                <w:sz w:val="24"/>
                <w:highlight w:val="none"/>
              </w:rPr>
              <w:t>根据《排污单位自行监测技术指南 总则》（HJ8194</w:t>
            </w:r>
            <w:r>
              <w:rPr>
                <w:rFonts w:hint="default" w:ascii="Times New Roman" w:hAnsi="Times New Roman" w:cs="Times New Roman"/>
                <w:color w:val="000000"/>
                <w:sz w:val="24"/>
                <w:highlight w:val="none"/>
                <w:lang w:val="en-US" w:eastAsia="zh-CN"/>
              </w:rPr>
              <w:t>-</w:t>
            </w:r>
            <w:r>
              <w:rPr>
                <w:rFonts w:hint="default" w:ascii="Times New Roman" w:hAnsi="Times New Roman" w:eastAsia="宋体" w:cs="Times New Roman"/>
                <w:color w:val="000000"/>
                <w:sz w:val="24"/>
                <w:highlight w:val="none"/>
              </w:rPr>
              <w:t>2017）、</w:t>
            </w:r>
            <w:r>
              <w:rPr>
                <w:rFonts w:hint="eastAsia" w:cs="Times New Roman"/>
                <w:color w:val="000000"/>
                <w:sz w:val="24"/>
                <w:highlight w:val="none"/>
                <w:lang w:eastAsia="zh-CN"/>
              </w:rPr>
              <w:t>《排污许可证申请与核发技术规范 石墨及其他非金属矿物制品制造》（HJ1119-2020）</w:t>
            </w:r>
            <w:r>
              <w:rPr>
                <w:rFonts w:hint="default" w:ascii="Times New Roman" w:hAnsi="Times New Roman" w:eastAsia="宋体" w:cs="Times New Roman"/>
                <w:color w:val="000000"/>
                <w:sz w:val="24"/>
                <w:highlight w:val="none"/>
              </w:rPr>
              <w:t>、《排污许可证申请与核发技术规范 工业噪声》（HJ 1301</w:t>
            </w:r>
            <w:r>
              <w:rPr>
                <w:rFonts w:hint="default" w:ascii="Times New Roman" w:hAnsi="Times New Roman" w:cs="Times New Roman"/>
                <w:color w:val="000000"/>
                <w:sz w:val="24"/>
                <w:highlight w:val="none"/>
                <w:lang w:val="en-US" w:eastAsia="zh-CN"/>
              </w:rPr>
              <w:t>-</w:t>
            </w:r>
            <w:r>
              <w:rPr>
                <w:rFonts w:hint="default" w:ascii="Times New Roman" w:hAnsi="Times New Roman" w:eastAsia="宋体" w:cs="Times New Roman"/>
                <w:color w:val="000000"/>
                <w:sz w:val="24"/>
                <w:highlight w:val="none"/>
              </w:rPr>
              <w:t>2023）的要求，噪声监</w:t>
            </w:r>
            <w:r>
              <w:rPr>
                <w:rFonts w:hint="eastAsia" w:ascii="宋体" w:hAnsi="宋体" w:eastAsia="宋体" w:cs="宋体"/>
                <w:color w:val="000000"/>
                <w:sz w:val="24"/>
                <w:highlight w:val="none"/>
              </w:rPr>
              <w:t>测频次按下表进行。</w:t>
            </w:r>
          </w:p>
          <w:p w14:paraId="13E78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w:t>
            </w:r>
            <w:r>
              <w:rPr>
                <w:rFonts w:hint="eastAsia" w:ascii="Times New Roman" w:hAnsi="Times New Roman" w:eastAsia="宋体" w:cs="Times New Roman"/>
                <w:b/>
                <w:color w:val="auto"/>
                <w:szCs w:val="21"/>
                <w:highlight w:val="none"/>
                <w:lang w:val="en-US" w:eastAsia="zh-CN"/>
              </w:rPr>
              <w:t>4-</w:t>
            </w:r>
            <w:r>
              <w:rPr>
                <w:rFonts w:hint="eastAsia" w:cs="Times New Roman"/>
                <w:b/>
                <w:color w:val="auto"/>
                <w:szCs w:val="21"/>
                <w:highlight w:val="none"/>
                <w:lang w:val="en-US" w:eastAsia="zh-CN"/>
              </w:rPr>
              <w:t>7</w:t>
            </w:r>
            <w:r>
              <w:rPr>
                <w:rFonts w:hint="eastAsia"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lang w:val="en-US" w:eastAsia="zh-CN"/>
              </w:rPr>
              <w:t>项目噪声监测要求表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155"/>
              <w:gridCol w:w="5766"/>
            </w:tblGrid>
            <w:tr w14:paraId="62FC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3" w:type="pct"/>
                  <w:noWrap w:val="0"/>
                  <w:vAlign w:val="center"/>
                </w:tcPr>
                <w:p w14:paraId="31C01DF5">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napToGrid w:val="0"/>
                      <w:color w:val="000000"/>
                      <w:sz w:val="21"/>
                      <w:szCs w:val="21"/>
                      <w:highlight w:val="none"/>
                    </w:rPr>
                  </w:pPr>
                  <w:r>
                    <w:rPr>
                      <w:rFonts w:hint="default" w:ascii="Times New Roman" w:hAnsi="Times New Roman" w:cs="Times New Roman"/>
                      <w:b/>
                      <w:bCs/>
                      <w:snapToGrid w:val="0"/>
                      <w:color w:val="000000"/>
                      <w:sz w:val="21"/>
                      <w:szCs w:val="21"/>
                      <w:highlight w:val="none"/>
                    </w:rPr>
                    <w:t>项目</w:t>
                  </w:r>
                </w:p>
              </w:tc>
              <w:tc>
                <w:tcPr>
                  <w:tcW w:w="1234" w:type="pct"/>
                  <w:noWrap w:val="0"/>
                  <w:vAlign w:val="center"/>
                </w:tcPr>
                <w:p w14:paraId="441E475D">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napToGrid w:val="0"/>
                      <w:color w:val="000000"/>
                      <w:sz w:val="21"/>
                      <w:szCs w:val="21"/>
                      <w:highlight w:val="none"/>
                    </w:rPr>
                  </w:pPr>
                  <w:r>
                    <w:rPr>
                      <w:rFonts w:hint="default" w:ascii="Times New Roman" w:hAnsi="Times New Roman" w:cs="Times New Roman"/>
                      <w:b/>
                      <w:bCs/>
                      <w:snapToGrid w:val="0"/>
                      <w:color w:val="000000"/>
                      <w:sz w:val="21"/>
                      <w:szCs w:val="21"/>
                      <w:highlight w:val="none"/>
                    </w:rPr>
                    <w:t>监测项目</w:t>
                  </w:r>
                </w:p>
              </w:tc>
              <w:tc>
                <w:tcPr>
                  <w:tcW w:w="3302" w:type="pct"/>
                  <w:noWrap w:val="0"/>
                  <w:vAlign w:val="center"/>
                </w:tcPr>
                <w:p w14:paraId="678F1403">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napToGrid w:val="0"/>
                      <w:color w:val="000000"/>
                      <w:sz w:val="21"/>
                      <w:szCs w:val="21"/>
                      <w:highlight w:val="none"/>
                    </w:rPr>
                  </w:pPr>
                  <w:r>
                    <w:rPr>
                      <w:rFonts w:hint="eastAsia" w:ascii="Times New Roman" w:hAnsi="Times New Roman" w:cs="Times New Roman"/>
                      <w:b/>
                      <w:bCs/>
                      <w:snapToGrid w:val="0"/>
                      <w:color w:val="000000"/>
                      <w:sz w:val="21"/>
                      <w:szCs w:val="21"/>
                      <w:highlight w:val="none"/>
                    </w:rPr>
                    <w:t>昼间</w:t>
                  </w:r>
                  <w:r>
                    <w:rPr>
                      <w:rFonts w:hint="default" w:ascii="Times New Roman" w:hAnsi="Times New Roman" w:cs="Times New Roman"/>
                      <w:b/>
                      <w:bCs/>
                      <w:snapToGrid w:val="0"/>
                      <w:color w:val="000000"/>
                      <w:sz w:val="21"/>
                      <w:szCs w:val="21"/>
                      <w:highlight w:val="none"/>
                    </w:rPr>
                    <w:t>Leq</w:t>
                  </w:r>
                </w:p>
              </w:tc>
            </w:tr>
            <w:tr w14:paraId="3CD4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3" w:type="pct"/>
                  <w:vMerge w:val="restart"/>
                  <w:noWrap w:val="0"/>
                  <w:vAlign w:val="center"/>
                </w:tcPr>
                <w:p w14:paraId="3F5AC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噪声</w:t>
                  </w:r>
                </w:p>
              </w:tc>
              <w:tc>
                <w:tcPr>
                  <w:tcW w:w="1234" w:type="pct"/>
                  <w:noWrap w:val="0"/>
                  <w:vAlign w:val="center"/>
                </w:tcPr>
                <w:p w14:paraId="5D6D27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监测布点</w:t>
                  </w:r>
                </w:p>
              </w:tc>
              <w:tc>
                <w:tcPr>
                  <w:tcW w:w="3302" w:type="pct"/>
                  <w:noWrap w:val="0"/>
                  <w:vAlign w:val="center"/>
                </w:tcPr>
                <w:p w14:paraId="5798AE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东、南、西、北厂界外1m 处。</w:t>
                  </w:r>
                </w:p>
              </w:tc>
            </w:tr>
            <w:tr w14:paraId="446B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3" w:type="pct"/>
                  <w:vMerge w:val="continue"/>
                  <w:noWrap w:val="0"/>
                  <w:vAlign w:val="center"/>
                </w:tcPr>
                <w:p w14:paraId="555A95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p>
              </w:tc>
              <w:tc>
                <w:tcPr>
                  <w:tcW w:w="1234" w:type="pct"/>
                  <w:noWrap w:val="0"/>
                  <w:vAlign w:val="center"/>
                </w:tcPr>
                <w:p w14:paraId="27262B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监测频率</w:t>
                  </w:r>
                </w:p>
              </w:tc>
              <w:tc>
                <w:tcPr>
                  <w:tcW w:w="3302" w:type="pct"/>
                  <w:noWrap w:val="0"/>
                  <w:vAlign w:val="center"/>
                </w:tcPr>
                <w:p w14:paraId="2E5CDE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每季度监测一次</w:t>
                  </w:r>
                </w:p>
              </w:tc>
            </w:tr>
            <w:tr w14:paraId="02C2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3" w:type="pct"/>
                  <w:vMerge w:val="continue"/>
                  <w:noWrap w:val="0"/>
                  <w:vAlign w:val="center"/>
                </w:tcPr>
                <w:p w14:paraId="227574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p>
              </w:tc>
              <w:tc>
                <w:tcPr>
                  <w:tcW w:w="1234" w:type="pct"/>
                  <w:noWrap w:val="0"/>
                  <w:vAlign w:val="center"/>
                </w:tcPr>
                <w:p w14:paraId="3A2CAA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采样分析、数据处理</w:t>
                  </w:r>
                </w:p>
              </w:tc>
              <w:tc>
                <w:tcPr>
                  <w:tcW w:w="3302" w:type="pct"/>
                  <w:noWrap w:val="0"/>
                  <w:vAlign w:val="center"/>
                </w:tcPr>
                <w:p w14:paraId="4938A7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按照《工业企业厂界噪声测量方法》的有关规定和工业企业噪声监测技术规范进行监测</w:t>
                  </w:r>
                </w:p>
              </w:tc>
            </w:tr>
          </w:tbl>
          <w:p w14:paraId="5FDCA7CE">
            <w:pPr>
              <w:keepNext w:val="0"/>
              <w:keepLines w:val="0"/>
              <w:suppressLineNumbers w:val="0"/>
              <w:adjustRightInd w:val="0"/>
              <w:snapToGrid w:val="0"/>
              <w:spacing w:before="0" w:beforeAutospacing="0" w:after="0" w:afterAutospacing="0" w:line="360" w:lineRule="auto"/>
              <w:ind w:left="340" w:right="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四、固体废物</w:t>
            </w:r>
          </w:p>
          <w:p w14:paraId="4611B3E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本项目产生的固体废物</w:t>
            </w:r>
            <w:r>
              <w:rPr>
                <w:rFonts w:hint="default" w:ascii="Times New Roman" w:hAnsi="Times New Roman" w:cs="Times New Roman"/>
                <w:color w:val="auto"/>
                <w:sz w:val="24"/>
                <w:highlight w:val="none"/>
                <w:lang w:val="en-US" w:eastAsia="zh-CN"/>
              </w:rPr>
              <w:t>为生活垃圾、一般工业固废和危险废物</w:t>
            </w:r>
            <w:r>
              <w:rPr>
                <w:rFonts w:hint="eastAsia" w:ascii="Times New Roman" w:hAnsi="Times New Roman" w:cs="Times New Roman"/>
                <w:color w:val="auto"/>
                <w:sz w:val="24"/>
                <w:highlight w:val="none"/>
                <w:lang w:val="en-US" w:eastAsia="zh-CN"/>
              </w:rPr>
              <w:t>，其中一般工业固废主要包括</w:t>
            </w:r>
            <w:r>
              <w:rPr>
                <w:rFonts w:hint="eastAsia" w:cs="Times New Roman"/>
                <w:color w:val="auto"/>
                <w:sz w:val="24"/>
                <w:highlight w:val="none"/>
                <w:lang w:val="en-US" w:eastAsia="zh-CN"/>
              </w:rPr>
              <w:t>废包装袋、废布袋、磁选杂质、布袋除尘器收集粉尘</w:t>
            </w:r>
            <w:r>
              <w:rPr>
                <w:rFonts w:hint="eastAsia" w:ascii="Times New Roman" w:hAnsi="Times New Roman" w:cs="Times New Roman"/>
                <w:color w:val="auto"/>
                <w:sz w:val="24"/>
                <w:highlight w:val="none"/>
                <w:lang w:val="en-US" w:eastAsia="zh-CN"/>
              </w:rPr>
              <w:t>；危险废物主要包括废机油、含油废抹布、废机油桶</w:t>
            </w:r>
            <w:r>
              <w:rPr>
                <w:rFonts w:hint="default" w:ascii="Times New Roman" w:hAnsi="Times New Roman" w:cs="Times New Roman"/>
                <w:color w:val="auto"/>
                <w:sz w:val="24"/>
                <w:highlight w:val="none"/>
                <w:lang w:val="en-US" w:eastAsia="zh-CN"/>
              </w:rPr>
              <w:t>。</w:t>
            </w:r>
          </w:p>
          <w:p w14:paraId="72662E9F">
            <w:pPr>
              <w:keepNext w:val="0"/>
              <w:keepLines w:val="0"/>
              <w:numPr>
                <w:ilvl w:val="0"/>
                <w:numId w:val="4"/>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生活垃圾</w:t>
            </w:r>
          </w:p>
          <w:p w14:paraId="795FA95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生活垃圾以0.5kg/d·人计，本项目共有职工</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人，年运营300天，则产生量为</w:t>
            </w:r>
            <w:r>
              <w:rPr>
                <w:rFonts w:hint="eastAsia" w:cs="Times New Roman"/>
                <w:color w:val="auto"/>
                <w:sz w:val="24"/>
                <w:highlight w:val="none"/>
                <w:lang w:val="en-US" w:eastAsia="zh-CN"/>
              </w:rPr>
              <w:t>2.25</w:t>
            </w:r>
            <w:r>
              <w:rPr>
                <w:rFonts w:hint="default" w:ascii="Times New Roman" w:hAnsi="Times New Roman" w:cs="Times New Roman"/>
                <w:color w:val="auto"/>
                <w:sz w:val="24"/>
                <w:highlight w:val="none"/>
              </w:rPr>
              <w:t>t/a，由当地环卫部门统一收集处理。</w:t>
            </w:r>
          </w:p>
          <w:p w14:paraId="4A98AAF9">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2、一般工业固废</w:t>
            </w:r>
          </w:p>
          <w:p w14:paraId="4AAB3DCF">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（1）布袋除尘器收集粉尘：</w:t>
            </w:r>
          </w:p>
          <w:p w14:paraId="167BBC17">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根据前文分析，</w:t>
            </w:r>
            <w:r>
              <w:rPr>
                <w:rFonts w:hint="default" w:ascii="Times New Roman" w:hAnsi="Times New Roman" w:cs="Times New Roman"/>
                <w:color w:val="auto"/>
                <w:kern w:val="2"/>
                <w:sz w:val="24"/>
                <w:szCs w:val="24"/>
                <w:lang w:val="en-US" w:eastAsia="zh-CN" w:bidi="ar-SA"/>
              </w:rPr>
              <w:t>布袋除尘器收集粉</w:t>
            </w:r>
            <w:r>
              <w:rPr>
                <w:rFonts w:hint="default" w:ascii="Times New Roman" w:hAnsi="Times New Roman" w:eastAsia="宋体" w:cs="Times New Roman"/>
                <w:color w:val="auto"/>
                <w:kern w:val="2"/>
                <w:sz w:val="24"/>
                <w:szCs w:val="24"/>
                <w:lang w:val="en-US" w:eastAsia="zh-CN" w:bidi="ar-SA"/>
              </w:rPr>
              <w:t>尘</w:t>
            </w:r>
            <w:r>
              <w:rPr>
                <w:rFonts w:hint="eastAsia" w:ascii="Times New Roman" w:hAnsi="Times New Roman" w:eastAsia="宋体" w:cs="Times New Roman"/>
                <w:color w:val="auto"/>
                <w:kern w:val="2"/>
                <w:sz w:val="24"/>
                <w:szCs w:val="24"/>
                <w:lang w:val="en-US" w:eastAsia="zh-CN" w:bidi="ar-SA"/>
              </w:rPr>
              <w:t>量为</w:t>
            </w:r>
            <w:r>
              <w:rPr>
                <w:rFonts w:hint="eastAsia" w:cs="Times New Roman"/>
                <w:color w:val="auto"/>
                <w:kern w:val="2"/>
                <w:sz w:val="24"/>
                <w:szCs w:val="24"/>
                <w:lang w:val="en-US" w:eastAsia="zh-CN" w:bidi="ar-SA"/>
              </w:rPr>
              <w:t>25.92</w:t>
            </w:r>
            <w:r>
              <w:rPr>
                <w:rFonts w:hint="default" w:ascii="Times New Roman" w:hAnsi="Times New Roman" w:eastAsia="宋体" w:cs="Times New Roman"/>
                <w:color w:val="auto"/>
                <w:kern w:val="2"/>
                <w:sz w:val="24"/>
                <w:szCs w:val="24"/>
                <w:lang w:val="en-US" w:eastAsia="zh-CN" w:bidi="ar-SA"/>
              </w:rPr>
              <w:t>t/a，属于一般固体废物，由车间工作人员统一收集后</w:t>
            </w:r>
            <w:r>
              <w:rPr>
                <w:rFonts w:hint="eastAsia" w:cs="Times New Roman"/>
                <w:color w:val="auto"/>
                <w:kern w:val="2"/>
                <w:sz w:val="24"/>
                <w:szCs w:val="24"/>
                <w:lang w:val="en-US" w:eastAsia="zh-CN" w:bidi="ar-SA"/>
              </w:rPr>
              <w:t>回用生产</w:t>
            </w:r>
            <w:r>
              <w:rPr>
                <w:rFonts w:hint="default" w:ascii="Times New Roman" w:hAnsi="Times New Roman" w:eastAsia="宋体" w:cs="Times New Roman"/>
                <w:color w:val="auto"/>
                <w:kern w:val="2"/>
                <w:sz w:val="24"/>
                <w:szCs w:val="24"/>
                <w:lang w:val="en-US" w:eastAsia="zh-CN" w:bidi="ar-SA"/>
              </w:rPr>
              <w:t>。</w:t>
            </w:r>
          </w:p>
          <w:p w14:paraId="6FDDAFA7">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（2）废布袋</w:t>
            </w:r>
          </w:p>
          <w:p w14:paraId="4F3FD064">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w:t>
            </w:r>
            <w:r>
              <w:rPr>
                <w:rFonts w:hint="eastAsia" w:ascii="Times New Roman" w:hAnsi="Times New Roman" w:eastAsia="宋体" w:cs="Times New Roman"/>
                <w:color w:val="auto"/>
                <w:kern w:val="2"/>
                <w:sz w:val="24"/>
                <w:szCs w:val="24"/>
                <w:lang w:val="en-US" w:eastAsia="zh-CN" w:bidi="ar-SA"/>
              </w:rPr>
              <w:t>共设有</w:t>
            </w:r>
            <w:r>
              <w:rPr>
                <w:rFonts w:hint="eastAsia"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台布袋除尘器，布袋除尘器</w:t>
            </w:r>
            <w:r>
              <w:rPr>
                <w:rFonts w:hint="default" w:ascii="Times New Roman" w:hAnsi="Times New Roman" w:eastAsia="宋体" w:cs="Times New Roman"/>
                <w:color w:val="auto"/>
                <w:kern w:val="2"/>
                <w:sz w:val="24"/>
                <w:szCs w:val="24"/>
                <w:lang w:val="en-US" w:eastAsia="zh-CN" w:bidi="ar-SA"/>
              </w:rPr>
              <w:t>长时间运行后会产生废布袋，布袋每</w:t>
            </w:r>
            <w:r>
              <w:rPr>
                <w:rFonts w:hint="eastAsia" w:ascii="Times New Roman" w:hAnsi="Times New Roman" w:eastAsia="宋体" w:cs="Times New Roman"/>
                <w:color w:val="auto"/>
                <w:kern w:val="2"/>
                <w:sz w:val="24"/>
                <w:szCs w:val="24"/>
                <w:lang w:val="en-US" w:eastAsia="zh-CN" w:bidi="ar-SA"/>
              </w:rPr>
              <w:t>半年</w:t>
            </w:r>
            <w:r>
              <w:rPr>
                <w:rFonts w:hint="default" w:ascii="Times New Roman" w:hAnsi="Times New Roman" w:eastAsia="宋体" w:cs="Times New Roman"/>
                <w:color w:val="auto"/>
                <w:kern w:val="2"/>
                <w:sz w:val="24"/>
                <w:szCs w:val="24"/>
                <w:lang w:val="en-US" w:eastAsia="zh-CN" w:bidi="ar-SA"/>
              </w:rPr>
              <w:t>更换一次，则废布袋产生量</w:t>
            </w:r>
            <w:r>
              <w:rPr>
                <w:rFonts w:hint="eastAsia" w:ascii="Times New Roman" w:hAnsi="Times New Roman" w:eastAsia="宋体" w:cs="Times New Roman"/>
                <w:color w:val="auto"/>
                <w:kern w:val="2"/>
                <w:sz w:val="24"/>
                <w:szCs w:val="24"/>
                <w:lang w:val="en-US" w:eastAsia="zh-CN" w:bidi="ar-SA"/>
              </w:rPr>
              <w:t>约为0.</w:t>
            </w:r>
            <w:r>
              <w:rPr>
                <w:rFonts w:hint="eastAsia" w:cs="Times New Roman"/>
                <w:color w:val="auto"/>
                <w:kern w:val="2"/>
                <w:sz w:val="24"/>
                <w:szCs w:val="24"/>
                <w:lang w:val="en-US" w:eastAsia="zh-CN" w:bidi="ar-SA"/>
              </w:rPr>
              <w:t>02</w:t>
            </w:r>
            <w:r>
              <w:rPr>
                <w:rFonts w:hint="eastAsia" w:ascii="Times New Roman" w:hAnsi="Times New Roman" w:eastAsia="宋体" w:cs="Times New Roman"/>
                <w:color w:val="auto"/>
                <w:kern w:val="2"/>
                <w:sz w:val="24"/>
                <w:szCs w:val="24"/>
                <w:lang w:val="en-US" w:eastAsia="zh-CN" w:bidi="ar-SA"/>
              </w:rPr>
              <w:t>t/a</w:t>
            </w:r>
            <w:r>
              <w:rPr>
                <w:rFonts w:hint="default" w:ascii="Times New Roman" w:hAnsi="Times New Roman" w:eastAsia="宋体" w:cs="Times New Roman"/>
                <w:color w:val="auto"/>
                <w:kern w:val="2"/>
                <w:sz w:val="24"/>
                <w:szCs w:val="24"/>
                <w:lang w:val="en-US" w:eastAsia="zh-CN" w:bidi="ar-SA"/>
              </w:rPr>
              <w:t>，属于一般固体废物，由车间工作人员统一收集后外售给有处置能力和资质单位处置。</w:t>
            </w:r>
          </w:p>
          <w:p w14:paraId="5766D876">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废包装袋</w:t>
            </w:r>
          </w:p>
          <w:p w14:paraId="602CD99F">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w:t>
            </w:r>
            <w:r>
              <w:rPr>
                <w:rFonts w:hint="eastAsia" w:cs="Times New Roman"/>
                <w:color w:val="auto"/>
                <w:kern w:val="2"/>
                <w:sz w:val="24"/>
                <w:szCs w:val="24"/>
                <w:lang w:val="en-US" w:eastAsia="zh-CN" w:bidi="ar-SA"/>
              </w:rPr>
              <w:t>氧化铝粉</w:t>
            </w:r>
            <w:r>
              <w:rPr>
                <w:rFonts w:hint="eastAsia" w:ascii="Times New Roman" w:hAnsi="Times New Roman" w:eastAsia="宋体" w:cs="Times New Roman"/>
                <w:color w:val="auto"/>
                <w:kern w:val="2"/>
                <w:sz w:val="24"/>
                <w:szCs w:val="24"/>
                <w:lang w:val="en-US" w:eastAsia="zh-CN" w:bidi="ar-SA"/>
              </w:rPr>
              <w:t>投料过程会产生一定量的</w:t>
            </w:r>
            <w:r>
              <w:rPr>
                <w:rFonts w:hint="eastAsia" w:cs="Times New Roman"/>
                <w:color w:val="auto"/>
                <w:kern w:val="2"/>
                <w:sz w:val="24"/>
                <w:szCs w:val="24"/>
                <w:lang w:val="en-US" w:eastAsia="zh-CN" w:bidi="ar-SA"/>
              </w:rPr>
              <w:t>破损</w:t>
            </w:r>
            <w:r>
              <w:rPr>
                <w:rFonts w:hint="eastAsia" w:ascii="Times New Roman" w:hAnsi="Times New Roman" w:eastAsia="宋体" w:cs="Times New Roman"/>
                <w:color w:val="auto"/>
                <w:kern w:val="2"/>
                <w:sz w:val="24"/>
                <w:szCs w:val="24"/>
                <w:lang w:val="en-US" w:eastAsia="zh-CN" w:bidi="ar-SA"/>
              </w:rPr>
              <w:t>废包装袋</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废包装袋</w:t>
            </w:r>
            <w:r>
              <w:rPr>
                <w:rFonts w:hint="eastAsia" w:ascii="Times New Roman" w:hAnsi="Times New Roman" w:eastAsia="宋体" w:cs="Times New Roman"/>
                <w:color w:val="auto"/>
                <w:kern w:val="2"/>
                <w:sz w:val="24"/>
                <w:szCs w:val="24"/>
                <w:lang w:val="en-US" w:eastAsia="zh-CN" w:bidi="ar-SA"/>
              </w:rPr>
              <w:t>产生量为</w:t>
            </w:r>
            <w:r>
              <w:rPr>
                <w:rFonts w:hint="eastAsia"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t>t/a，属于一般固体废物，由车间工作人员统一收集后外售给有处置能力和资质单位处置。</w:t>
            </w:r>
          </w:p>
          <w:p w14:paraId="29718B7A">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4</w:t>
            </w:r>
            <w:r>
              <w:rPr>
                <w:rFonts w:hint="default" w:ascii="Times New Roman" w:hAnsi="Times New Roman"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磁选杂质</w:t>
            </w:r>
          </w:p>
          <w:p w14:paraId="51C64B90">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根据前文分析</w:t>
            </w:r>
            <w:r>
              <w:rPr>
                <w:rFonts w:hint="default" w:ascii="Times New Roman" w:hAnsi="Times New Roman" w:eastAsia="宋体" w:cs="Times New Roman"/>
                <w:color w:val="auto"/>
                <w:kern w:val="2"/>
                <w:sz w:val="24"/>
                <w:szCs w:val="24"/>
                <w:lang w:val="en-US" w:eastAsia="zh-CN" w:bidi="ar-SA"/>
              </w:rPr>
              <w:t>，氧化铝微粉</w:t>
            </w:r>
            <w:r>
              <w:rPr>
                <w:rFonts w:hint="eastAsia" w:cs="Times New Roman"/>
                <w:color w:val="auto"/>
                <w:kern w:val="2"/>
                <w:sz w:val="24"/>
                <w:szCs w:val="24"/>
                <w:lang w:val="en-US" w:eastAsia="zh-CN" w:bidi="ar-SA"/>
              </w:rPr>
              <w:t>用量为20024t/a，杂质含量约为0.02%，则</w:t>
            </w:r>
            <w:r>
              <w:rPr>
                <w:rFonts w:hint="eastAsia" w:ascii="Times New Roman" w:hAnsi="Times New Roman" w:eastAsia="宋体" w:cs="Times New Roman"/>
                <w:color w:val="auto"/>
                <w:kern w:val="2"/>
                <w:sz w:val="24"/>
                <w:szCs w:val="24"/>
                <w:lang w:val="en-US" w:eastAsia="zh-CN" w:bidi="ar-SA"/>
              </w:rPr>
              <w:t>磁选杂质</w:t>
            </w:r>
            <w:r>
              <w:rPr>
                <w:rFonts w:hint="default" w:ascii="Times New Roman" w:hAnsi="Times New Roman" w:eastAsia="宋体" w:cs="Times New Roman"/>
                <w:color w:val="auto"/>
                <w:kern w:val="2"/>
                <w:sz w:val="24"/>
                <w:szCs w:val="24"/>
                <w:lang w:val="en-US" w:eastAsia="zh-CN" w:bidi="ar-SA"/>
              </w:rPr>
              <w:t>产生量</w:t>
            </w:r>
            <w:r>
              <w:rPr>
                <w:rFonts w:hint="eastAsia" w:ascii="Times New Roman" w:hAnsi="Times New Roman" w:eastAsia="宋体" w:cs="Times New Roman"/>
                <w:color w:val="auto"/>
                <w:kern w:val="2"/>
                <w:sz w:val="24"/>
                <w:szCs w:val="24"/>
                <w:lang w:val="en-US" w:eastAsia="zh-CN" w:bidi="ar-SA"/>
              </w:rPr>
              <w:t>约为4t/a</w:t>
            </w:r>
            <w:r>
              <w:rPr>
                <w:rFonts w:hint="default" w:ascii="Times New Roman" w:hAnsi="Times New Roman" w:eastAsia="宋体" w:cs="Times New Roman"/>
                <w:color w:val="auto"/>
                <w:kern w:val="2"/>
                <w:sz w:val="24"/>
                <w:szCs w:val="24"/>
                <w:lang w:val="en-US" w:eastAsia="zh-CN" w:bidi="ar-SA"/>
              </w:rPr>
              <w:t>，属于一般固体废物，由车间工作人员统一收集后外售给有处置能力和资质单位处置。</w:t>
            </w:r>
          </w:p>
          <w:p w14:paraId="37C2CF8D">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3、危险废物</w:t>
            </w:r>
          </w:p>
          <w:p w14:paraId="4E5A5FBC">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（1）废机油</w:t>
            </w:r>
          </w:p>
          <w:p w14:paraId="0ACE497F">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w:t>
            </w:r>
            <w:r>
              <w:rPr>
                <w:rFonts w:hint="eastAsia" w:ascii="Times New Roman" w:hAnsi="Times New Roman" w:eastAsia="宋体" w:cs="Times New Roman"/>
                <w:color w:val="auto"/>
                <w:kern w:val="2"/>
                <w:sz w:val="24"/>
                <w:szCs w:val="24"/>
                <w:lang w:val="en-US" w:eastAsia="zh-CN" w:bidi="ar-SA"/>
              </w:rPr>
              <w:t>设备维护保养过程会产生一定量的废机油，根据企业提供资料，</w:t>
            </w:r>
            <w:r>
              <w:rPr>
                <w:rFonts w:hint="eastAsia" w:ascii="Times New Roman" w:hAnsi="Times New Roman" w:cs="Times New Roman"/>
                <w:color w:val="auto"/>
                <w:sz w:val="24"/>
                <w:highlight w:val="none"/>
                <w:lang w:val="en-US" w:eastAsia="zh-CN"/>
              </w:rPr>
              <w:t>废机油</w:t>
            </w:r>
            <w:r>
              <w:rPr>
                <w:rFonts w:hint="eastAsia" w:ascii="Times New Roman" w:hAnsi="Times New Roman" w:eastAsia="宋体" w:cs="Times New Roman"/>
                <w:color w:val="auto"/>
                <w:kern w:val="2"/>
                <w:sz w:val="24"/>
                <w:szCs w:val="24"/>
                <w:lang w:val="en-US" w:eastAsia="zh-CN" w:bidi="ar-SA"/>
              </w:rPr>
              <w:t>产生量为0.01t/a，</w:t>
            </w:r>
            <w:r>
              <w:rPr>
                <w:rFonts w:hint="default" w:ascii="Times New Roman" w:hAnsi="Times New Roman" w:eastAsia="宋体" w:cs="Times New Roman"/>
                <w:color w:val="auto"/>
                <w:kern w:val="2"/>
                <w:sz w:val="24"/>
                <w:szCs w:val="24"/>
                <w:lang w:val="en-US" w:eastAsia="zh-CN" w:bidi="ar-SA"/>
              </w:rPr>
              <w:t>属于危险废物，危险废物类别HW</w:t>
            </w:r>
            <w:r>
              <w:rPr>
                <w:rFonts w:hint="eastAsia" w:ascii="Times New Roman" w:hAnsi="Times New Roman" w:eastAsia="宋体" w:cs="Times New Roman"/>
                <w:color w:val="auto"/>
                <w:kern w:val="2"/>
                <w:sz w:val="24"/>
                <w:szCs w:val="24"/>
                <w:lang w:val="en-US" w:eastAsia="zh-CN" w:bidi="ar-SA"/>
              </w:rPr>
              <w:t>08废矿物油与含矿物油废物</w:t>
            </w:r>
            <w:r>
              <w:rPr>
                <w:rFonts w:hint="default" w:ascii="Times New Roman" w:hAnsi="Times New Roman" w:eastAsia="宋体" w:cs="Times New Roman"/>
                <w:color w:val="auto"/>
                <w:kern w:val="2"/>
                <w:sz w:val="24"/>
                <w:szCs w:val="24"/>
                <w:lang w:val="en-US" w:eastAsia="zh-CN" w:bidi="ar-SA"/>
              </w:rPr>
              <w:t>，废物代码900-214-08，集中收集后密封暂存于危险废物暂存间，定期委托有危险废物资质的单位处置。</w:t>
            </w:r>
          </w:p>
          <w:p w14:paraId="339AC6BC">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（2）废机油桶</w:t>
            </w:r>
          </w:p>
          <w:p w14:paraId="45EADAAF">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根据企业提供资料，</w:t>
            </w:r>
            <w:r>
              <w:rPr>
                <w:rFonts w:hint="default" w:ascii="Times New Roman" w:hAnsi="Times New Roman" w:eastAsia="宋体" w:cs="Times New Roman"/>
                <w:color w:val="auto"/>
                <w:kern w:val="2"/>
                <w:sz w:val="24"/>
                <w:szCs w:val="24"/>
                <w:lang w:val="en-US" w:eastAsia="zh-CN" w:bidi="ar-SA"/>
              </w:rPr>
              <w:t>废机油桶</w:t>
            </w:r>
            <w:r>
              <w:rPr>
                <w:rFonts w:hint="default" w:ascii="Times New Roman" w:hAnsi="Times New Roman" w:eastAsia="宋体" w:cs="Times New Roman"/>
                <w:color w:val="auto"/>
                <w:sz w:val="24"/>
                <w:szCs w:val="24"/>
                <w:highlight w:val="none"/>
                <w:lang w:val="en-US" w:eastAsia="zh-CN"/>
              </w:rPr>
              <w:t>产生量</w:t>
            </w:r>
            <w:r>
              <w:rPr>
                <w:rFonts w:hint="eastAsia" w:ascii="Times New Roman" w:hAnsi="Times New Roman" w:eastAsia="宋体" w:cs="Times New Roman"/>
                <w:color w:val="auto"/>
                <w:sz w:val="24"/>
                <w:szCs w:val="24"/>
                <w:highlight w:val="none"/>
                <w:lang w:val="en-US" w:eastAsia="zh-CN"/>
              </w:rPr>
              <w:t>0.00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属于危险废物</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危废类别为</w:t>
            </w:r>
            <w:r>
              <w:rPr>
                <w:rFonts w:hint="default" w:ascii="Times New Roman" w:hAnsi="Times New Roman" w:eastAsia="宋体" w:cs="Times New Roman"/>
                <w:color w:val="auto"/>
                <w:kern w:val="2"/>
                <w:sz w:val="24"/>
                <w:szCs w:val="24"/>
                <w:lang w:val="en-US" w:eastAsia="zh-CN" w:bidi="ar-SA"/>
              </w:rPr>
              <w:t>HW</w:t>
            </w:r>
            <w:r>
              <w:rPr>
                <w:rFonts w:hint="eastAsia" w:ascii="Times New Roman" w:hAnsi="Times New Roman" w:eastAsia="宋体" w:cs="Times New Roman"/>
                <w:color w:val="auto"/>
                <w:kern w:val="2"/>
                <w:sz w:val="24"/>
                <w:szCs w:val="24"/>
                <w:lang w:val="en-US" w:eastAsia="zh-CN" w:bidi="ar-SA"/>
              </w:rPr>
              <w:t>08废矿物油与含矿物油废物</w:t>
            </w:r>
            <w:r>
              <w:rPr>
                <w:rFonts w:hint="default" w:ascii="Times New Roman" w:hAnsi="Times New Roman" w:eastAsia="宋体" w:cs="Times New Roman"/>
                <w:color w:val="auto"/>
                <w:kern w:val="2"/>
                <w:sz w:val="24"/>
                <w:szCs w:val="24"/>
                <w:lang w:val="en-US" w:eastAsia="zh-CN" w:bidi="ar-SA"/>
              </w:rPr>
              <w:t>，废物代码900-2</w:t>
            </w:r>
            <w:r>
              <w:rPr>
                <w:rFonts w:hint="eastAsia" w:ascii="Times New Roman" w:hAnsi="Times New Roman" w:eastAsia="宋体" w:cs="Times New Roman"/>
                <w:color w:val="auto"/>
                <w:kern w:val="2"/>
                <w:sz w:val="24"/>
                <w:szCs w:val="24"/>
                <w:lang w:val="en-US" w:eastAsia="zh-CN" w:bidi="ar-SA"/>
              </w:rPr>
              <w:t>49</w:t>
            </w:r>
            <w:r>
              <w:rPr>
                <w:rFonts w:hint="default" w:ascii="Times New Roman" w:hAnsi="Times New Roman" w:eastAsia="宋体" w:cs="Times New Roman"/>
                <w:color w:val="auto"/>
                <w:kern w:val="2"/>
                <w:sz w:val="24"/>
                <w:szCs w:val="24"/>
                <w:lang w:val="en-US" w:eastAsia="zh-CN" w:bidi="ar-SA"/>
              </w:rPr>
              <w:t>-08</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kern w:val="2"/>
                <w:sz w:val="24"/>
                <w:szCs w:val="24"/>
                <w:lang w:val="en-US" w:eastAsia="zh-CN" w:bidi="ar-SA"/>
              </w:rPr>
              <w:t>集中收集后密封暂存于危险废物暂存间，定期委托有危险废物资质的单位处置</w:t>
            </w:r>
            <w:r>
              <w:rPr>
                <w:rFonts w:hint="eastAsia" w:ascii="Times New Roman" w:hAnsi="Times New Roman" w:eastAsia="宋体" w:cs="Times New Roman"/>
                <w:color w:val="auto"/>
                <w:kern w:val="2"/>
                <w:sz w:val="24"/>
                <w:szCs w:val="24"/>
                <w:lang w:val="en-US" w:eastAsia="zh-CN" w:bidi="ar-SA"/>
              </w:rPr>
              <w:t>。</w:t>
            </w:r>
          </w:p>
          <w:p w14:paraId="361B6F04">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（3）含油废抹布</w:t>
            </w:r>
          </w:p>
          <w:p w14:paraId="4A75BD5E">
            <w:pPr>
              <w:keepNext w:val="0"/>
              <w:keepLines w:val="0"/>
              <w:numPr>
                <w:ilvl w:val="0"/>
                <w:numId w:val="0"/>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项目在设备维修、维护过程中会产生含油废抹布，产生量约为0.0</w:t>
            </w:r>
            <w:r>
              <w:rPr>
                <w:rFonts w:hint="default" w:ascii="Times New Roman" w:hAnsi="Times New Roman" w:cs="Times New Roman"/>
                <w:color w:val="auto"/>
                <w:sz w:val="24"/>
                <w:szCs w:val="24"/>
                <w:highlight w:val="none"/>
                <w:lang w:val="en-US" w:eastAsia="zh-CN"/>
              </w:rPr>
              <w:t>01</w:t>
            </w:r>
            <w:r>
              <w:rPr>
                <w:rFonts w:hint="default" w:ascii="Times New Roman" w:hAnsi="Times New Roman" w:cs="Times New Roman"/>
                <w:color w:val="auto"/>
                <w:sz w:val="24"/>
                <w:szCs w:val="24"/>
                <w:highlight w:val="none"/>
              </w:rPr>
              <w:t>t/a</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lang w:val="en-US" w:eastAsia="zh-CN" w:bidi="ar-SA"/>
              </w:rPr>
              <w:t>属于危险废物</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危废类别为</w:t>
            </w:r>
            <w:r>
              <w:rPr>
                <w:rFonts w:hint="default" w:ascii="Times New Roman" w:hAnsi="Times New Roman" w:cs="Times New Roman"/>
                <w:color w:val="auto"/>
                <w:sz w:val="24"/>
                <w:szCs w:val="24"/>
                <w:highlight w:val="none"/>
                <w:lang w:val="en-US" w:eastAsia="zh-CN"/>
              </w:rPr>
              <w:t>HW49，危废代码为</w:t>
            </w:r>
            <w:r>
              <w:rPr>
                <w:rFonts w:hint="default" w:ascii="Times New Roman" w:hAnsi="Times New Roman" w:cs="Times New Roman"/>
                <w:color w:val="auto"/>
                <w:sz w:val="24"/>
                <w:szCs w:val="24"/>
                <w:highlight w:val="none"/>
              </w:rPr>
              <w:t>900-041-49</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含油废抹布暂存危废间，委托有资质单位处理。</w:t>
            </w:r>
          </w:p>
          <w:p w14:paraId="60DBA5D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 w:val="24"/>
                <w:highlight w:val="none"/>
              </w:rPr>
              <w:t>经采取以上措施后，项目运营期间产生的固体废物对周围环境的影响较小</w:t>
            </w:r>
            <w:r>
              <w:rPr>
                <w:rFonts w:hint="default" w:ascii="Times New Roman" w:hAnsi="Times New Roman" w:cs="Times New Roman"/>
                <w:color w:val="auto"/>
                <w:szCs w:val="21"/>
                <w:highlight w:val="none"/>
              </w:rPr>
              <w:t>。</w:t>
            </w:r>
          </w:p>
          <w:p w14:paraId="4B695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表4-</w:t>
            </w:r>
            <w:r>
              <w:rPr>
                <w:rFonts w:hint="eastAsia" w:ascii="Times New Roman" w:hAnsi="Times New Roman" w:eastAsia="宋体" w:cs="Times New Roman"/>
                <w:b/>
                <w:color w:val="auto"/>
                <w:szCs w:val="21"/>
                <w:highlight w:val="none"/>
                <w:lang w:val="en-US" w:eastAsia="zh-CN"/>
              </w:rPr>
              <w:t>8</w:t>
            </w:r>
            <w:r>
              <w:rPr>
                <w:rFonts w:hint="default" w:ascii="Times New Roman" w:hAnsi="Times New Roman" w:eastAsia="宋体" w:cs="Times New Roman"/>
                <w:b/>
                <w:color w:val="auto"/>
                <w:szCs w:val="21"/>
                <w:highlight w:val="none"/>
                <w:lang w:val="en-US" w:eastAsia="zh-CN"/>
              </w:rPr>
              <w:t xml:space="preserve"> 本项目固体废物产生及排放情况</w:t>
            </w:r>
          </w:p>
          <w:tbl>
            <w:tblPr>
              <w:tblStyle w:val="36"/>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453"/>
              <w:gridCol w:w="1415"/>
              <w:gridCol w:w="1157"/>
              <w:gridCol w:w="1114"/>
              <w:gridCol w:w="1093"/>
              <w:gridCol w:w="986"/>
              <w:gridCol w:w="1179"/>
              <w:gridCol w:w="1331"/>
            </w:tblGrid>
            <w:tr w14:paraId="576D8C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noWrap w:val="0"/>
                  <w:vAlign w:val="center"/>
                </w:tcPr>
                <w:p w14:paraId="25199BE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415" w:type="dxa"/>
                  <w:noWrap w:val="0"/>
                  <w:vAlign w:val="center"/>
                </w:tcPr>
                <w:p w14:paraId="7A13A5E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废物名称</w:t>
                  </w:r>
                </w:p>
              </w:tc>
              <w:tc>
                <w:tcPr>
                  <w:tcW w:w="1157" w:type="dxa"/>
                  <w:noWrap w:val="0"/>
                  <w:vAlign w:val="center"/>
                </w:tcPr>
                <w:p w14:paraId="0AF6862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产生环节</w:t>
                  </w:r>
                </w:p>
              </w:tc>
              <w:tc>
                <w:tcPr>
                  <w:tcW w:w="1114" w:type="dxa"/>
                  <w:noWrap w:val="0"/>
                  <w:vAlign w:val="center"/>
                </w:tcPr>
                <w:p w14:paraId="187AB81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废物属性</w:t>
                  </w:r>
                </w:p>
              </w:tc>
              <w:tc>
                <w:tcPr>
                  <w:tcW w:w="1093" w:type="dxa"/>
                  <w:noWrap w:val="0"/>
                  <w:vAlign w:val="center"/>
                </w:tcPr>
                <w:p w14:paraId="06E7B6D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物理性状</w:t>
                  </w:r>
                </w:p>
              </w:tc>
              <w:tc>
                <w:tcPr>
                  <w:tcW w:w="986" w:type="dxa"/>
                  <w:noWrap w:val="0"/>
                  <w:vAlign w:val="center"/>
                </w:tcPr>
                <w:p w14:paraId="72F922D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产生量</w:t>
                  </w:r>
                </w:p>
              </w:tc>
              <w:tc>
                <w:tcPr>
                  <w:tcW w:w="1179" w:type="dxa"/>
                  <w:noWrap w:val="0"/>
                  <w:vAlign w:val="center"/>
                </w:tcPr>
                <w:p w14:paraId="07281ED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贮存</w:t>
                  </w:r>
                </w:p>
                <w:p w14:paraId="33DB430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方式</w:t>
                  </w:r>
                </w:p>
              </w:tc>
              <w:tc>
                <w:tcPr>
                  <w:tcW w:w="1331" w:type="dxa"/>
                  <w:noWrap w:val="0"/>
                  <w:vAlign w:val="center"/>
                </w:tcPr>
                <w:p w14:paraId="3924EC1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利用处置方式和去向</w:t>
                  </w:r>
                </w:p>
              </w:tc>
            </w:tr>
            <w:tr w14:paraId="0D951B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noWrap w:val="0"/>
                  <w:vAlign w:val="center"/>
                </w:tcPr>
                <w:p w14:paraId="3AF9D1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c>
                <w:tcPr>
                  <w:tcW w:w="1415" w:type="dxa"/>
                  <w:noWrap w:val="0"/>
                  <w:vAlign w:val="center"/>
                </w:tcPr>
                <w:p w14:paraId="5F4104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157" w:type="dxa"/>
                  <w:noWrap w:val="0"/>
                  <w:vAlign w:val="center"/>
                </w:tcPr>
                <w:p w14:paraId="1EFB16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生活过程</w:t>
                  </w:r>
                </w:p>
              </w:tc>
              <w:tc>
                <w:tcPr>
                  <w:tcW w:w="1114" w:type="dxa"/>
                  <w:noWrap w:val="0"/>
                  <w:vAlign w:val="center"/>
                </w:tcPr>
                <w:p w14:paraId="1D0EA8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093" w:type="dxa"/>
                  <w:noWrap w:val="0"/>
                  <w:vAlign w:val="center"/>
                </w:tcPr>
                <w:p w14:paraId="47746C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986" w:type="dxa"/>
                  <w:noWrap w:val="0"/>
                  <w:vAlign w:val="center"/>
                </w:tcPr>
                <w:p w14:paraId="607D0A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2.25</w:t>
                  </w:r>
                  <w:r>
                    <w:rPr>
                      <w:rFonts w:hint="default" w:ascii="Times New Roman" w:hAnsi="Times New Roman" w:eastAsia="宋体" w:cs="Times New Roman"/>
                      <w:color w:val="auto"/>
                      <w:sz w:val="21"/>
                      <w:szCs w:val="21"/>
                      <w:highlight w:val="none"/>
                      <w:lang w:val="en-US" w:eastAsia="zh-CN"/>
                    </w:rPr>
                    <w:t>t/a</w:t>
                  </w:r>
                </w:p>
              </w:tc>
              <w:tc>
                <w:tcPr>
                  <w:tcW w:w="1179" w:type="dxa"/>
                  <w:noWrap w:val="0"/>
                  <w:vAlign w:val="center"/>
                </w:tcPr>
                <w:p w14:paraId="715BEF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垃圾桶</w:t>
                  </w:r>
                </w:p>
              </w:tc>
              <w:tc>
                <w:tcPr>
                  <w:tcW w:w="1331" w:type="dxa"/>
                  <w:noWrap w:val="0"/>
                  <w:vAlign w:val="center"/>
                </w:tcPr>
                <w:p w14:paraId="3F164B3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环卫部门统一收集处理</w:t>
                  </w:r>
                </w:p>
              </w:tc>
            </w:tr>
            <w:tr w14:paraId="1C957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2" w:hRule="atLeast"/>
                <w:jc w:val="center"/>
              </w:trPr>
              <w:tc>
                <w:tcPr>
                  <w:tcW w:w="453" w:type="dxa"/>
                  <w:shd w:val="clear" w:color="auto" w:fill="auto"/>
                  <w:noWrap w:val="0"/>
                  <w:vAlign w:val="center"/>
                </w:tcPr>
                <w:p w14:paraId="291F6E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w:t>
                  </w:r>
                </w:p>
              </w:tc>
              <w:tc>
                <w:tcPr>
                  <w:tcW w:w="1415" w:type="dxa"/>
                  <w:shd w:val="clear" w:color="auto" w:fill="auto"/>
                  <w:noWrap w:val="0"/>
                  <w:vAlign w:val="center"/>
                </w:tcPr>
                <w:p w14:paraId="6DE51E8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布袋除尘器收集粉尘</w:t>
                  </w:r>
                </w:p>
              </w:tc>
              <w:tc>
                <w:tcPr>
                  <w:tcW w:w="1157" w:type="dxa"/>
                  <w:shd w:val="clear" w:color="auto" w:fill="auto"/>
                  <w:noWrap w:val="0"/>
                  <w:vAlign w:val="center"/>
                </w:tcPr>
                <w:p w14:paraId="58CE1CB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环保设施</w:t>
                  </w:r>
                </w:p>
              </w:tc>
              <w:tc>
                <w:tcPr>
                  <w:tcW w:w="1114" w:type="dxa"/>
                  <w:vMerge w:val="restart"/>
                  <w:noWrap w:val="0"/>
                  <w:vAlign w:val="center"/>
                </w:tcPr>
                <w:p w14:paraId="3C1B09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一般固废</w:t>
                  </w:r>
                </w:p>
              </w:tc>
              <w:tc>
                <w:tcPr>
                  <w:tcW w:w="1093" w:type="dxa"/>
                  <w:shd w:val="clear" w:color="auto" w:fill="auto"/>
                  <w:noWrap w:val="0"/>
                  <w:vAlign w:val="center"/>
                </w:tcPr>
                <w:p w14:paraId="138A8F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6" w:type="dxa"/>
                  <w:shd w:val="clear" w:color="auto" w:fill="auto"/>
                  <w:noWrap w:val="0"/>
                  <w:vAlign w:val="center"/>
                </w:tcPr>
                <w:p w14:paraId="1879537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25.92</w:t>
                  </w:r>
                  <w:r>
                    <w:rPr>
                      <w:rFonts w:hint="default" w:ascii="Times New Roman" w:hAnsi="Times New Roman" w:eastAsia="宋体" w:cs="Times New Roman"/>
                      <w:color w:val="auto"/>
                      <w:sz w:val="21"/>
                      <w:szCs w:val="21"/>
                      <w:highlight w:val="none"/>
                      <w:lang w:val="en-US" w:eastAsia="zh-CN"/>
                    </w:rPr>
                    <w:t>t/a</w:t>
                  </w:r>
                </w:p>
              </w:tc>
              <w:tc>
                <w:tcPr>
                  <w:tcW w:w="1179" w:type="dxa"/>
                  <w:vMerge w:val="restart"/>
                  <w:noWrap w:val="0"/>
                  <w:vAlign w:val="center"/>
                </w:tcPr>
                <w:p w14:paraId="55BC80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一般固废暂存区</w:t>
                  </w:r>
                </w:p>
              </w:tc>
              <w:tc>
                <w:tcPr>
                  <w:tcW w:w="1331" w:type="dxa"/>
                  <w:noWrap w:val="0"/>
                  <w:vAlign w:val="center"/>
                </w:tcPr>
                <w:p w14:paraId="5B4340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集中收集，定期回用</w:t>
                  </w:r>
                </w:p>
              </w:tc>
            </w:tr>
            <w:tr w14:paraId="150ADC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2" w:hRule="atLeast"/>
                <w:jc w:val="center"/>
              </w:trPr>
              <w:tc>
                <w:tcPr>
                  <w:tcW w:w="453" w:type="dxa"/>
                  <w:shd w:val="clear" w:color="auto" w:fill="auto"/>
                  <w:noWrap w:val="0"/>
                  <w:vAlign w:val="center"/>
                </w:tcPr>
                <w:p w14:paraId="7370810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1415" w:type="dxa"/>
                  <w:shd w:val="clear" w:color="auto" w:fill="auto"/>
                  <w:noWrap w:val="0"/>
                  <w:vAlign w:val="center"/>
                </w:tcPr>
                <w:p w14:paraId="1BFB8E3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废布袋</w:t>
                  </w:r>
                </w:p>
              </w:tc>
              <w:tc>
                <w:tcPr>
                  <w:tcW w:w="1157" w:type="dxa"/>
                  <w:shd w:val="clear" w:color="auto" w:fill="auto"/>
                  <w:noWrap w:val="0"/>
                  <w:vAlign w:val="center"/>
                </w:tcPr>
                <w:p w14:paraId="632B1A5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环保设施</w:t>
                  </w:r>
                </w:p>
              </w:tc>
              <w:tc>
                <w:tcPr>
                  <w:tcW w:w="1114" w:type="dxa"/>
                  <w:vMerge w:val="continue"/>
                  <w:noWrap w:val="0"/>
                  <w:vAlign w:val="center"/>
                </w:tcPr>
                <w:p w14:paraId="69DA49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093" w:type="dxa"/>
                  <w:shd w:val="clear" w:color="auto" w:fill="auto"/>
                  <w:noWrap w:val="0"/>
                  <w:vAlign w:val="center"/>
                </w:tcPr>
                <w:p w14:paraId="26BE03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固态</w:t>
                  </w:r>
                </w:p>
              </w:tc>
              <w:tc>
                <w:tcPr>
                  <w:tcW w:w="986" w:type="dxa"/>
                  <w:shd w:val="clear" w:color="auto" w:fill="auto"/>
                  <w:noWrap w:val="0"/>
                  <w:vAlign w:val="center"/>
                </w:tcPr>
                <w:p w14:paraId="67C13D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0.02t/a</w:t>
                  </w:r>
                </w:p>
              </w:tc>
              <w:tc>
                <w:tcPr>
                  <w:tcW w:w="1179" w:type="dxa"/>
                  <w:vMerge w:val="continue"/>
                  <w:noWrap w:val="0"/>
                  <w:vAlign w:val="center"/>
                </w:tcPr>
                <w:p w14:paraId="49FDFA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331" w:type="dxa"/>
                  <w:vMerge w:val="restart"/>
                  <w:noWrap w:val="0"/>
                  <w:vAlign w:val="center"/>
                </w:tcPr>
                <w:p w14:paraId="5CFF84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收集后外售给有处置能力和资质单位处置</w:t>
                  </w:r>
                </w:p>
              </w:tc>
            </w:tr>
            <w:tr w14:paraId="3CF75A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shd w:val="clear" w:color="auto" w:fill="auto"/>
                  <w:noWrap w:val="0"/>
                  <w:vAlign w:val="center"/>
                </w:tcPr>
                <w:p w14:paraId="37AC3E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1415" w:type="dxa"/>
                  <w:shd w:val="clear" w:color="auto" w:fill="auto"/>
                  <w:noWrap w:val="0"/>
                  <w:vAlign w:val="center"/>
                </w:tcPr>
                <w:p w14:paraId="6E80820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废包装袋</w:t>
                  </w:r>
                </w:p>
              </w:tc>
              <w:tc>
                <w:tcPr>
                  <w:tcW w:w="1157" w:type="dxa"/>
                  <w:shd w:val="clear" w:color="auto" w:fill="auto"/>
                  <w:noWrap w:val="0"/>
                  <w:vAlign w:val="center"/>
                </w:tcPr>
                <w:p w14:paraId="60DB7D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生产过程</w:t>
                  </w:r>
                </w:p>
              </w:tc>
              <w:tc>
                <w:tcPr>
                  <w:tcW w:w="1114" w:type="dxa"/>
                  <w:vMerge w:val="continue"/>
                  <w:shd w:val="clear" w:color="auto" w:fill="auto"/>
                  <w:noWrap w:val="0"/>
                  <w:vAlign w:val="center"/>
                </w:tcPr>
                <w:p w14:paraId="181066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093" w:type="dxa"/>
                  <w:shd w:val="clear" w:color="auto" w:fill="auto"/>
                  <w:noWrap w:val="0"/>
                  <w:vAlign w:val="center"/>
                </w:tcPr>
                <w:p w14:paraId="03BFD1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6" w:type="dxa"/>
                  <w:shd w:val="clear" w:color="auto" w:fill="auto"/>
                  <w:noWrap w:val="0"/>
                  <w:vAlign w:val="center"/>
                </w:tcPr>
                <w:p w14:paraId="1AE2C5C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t/a</w:t>
                  </w:r>
                </w:p>
              </w:tc>
              <w:tc>
                <w:tcPr>
                  <w:tcW w:w="1179" w:type="dxa"/>
                  <w:vMerge w:val="continue"/>
                  <w:noWrap w:val="0"/>
                  <w:vAlign w:val="center"/>
                </w:tcPr>
                <w:p w14:paraId="6085E2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331" w:type="dxa"/>
                  <w:vMerge w:val="continue"/>
                  <w:noWrap w:val="0"/>
                  <w:vAlign w:val="center"/>
                </w:tcPr>
                <w:p w14:paraId="7D152F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1C4BA4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shd w:val="clear" w:color="auto" w:fill="auto"/>
                  <w:noWrap w:val="0"/>
                  <w:vAlign w:val="center"/>
                </w:tcPr>
                <w:p w14:paraId="5CD3700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1415" w:type="dxa"/>
                  <w:noWrap w:val="0"/>
                  <w:vAlign w:val="center"/>
                </w:tcPr>
                <w:p w14:paraId="0A0705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磁选杂质</w:t>
                  </w:r>
                </w:p>
              </w:tc>
              <w:tc>
                <w:tcPr>
                  <w:tcW w:w="1157" w:type="dxa"/>
                  <w:noWrap w:val="0"/>
                  <w:vAlign w:val="center"/>
                </w:tcPr>
                <w:p w14:paraId="114324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生产过程</w:t>
                  </w:r>
                </w:p>
              </w:tc>
              <w:tc>
                <w:tcPr>
                  <w:tcW w:w="1114" w:type="dxa"/>
                  <w:vMerge w:val="continue"/>
                  <w:noWrap w:val="0"/>
                  <w:vAlign w:val="center"/>
                </w:tcPr>
                <w:p w14:paraId="3D5F60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093" w:type="dxa"/>
                  <w:shd w:val="clear" w:color="auto" w:fill="auto"/>
                  <w:noWrap w:val="0"/>
                  <w:vAlign w:val="center"/>
                </w:tcPr>
                <w:p w14:paraId="446F8E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6" w:type="dxa"/>
                  <w:shd w:val="clear" w:color="auto" w:fill="auto"/>
                  <w:noWrap w:val="0"/>
                  <w:vAlign w:val="center"/>
                </w:tcPr>
                <w:p w14:paraId="36CF81B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t/a</w:t>
                  </w:r>
                </w:p>
              </w:tc>
              <w:tc>
                <w:tcPr>
                  <w:tcW w:w="1179" w:type="dxa"/>
                  <w:vMerge w:val="continue"/>
                  <w:noWrap w:val="0"/>
                  <w:vAlign w:val="center"/>
                </w:tcPr>
                <w:p w14:paraId="7C89E6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331" w:type="dxa"/>
                  <w:vMerge w:val="continue"/>
                  <w:noWrap w:val="0"/>
                  <w:vAlign w:val="center"/>
                </w:tcPr>
                <w:p w14:paraId="61E98F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0C014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shd w:val="clear" w:color="auto" w:fill="auto"/>
                  <w:noWrap w:val="0"/>
                  <w:vAlign w:val="center"/>
                </w:tcPr>
                <w:p w14:paraId="5C583D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w:t>
                  </w:r>
                </w:p>
              </w:tc>
              <w:tc>
                <w:tcPr>
                  <w:tcW w:w="1415" w:type="dxa"/>
                  <w:noWrap w:val="0"/>
                  <w:vAlign w:val="center"/>
                </w:tcPr>
                <w:p w14:paraId="361C9D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废机油</w:t>
                  </w:r>
                </w:p>
              </w:tc>
              <w:tc>
                <w:tcPr>
                  <w:tcW w:w="1157" w:type="dxa"/>
                  <w:noWrap w:val="0"/>
                  <w:vAlign w:val="center"/>
                </w:tcPr>
                <w:p w14:paraId="4CAB13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维护保养</w:t>
                  </w:r>
                </w:p>
              </w:tc>
              <w:tc>
                <w:tcPr>
                  <w:tcW w:w="1114" w:type="dxa"/>
                  <w:vMerge w:val="restart"/>
                  <w:noWrap w:val="0"/>
                  <w:vAlign w:val="center"/>
                </w:tcPr>
                <w:p w14:paraId="18ABCF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危险废物</w:t>
                  </w:r>
                </w:p>
              </w:tc>
              <w:tc>
                <w:tcPr>
                  <w:tcW w:w="1093" w:type="dxa"/>
                  <w:noWrap w:val="0"/>
                  <w:vAlign w:val="center"/>
                </w:tcPr>
                <w:p w14:paraId="312972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986" w:type="dxa"/>
                  <w:noWrap w:val="0"/>
                  <w:vAlign w:val="center"/>
                </w:tcPr>
                <w:p w14:paraId="432432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lang w:val="en-US" w:eastAsia="zh-CN"/>
                    </w:rPr>
                    <w:t>t/a</w:t>
                  </w:r>
                </w:p>
              </w:tc>
              <w:tc>
                <w:tcPr>
                  <w:tcW w:w="1179" w:type="dxa"/>
                  <w:vMerge w:val="restart"/>
                  <w:noWrap w:val="0"/>
                  <w:vAlign w:val="center"/>
                </w:tcPr>
                <w:p w14:paraId="4F1D58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危废暂存间</w:t>
                  </w:r>
                </w:p>
              </w:tc>
              <w:tc>
                <w:tcPr>
                  <w:tcW w:w="1331" w:type="dxa"/>
                  <w:vMerge w:val="restart"/>
                  <w:noWrap w:val="0"/>
                  <w:vAlign w:val="center"/>
                </w:tcPr>
                <w:p w14:paraId="044725F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委托资质单位处置</w:t>
                  </w:r>
                </w:p>
              </w:tc>
            </w:tr>
            <w:tr w14:paraId="298373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shd w:val="clear" w:color="auto" w:fill="auto"/>
                  <w:noWrap w:val="0"/>
                  <w:vAlign w:val="center"/>
                </w:tcPr>
                <w:p w14:paraId="6F5B36E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w:t>
                  </w:r>
                </w:p>
              </w:tc>
              <w:tc>
                <w:tcPr>
                  <w:tcW w:w="1415" w:type="dxa"/>
                  <w:noWrap w:val="0"/>
                  <w:vAlign w:val="center"/>
                </w:tcPr>
                <w:p w14:paraId="6ED4F1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含油废抹布</w:t>
                  </w:r>
                </w:p>
              </w:tc>
              <w:tc>
                <w:tcPr>
                  <w:tcW w:w="1157" w:type="dxa"/>
                  <w:noWrap w:val="0"/>
                  <w:vAlign w:val="center"/>
                </w:tcPr>
                <w:p w14:paraId="3A7C65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维护保养</w:t>
                  </w:r>
                </w:p>
              </w:tc>
              <w:tc>
                <w:tcPr>
                  <w:tcW w:w="1114" w:type="dxa"/>
                  <w:vMerge w:val="continue"/>
                  <w:noWrap w:val="0"/>
                  <w:vAlign w:val="center"/>
                </w:tcPr>
                <w:p w14:paraId="47EA51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093" w:type="dxa"/>
                  <w:noWrap w:val="0"/>
                  <w:vAlign w:val="center"/>
                </w:tcPr>
                <w:p w14:paraId="6B889B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6" w:type="dxa"/>
                  <w:noWrap w:val="0"/>
                  <w:vAlign w:val="center"/>
                </w:tcPr>
                <w:p w14:paraId="20ED310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0.001</w:t>
                  </w:r>
                  <w:r>
                    <w:rPr>
                      <w:rFonts w:hint="default" w:ascii="Times New Roman" w:hAnsi="Times New Roman" w:eastAsia="宋体" w:cs="Times New Roman"/>
                      <w:color w:val="auto"/>
                      <w:sz w:val="21"/>
                      <w:szCs w:val="21"/>
                      <w:highlight w:val="none"/>
                      <w:lang w:val="en-US" w:eastAsia="zh-CN"/>
                    </w:rPr>
                    <w:t>t/a</w:t>
                  </w:r>
                </w:p>
              </w:tc>
              <w:tc>
                <w:tcPr>
                  <w:tcW w:w="1179" w:type="dxa"/>
                  <w:vMerge w:val="continue"/>
                  <w:noWrap w:val="0"/>
                  <w:vAlign w:val="center"/>
                </w:tcPr>
                <w:p w14:paraId="129DEF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331" w:type="dxa"/>
                  <w:vMerge w:val="continue"/>
                  <w:noWrap w:val="0"/>
                  <w:vAlign w:val="center"/>
                </w:tcPr>
                <w:p w14:paraId="684180B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578753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453" w:type="dxa"/>
                  <w:shd w:val="clear" w:color="auto" w:fill="auto"/>
                  <w:noWrap w:val="0"/>
                  <w:vAlign w:val="center"/>
                </w:tcPr>
                <w:p w14:paraId="4A5AA2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1415" w:type="dxa"/>
                  <w:noWrap w:val="0"/>
                  <w:vAlign w:val="center"/>
                </w:tcPr>
                <w:p w14:paraId="0B042A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废机油桶</w:t>
                  </w:r>
                </w:p>
              </w:tc>
              <w:tc>
                <w:tcPr>
                  <w:tcW w:w="1157" w:type="dxa"/>
                  <w:noWrap w:val="0"/>
                  <w:vAlign w:val="center"/>
                </w:tcPr>
                <w:p w14:paraId="6C8431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维护保养</w:t>
                  </w:r>
                </w:p>
              </w:tc>
              <w:tc>
                <w:tcPr>
                  <w:tcW w:w="1114" w:type="dxa"/>
                  <w:vMerge w:val="continue"/>
                  <w:noWrap w:val="0"/>
                  <w:vAlign w:val="center"/>
                </w:tcPr>
                <w:p w14:paraId="285CEE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093" w:type="dxa"/>
                  <w:noWrap w:val="0"/>
                  <w:vAlign w:val="center"/>
                </w:tcPr>
                <w:p w14:paraId="0279CF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6" w:type="dxa"/>
                  <w:noWrap w:val="0"/>
                  <w:vAlign w:val="center"/>
                </w:tcPr>
                <w:p w14:paraId="3F29B0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0.001</w:t>
                  </w:r>
                  <w:r>
                    <w:rPr>
                      <w:rFonts w:hint="default" w:ascii="Times New Roman" w:hAnsi="Times New Roman" w:eastAsia="宋体" w:cs="Times New Roman"/>
                      <w:color w:val="auto"/>
                      <w:sz w:val="21"/>
                      <w:szCs w:val="21"/>
                      <w:highlight w:val="none"/>
                      <w:lang w:val="en-US" w:eastAsia="zh-CN"/>
                    </w:rPr>
                    <w:t>t/a</w:t>
                  </w:r>
                </w:p>
              </w:tc>
              <w:tc>
                <w:tcPr>
                  <w:tcW w:w="1179" w:type="dxa"/>
                  <w:vMerge w:val="continue"/>
                  <w:noWrap w:val="0"/>
                  <w:vAlign w:val="center"/>
                </w:tcPr>
                <w:p w14:paraId="76A36C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331" w:type="dxa"/>
                  <w:vMerge w:val="continue"/>
                  <w:noWrap w:val="0"/>
                  <w:vAlign w:val="center"/>
                </w:tcPr>
                <w:p w14:paraId="78148CF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bl>
          <w:p w14:paraId="0FC3F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表4-</w:t>
            </w:r>
            <w:r>
              <w:rPr>
                <w:rFonts w:hint="eastAsia" w:ascii="Times New Roman" w:hAnsi="Times New Roman" w:eastAsia="宋体" w:cs="Times New Roman"/>
                <w:b/>
                <w:color w:val="auto"/>
                <w:szCs w:val="21"/>
                <w:highlight w:val="none"/>
                <w:lang w:val="en-US" w:eastAsia="zh-CN"/>
              </w:rPr>
              <w:t xml:space="preserve">9 </w:t>
            </w:r>
            <w:r>
              <w:rPr>
                <w:rFonts w:hint="default" w:ascii="Times New Roman" w:hAnsi="Times New Roman" w:eastAsia="宋体" w:cs="Times New Roman"/>
                <w:b/>
                <w:color w:val="auto"/>
                <w:szCs w:val="21"/>
                <w:highlight w:val="none"/>
                <w:lang w:val="en-US" w:eastAsia="zh-CN"/>
              </w:rPr>
              <w:t>建设项目危险废物贮存场所（设施）基本情况表</w:t>
            </w:r>
          </w:p>
          <w:tbl>
            <w:tblPr>
              <w:tblStyle w:val="36"/>
              <w:tblW w:w="499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387"/>
              <w:gridCol w:w="888"/>
              <w:gridCol w:w="1352"/>
              <w:gridCol w:w="803"/>
              <w:gridCol w:w="1086"/>
              <w:gridCol w:w="672"/>
              <w:gridCol w:w="906"/>
              <w:gridCol w:w="955"/>
              <w:gridCol w:w="755"/>
              <w:gridCol w:w="917"/>
            </w:tblGrid>
            <w:tr w14:paraId="2B4E3E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387" w:type="dxa"/>
                  <w:noWrap w:val="0"/>
                  <w:vAlign w:val="center"/>
                </w:tcPr>
                <w:p w14:paraId="5FC4D4E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888" w:type="dxa"/>
                  <w:noWrap w:val="0"/>
                  <w:vAlign w:val="center"/>
                </w:tcPr>
                <w:p w14:paraId="20D566E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贮存场所（设施）</w:t>
                  </w:r>
                </w:p>
                <w:p w14:paraId="2464239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名称</w:t>
                  </w:r>
                </w:p>
              </w:tc>
              <w:tc>
                <w:tcPr>
                  <w:tcW w:w="1352" w:type="dxa"/>
                  <w:noWrap w:val="0"/>
                  <w:vAlign w:val="center"/>
                </w:tcPr>
                <w:p w14:paraId="35648BA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危险废物名称</w:t>
                  </w:r>
                </w:p>
              </w:tc>
              <w:tc>
                <w:tcPr>
                  <w:tcW w:w="803" w:type="dxa"/>
                  <w:noWrap w:val="0"/>
                  <w:vAlign w:val="center"/>
                </w:tcPr>
                <w:p w14:paraId="36DD640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危险废物特性</w:t>
                  </w:r>
                </w:p>
              </w:tc>
              <w:tc>
                <w:tcPr>
                  <w:tcW w:w="1086" w:type="dxa"/>
                  <w:noWrap w:val="0"/>
                  <w:vAlign w:val="center"/>
                </w:tcPr>
                <w:p w14:paraId="572E203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危险废物代码</w:t>
                  </w:r>
                </w:p>
              </w:tc>
              <w:tc>
                <w:tcPr>
                  <w:tcW w:w="672" w:type="dxa"/>
                  <w:noWrap w:val="0"/>
                  <w:vAlign w:val="center"/>
                </w:tcPr>
                <w:p w14:paraId="7DCE056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位置</w:t>
                  </w:r>
                </w:p>
              </w:tc>
              <w:tc>
                <w:tcPr>
                  <w:tcW w:w="906" w:type="dxa"/>
                  <w:noWrap w:val="0"/>
                  <w:vAlign w:val="center"/>
                </w:tcPr>
                <w:p w14:paraId="7B08AEF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占地面积</w:t>
                  </w:r>
                </w:p>
              </w:tc>
              <w:tc>
                <w:tcPr>
                  <w:tcW w:w="955" w:type="dxa"/>
                  <w:noWrap w:val="0"/>
                  <w:vAlign w:val="center"/>
                </w:tcPr>
                <w:p w14:paraId="485B5DB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贮存方式</w:t>
                  </w:r>
                </w:p>
              </w:tc>
              <w:tc>
                <w:tcPr>
                  <w:tcW w:w="755" w:type="dxa"/>
                  <w:noWrap w:val="0"/>
                  <w:vAlign w:val="center"/>
                </w:tcPr>
                <w:p w14:paraId="0DE01FA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eastAsia="zh-CN"/>
                    </w:rPr>
                  </w:pPr>
                  <w:r>
                    <w:rPr>
                      <w:rFonts w:hint="eastAsia" w:ascii="Times New Roman" w:hAnsi="Times New Roman" w:cs="Times New Roman"/>
                      <w:b/>
                      <w:bCs/>
                      <w:color w:val="auto"/>
                      <w:szCs w:val="21"/>
                      <w:highlight w:val="none"/>
                      <w:lang w:val="en-US" w:eastAsia="zh-CN"/>
                    </w:rPr>
                    <w:t>储存能力</w:t>
                  </w:r>
                </w:p>
              </w:tc>
              <w:tc>
                <w:tcPr>
                  <w:tcW w:w="917" w:type="dxa"/>
                  <w:noWrap w:val="0"/>
                  <w:vAlign w:val="center"/>
                </w:tcPr>
                <w:p w14:paraId="5B8A107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贮存周期</w:t>
                  </w:r>
                </w:p>
              </w:tc>
            </w:tr>
            <w:tr w14:paraId="735568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387" w:type="dxa"/>
                  <w:noWrap w:val="0"/>
                  <w:vAlign w:val="center"/>
                </w:tcPr>
                <w:p w14:paraId="715026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1</w:t>
                  </w:r>
                </w:p>
              </w:tc>
              <w:tc>
                <w:tcPr>
                  <w:tcW w:w="888" w:type="dxa"/>
                  <w:vMerge w:val="restart"/>
                  <w:noWrap w:val="0"/>
                  <w:vAlign w:val="center"/>
                </w:tcPr>
                <w:p w14:paraId="5811F6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危废</w:t>
                  </w:r>
                </w:p>
                <w:p w14:paraId="56D442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暂存间</w:t>
                  </w:r>
                </w:p>
              </w:tc>
              <w:tc>
                <w:tcPr>
                  <w:tcW w:w="1352" w:type="dxa"/>
                  <w:noWrap w:val="0"/>
                  <w:vAlign w:val="center"/>
                </w:tcPr>
                <w:p w14:paraId="79F4FE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废机油</w:t>
                  </w:r>
                </w:p>
              </w:tc>
              <w:tc>
                <w:tcPr>
                  <w:tcW w:w="803" w:type="dxa"/>
                  <w:noWrap w:val="0"/>
                  <w:vAlign w:val="center"/>
                </w:tcPr>
                <w:p w14:paraId="26D210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C，T</w:t>
                  </w:r>
                </w:p>
              </w:tc>
              <w:tc>
                <w:tcPr>
                  <w:tcW w:w="1086" w:type="dxa"/>
                  <w:noWrap w:val="0"/>
                  <w:vAlign w:val="center"/>
                </w:tcPr>
                <w:p w14:paraId="5C1FF8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900-214-08</w:t>
                  </w:r>
                </w:p>
              </w:tc>
              <w:tc>
                <w:tcPr>
                  <w:tcW w:w="672" w:type="dxa"/>
                  <w:vMerge w:val="restart"/>
                  <w:noWrap w:val="0"/>
                  <w:vAlign w:val="center"/>
                </w:tcPr>
                <w:p w14:paraId="2DE3C8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仓库</w:t>
                  </w:r>
                  <w:r>
                    <w:rPr>
                      <w:rFonts w:hint="default" w:ascii="Times New Roman" w:hAnsi="Times New Roman" w:eastAsia="宋体" w:cs="Times New Roman"/>
                      <w:color w:val="auto"/>
                      <w:szCs w:val="21"/>
                      <w:highlight w:val="none"/>
                    </w:rPr>
                    <w:t>内</w:t>
                  </w:r>
                </w:p>
              </w:tc>
              <w:tc>
                <w:tcPr>
                  <w:tcW w:w="906" w:type="dxa"/>
                  <w:vMerge w:val="restart"/>
                  <w:noWrap w:val="0"/>
                  <w:vAlign w:val="center"/>
                </w:tcPr>
                <w:p w14:paraId="396F33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955" w:type="dxa"/>
                  <w:noWrap w:val="0"/>
                  <w:vAlign w:val="center"/>
                </w:tcPr>
                <w:p w14:paraId="096245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桶装</w:t>
                  </w:r>
                </w:p>
              </w:tc>
              <w:tc>
                <w:tcPr>
                  <w:tcW w:w="755" w:type="dxa"/>
                  <w:tcBorders>
                    <w:bottom w:val="single" w:color="auto" w:sz="4" w:space="0"/>
                  </w:tcBorders>
                  <w:noWrap w:val="0"/>
                  <w:vAlign w:val="center"/>
                </w:tcPr>
                <w:p w14:paraId="32D0ED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lang w:val="en-US" w:eastAsia="zh-CN"/>
                    </w:rPr>
                    <w:t>t/a</w:t>
                  </w:r>
                </w:p>
              </w:tc>
              <w:tc>
                <w:tcPr>
                  <w:tcW w:w="917" w:type="dxa"/>
                  <w:tcBorders>
                    <w:bottom w:val="single" w:color="auto" w:sz="4" w:space="0"/>
                  </w:tcBorders>
                  <w:noWrap w:val="0"/>
                  <w:vAlign w:val="center"/>
                </w:tcPr>
                <w:p w14:paraId="3607A3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个月</w:t>
                  </w:r>
                </w:p>
              </w:tc>
            </w:tr>
            <w:tr w14:paraId="5AEAD2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387" w:type="dxa"/>
                  <w:noWrap w:val="0"/>
                  <w:vAlign w:val="center"/>
                </w:tcPr>
                <w:p w14:paraId="173F848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888" w:type="dxa"/>
                  <w:vMerge w:val="continue"/>
                  <w:noWrap w:val="0"/>
                  <w:vAlign w:val="center"/>
                </w:tcPr>
                <w:p w14:paraId="6FA6CA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352" w:type="dxa"/>
                  <w:noWrap w:val="0"/>
                  <w:vAlign w:val="center"/>
                </w:tcPr>
                <w:p w14:paraId="2F0258E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含油废抹布</w:t>
                  </w:r>
                </w:p>
              </w:tc>
              <w:tc>
                <w:tcPr>
                  <w:tcW w:w="803" w:type="dxa"/>
                  <w:noWrap w:val="0"/>
                  <w:vAlign w:val="center"/>
                </w:tcPr>
                <w:p w14:paraId="00AF81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lang w:val="en-US" w:eastAsia="zh-CN"/>
                    </w:rPr>
                    <w:t>T/In</w:t>
                  </w:r>
                </w:p>
              </w:tc>
              <w:tc>
                <w:tcPr>
                  <w:tcW w:w="1086" w:type="dxa"/>
                  <w:noWrap w:val="0"/>
                  <w:vAlign w:val="center"/>
                </w:tcPr>
                <w:p w14:paraId="5DBA216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900-041-49</w:t>
                  </w:r>
                </w:p>
              </w:tc>
              <w:tc>
                <w:tcPr>
                  <w:tcW w:w="672" w:type="dxa"/>
                  <w:vMerge w:val="continue"/>
                  <w:noWrap w:val="0"/>
                  <w:vAlign w:val="center"/>
                </w:tcPr>
                <w:p w14:paraId="1BB4DC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06" w:type="dxa"/>
                  <w:vMerge w:val="continue"/>
                  <w:noWrap w:val="0"/>
                  <w:vAlign w:val="center"/>
                </w:tcPr>
                <w:p w14:paraId="60B3B5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955" w:type="dxa"/>
                  <w:noWrap w:val="0"/>
                  <w:vAlign w:val="center"/>
                </w:tcPr>
                <w:p w14:paraId="6900A0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袋装</w:t>
                  </w:r>
                </w:p>
              </w:tc>
              <w:tc>
                <w:tcPr>
                  <w:tcW w:w="755" w:type="dxa"/>
                  <w:tcBorders>
                    <w:top w:val="single" w:color="auto" w:sz="4" w:space="0"/>
                    <w:bottom w:val="single" w:color="auto" w:sz="4" w:space="0"/>
                  </w:tcBorders>
                  <w:noWrap w:val="0"/>
                  <w:vAlign w:val="center"/>
                </w:tcPr>
                <w:p w14:paraId="314DD4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lang w:val="en-US" w:eastAsia="zh-CN"/>
                    </w:rPr>
                    <w:t>t/a</w:t>
                  </w:r>
                </w:p>
              </w:tc>
              <w:tc>
                <w:tcPr>
                  <w:tcW w:w="917" w:type="dxa"/>
                  <w:tcBorders>
                    <w:top w:val="single" w:color="auto" w:sz="4" w:space="0"/>
                    <w:bottom w:val="single" w:color="auto" w:sz="4" w:space="0"/>
                  </w:tcBorders>
                  <w:noWrap w:val="0"/>
                  <w:vAlign w:val="center"/>
                </w:tcPr>
                <w:p w14:paraId="7CFDA1B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个月</w:t>
                  </w:r>
                </w:p>
              </w:tc>
            </w:tr>
            <w:tr w14:paraId="54A9A2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387" w:type="dxa"/>
                  <w:noWrap w:val="0"/>
                  <w:vAlign w:val="center"/>
                </w:tcPr>
                <w:p w14:paraId="06DEED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3</w:t>
                  </w:r>
                </w:p>
              </w:tc>
              <w:tc>
                <w:tcPr>
                  <w:tcW w:w="888" w:type="dxa"/>
                  <w:vMerge w:val="continue"/>
                  <w:noWrap w:val="0"/>
                  <w:vAlign w:val="center"/>
                </w:tcPr>
                <w:p w14:paraId="3D933D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352" w:type="dxa"/>
                  <w:noWrap w:val="0"/>
                  <w:vAlign w:val="center"/>
                </w:tcPr>
                <w:p w14:paraId="63D56A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废机油桶</w:t>
                  </w:r>
                </w:p>
              </w:tc>
              <w:tc>
                <w:tcPr>
                  <w:tcW w:w="803" w:type="dxa"/>
                  <w:noWrap w:val="0"/>
                  <w:vAlign w:val="center"/>
                </w:tcPr>
                <w:p w14:paraId="1CC499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4"/>
                    </w:rPr>
                    <w:t>T/In</w:t>
                  </w:r>
                </w:p>
              </w:tc>
              <w:tc>
                <w:tcPr>
                  <w:tcW w:w="1086" w:type="dxa"/>
                  <w:noWrap w:val="0"/>
                  <w:vAlign w:val="center"/>
                </w:tcPr>
                <w:p w14:paraId="1955EA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900-249-08</w:t>
                  </w:r>
                </w:p>
              </w:tc>
              <w:tc>
                <w:tcPr>
                  <w:tcW w:w="672" w:type="dxa"/>
                  <w:vMerge w:val="continue"/>
                  <w:noWrap w:val="0"/>
                  <w:vAlign w:val="center"/>
                </w:tcPr>
                <w:p w14:paraId="2DE895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06" w:type="dxa"/>
                  <w:vMerge w:val="continue"/>
                  <w:noWrap w:val="0"/>
                  <w:vAlign w:val="center"/>
                </w:tcPr>
                <w:p w14:paraId="463AEC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955" w:type="dxa"/>
                  <w:noWrap w:val="0"/>
                  <w:vAlign w:val="center"/>
                </w:tcPr>
                <w:p w14:paraId="15BF50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5" w:type="dxa"/>
                  <w:tcBorders>
                    <w:top w:val="single" w:color="auto" w:sz="4" w:space="0"/>
                    <w:bottom w:val="single" w:color="auto" w:sz="4" w:space="0"/>
                  </w:tcBorders>
                  <w:noWrap w:val="0"/>
                  <w:vAlign w:val="center"/>
                </w:tcPr>
                <w:p w14:paraId="21DFCF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lang w:val="en-US" w:eastAsia="zh-CN"/>
                    </w:rPr>
                    <w:t>t/a</w:t>
                  </w:r>
                </w:p>
              </w:tc>
              <w:tc>
                <w:tcPr>
                  <w:tcW w:w="917" w:type="dxa"/>
                  <w:tcBorders>
                    <w:top w:val="single" w:color="auto" w:sz="4" w:space="0"/>
                    <w:bottom w:val="single" w:color="auto" w:sz="4" w:space="0"/>
                  </w:tcBorders>
                  <w:noWrap w:val="0"/>
                  <w:vAlign w:val="center"/>
                </w:tcPr>
                <w:p w14:paraId="6F93DD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个月</w:t>
                  </w:r>
                </w:p>
              </w:tc>
            </w:tr>
          </w:tbl>
          <w:p w14:paraId="7405F8CC">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32"/>
                <w:highlight w:val="none"/>
                <w:lang w:val="en-US" w:eastAsia="zh-CN"/>
              </w:rPr>
            </w:pPr>
            <w:r>
              <w:rPr>
                <w:rFonts w:hint="default" w:ascii="Times New Roman" w:hAnsi="Times New Roman" w:eastAsia="宋体" w:cs="Times New Roman"/>
                <w:b w:val="0"/>
                <w:bCs w:val="0"/>
                <w:color w:val="auto"/>
                <w:sz w:val="24"/>
                <w:szCs w:val="32"/>
                <w:highlight w:val="none"/>
                <w:lang w:val="en-US" w:eastAsia="zh-CN"/>
              </w:rPr>
              <w:t>4、固废管理情况</w:t>
            </w:r>
          </w:p>
          <w:p w14:paraId="609F8F31">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zh-CN" w:eastAsia="zh-CN"/>
              </w:rPr>
            </w:pPr>
            <w:r>
              <w:rPr>
                <w:rFonts w:hint="default" w:ascii="Times New Roman" w:hAnsi="Times New Roman" w:eastAsia="宋体" w:cs="Times New Roman"/>
                <w:color w:val="auto"/>
                <w:sz w:val="24"/>
                <w:szCs w:val="32"/>
                <w:highlight w:val="none"/>
                <w:lang w:val="zh-CN" w:eastAsia="zh-CN"/>
              </w:rPr>
              <w:t>（</w:t>
            </w:r>
            <w:r>
              <w:rPr>
                <w:rFonts w:hint="default" w:ascii="Times New Roman" w:hAnsi="Times New Roman" w:eastAsia="宋体" w:cs="Times New Roman"/>
                <w:color w:val="auto"/>
                <w:sz w:val="24"/>
                <w:szCs w:val="32"/>
                <w:highlight w:val="none"/>
                <w:lang w:val="en-US" w:eastAsia="zh-CN"/>
              </w:rPr>
              <w:t>1）</w:t>
            </w:r>
            <w:r>
              <w:rPr>
                <w:rFonts w:hint="default" w:ascii="Times New Roman" w:hAnsi="Times New Roman" w:eastAsia="宋体" w:cs="Times New Roman"/>
                <w:color w:val="auto"/>
                <w:sz w:val="24"/>
                <w:szCs w:val="32"/>
                <w:highlight w:val="none"/>
                <w:lang w:val="zh-CN" w:eastAsia="zh-CN"/>
              </w:rPr>
              <w:t>一般固体废物的具体管理措施如下：</w:t>
            </w:r>
          </w:p>
          <w:p w14:paraId="26E1C54C">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zh-CN" w:eastAsia="zh-CN"/>
              </w:rPr>
            </w:pPr>
            <w:r>
              <w:rPr>
                <w:rFonts w:hint="eastAsia" w:ascii="Times New Roman" w:hAnsi="Times New Roman" w:eastAsia="宋体" w:cs="Times New Roman"/>
                <w:color w:val="auto"/>
                <w:sz w:val="24"/>
                <w:szCs w:val="32"/>
                <w:highlight w:val="none"/>
                <w:lang w:val="en-US" w:eastAsia="zh-CN"/>
              </w:rPr>
              <w:t>1）</w:t>
            </w:r>
            <w:r>
              <w:rPr>
                <w:rFonts w:hint="default" w:ascii="Times New Roman" w:hAnsi="Times New Roman" w:eastAsia="宋体" w:cs="Times New Roman"/>
                <w:color w:val="auto"/>
                <w:sz w:val="24"/>
                <w:szCs w:val="32"/>
                <w:highlight w:val="none"/>
                <w:lang w:val="en-US" w:eastAsia="zh-CN"/>
              </w:rPr>
              <w:t>一般</w:t>
            </w:r>
            <w:r>
              <w:rPr>
                <w:rFonts w:hint="eastAsia" w:ascii="Times New Roman" w:hAnsi="Times New Roman" w:eastAsia="宋体" w:cs="Times New Roman"/>
                <w:color w:val="auto"/>
                <w:sz w:val="24"/>
                <w:szCs w:val="32"/>
                <w:highlight w:val="none"/>
                <w:lang w:val="en-US" w:eastAsia="zh-CN"/>
              </w:rPr>
              <w:t>固废区位于</w:t>
            </w:r>
            <w:r>
              <w:rPr>
                <w:rFonts w:hint="eastAsia" w:cs="Times New Roman"/>
                <w:color w:val="auto"/>
                <w:sz w:val="24"/>
                <w:szCs w:val="32"/>
                <w:highlight w:val="none"/>
                <w:lang w:val="en-US" w:eastAsia="zh-CN"/>
              </w:rPr>
              <w:t>仓库内东北</w:t>
            </w:r>
            <w:r>
              <w:rPr>
                <w:rFonts w:hint="eastAsia" w:ascii="Times New Roman" w:hAnsi="Times New Roman" w:eastAsia="宋体" w:cs="Times New Roman"/>
                <w:color w:val="auto"/>
                <w:sz w:val="24"/>
                <w:szCs w:val="32"/>
                <w:highlight w:val="none"/>
                <w:lang w:val="en-US" w:eastAsia="zh-CN"/>
              </w:rPr>
              <w:t>侧</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占地约为20m</w:t>
            </w:r>
            <w:r>
              <w:rPr>
                <w:rFonts w:hint="eastAsia"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一般固体废物</w:t>
            </w:r>
            <w:r>
              <w:rPr>
                <w:rFonts w:hint="eastAsia" w:ascii="Times New Roman" w:hAnsi="Times New Roman" w:eastAsia="宋体" w:cs="Times New Roman"/>
                <w:color w:val="auto"/>
                <w:sz w:val="24"/>
                <w:szCs w:val="32"/>
                <w:highlight w:val="none"/>
                <w:lang w:val="en-US" w:eastAsia="zh-CN"/>
              </w:rPr>
              <w:t>参照</w:t>
            </w:r>
            <w:r>
              <w:rPr>
                <w:rFonts w:hint="default" w:ascii="Times New Roman" w:hAnsi="Times New Roman" w:eastAsia="宋体" w:cs="Times New Roman"/>
                <w:color w:val="auto"/>
                <w:sz w:val="24"/>
                <w:szCs w:val="32"/>
                <w:highlight w:val="none"/>
                <w:lang w:val="en-US" w:eastAsia="zh-CN"/>
              </w:rPr>
              <w:t>《中华人民共和国固体废物污染环境防治法》的要求妥善处理，贮存过程应满足相应防渗漏、防雨淋、防扬尘等环境保护要求。</w:t>
            </w:r>
          </w:p>
          <w:p w14:paraId="35C365D5">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zh-CN" w:eastAsia="zh-CN"/>
              </w:rPr>
            </w:pPr>
            <w:r>
              <w:rPr>
                <w:rFonts w:hint="eastAsia" w:ascii="Times New Roman" w:hAnsi="Times New Roman" w:eastAsia="宋体" w:cs="Times New Roman"/>
                <w:color w:val="auto"/>
                <w:sz w:val="24"/>
                <w:szCs w:val="32"/>
                <w:highlight w:val="none"/>
                <w:lang w:val="en-US" w:eastAsia="zh-CN"/>
              </w:rPr>
              <w:t>2）</w:t>
            </w:r>
            <w:r>
              <w:rPr>
                <w:rFonts w:hint="default" w:ascii="Times New Roman" w:hAnsi="Times New Roman" w:eastAsia="宋体" w:cs="Times New Roman"/>
                <w:color w:val="auto"/>
                <w:sz w:val="24"/>
                <w:szCs w:val="32"/>
                <w:highlight w:val="none"/>
                <w:lang w:val="zh-CN" w:eastAsia="zh-CN"/>
              </w:rPr>
              <w:t>厂区内职工日常生活产生的生活垃圾，交由环卫部门统一清运。生活垃圾应采取袋装收集，分类处理的方式处理。</w:t>
            </w:r>
          </w:p>
          <w:p w14:paraId="0FD54707">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32"/>
                <w:highlight w:val="none"/>
                <w:lang w:val="zh-CN" w:eastAsia="zh-CN"/>
              </w:rPr>
            </w:pPr>
            <w:r>
              <w:rPr>
                <w:rFonts w:hint="default" w:ascii="Times New Roman" w:hAnsi="Times New Roman" w:eastAsia="宋体" w:cs="Times New Roman"/>
                <w:color w:val="auto"/>
                <w:sz w:val="24"/>
                <w:szCs w:val="32"/>
                <w:highlight w:val="none"/>
                <w:lang w:val="zh-CN" w:eastAsia="zh-CN"/>
              </w:rPr>
              <w:t>（</w:t>
            </w:r>
            <w:r>
              <w:rPr>
                <w:rFonts w:hint="eastAsia" w:ascii="Times New Roman" w:hAnsi="Times New Roman" w:eastAsia="宋体" w:cs="Times New Roman"/>
                <w:color w:val="auto"/>
                <w:sz w:val="24"/>
                <w:szCs w:val="32"/>
                <w:highlight w:val="none"/>
                <w:lang w:val="en-US" w:eastAsia="zh-CN"/>
              </w:rPr>
              <w:t>2</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zh-CN" w:eastAsia="zh-CN"/>
              </w:rPr>
              <w:t>危险废物</w:t>
            </w:r>
            <w:r>
              <w:rPr>
                <w:rFonts w:hint="default" w:ascii="Times New Roman" w:hAnsi="Times New Roman" w:eastAsia="宋体" w:cs="Times New Roman"/>
                <w:color w:val="auto"/>
                <w:sz w:val="24"/>
                <w:szCs w:val="32"/>
                <w:highlight w:val="none"/>
                <w:lang w:val="zh-CN" w:eastAsia="zh-CN"/>
              </w:rPr>
              <w:t>的具体管理措施如下：</w:t>
            </w:r>
          </w:p>
          <w:p w14:paraId="7A5F1954">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项目危险废物的收集主要指在危险废物产生节点将危险废物集中到适当的包装容器中或运输车辆上的活动。项目液态危险废物收集时如果操作不当，有可能撒漏到厂区地面而造成对土壤、地下水的不利影响。</w:t>
            </w:r>
          </w:p>
          <w:p w14:paraId="2FE02B45">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1）贮存：</w:t>
            </w:r>
          </w:p>
          <w:p w14:paraId="29556143">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本项目</w:t>
            </w:r>
            <w:r>
              <w:rPr>
                <w:rFonts w:hint="eastAsia" w:ascii="Times New Roman" w:hAnsi="Times New Roman" w:eastAsia="宋体" w:cs="Times New Roman"/>
                <w:color w:val="auto"/>
                <w:sz w:val="24"/>
                <w:szCs w:val="32"/>
                <w:highlight w:val="none"/>
                <w:lang w:val="en-US" w:eastAsia="zh-CN"/>
              </w:rPr>
              <w:t>危废间位于</w:t>
            </w:r>
            <w:r>
              <w:rPr>
                <w:rFonts w:hint="eastAsia" w:cs="Times New Roman"/>
                <w:color w:val="auto"/>
                <w:sz w:val="24"/>
                <w:szCs w:val="32"/>
                <w:highlight w:val="none"/>
                <w:lang w:val="en-US" w:eastAsia="zh-CN"/>
              </w:rPr>
              <w:t>仓库内东北</w:t>
            </w:r>
            <w:r>
              <w:rPr>
                <w:rFonts w:hint="eastAsia" w:ascii="Times New Roman" w:hAnsi="Times New Roman" w:eastAsia="宋体" w:cs="Times New Roman"/>
                <w:color w:val="auto"/>
                <w:sz w:val="24"/>
                <w:szCs w:val="32"/>
                <w:highlight w:val="none"/>
                <w:lang w:val="en-US" w:eastAsia="zh-CN"/>
              </w:rPr>
              <w:t>侧</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占地约为20m</w:t>
            </w:r>
            <w:r>
              <w:rPr>
                <w:rFonts w:hint="eastAsia"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主要用于暂存厂区生产过程产生的废润滑油、废油桶、含油废抹布。危废间建设严格按照《危险废物贮存污染控制标准》（GB18597-2023）的要求作为重点防渗区进行管理：</w:t>
            </w:r>
          </w:p>
          <w:p w14:paraId="430CB001">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危废间要独立、密闭，上锁防盗，危废间内要有安全照明设施和观察窗口，危废管理责任制度要上墙。危废间地面、墙面裙脚、堵截泄漏的围堰、接触危险废物的隔板和墙体要用坚固、防渗的材料建造，建筑材料必须与危险废物相容。必须有泄漏液体收集装置、气体收集装置和气体净化设施。</w:t>
            </w:r>
          </w:p>
          <w:p w14:paraId="509D97ED">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根据危险废物的类别、数量、形态、物理化学性质和污染防治等要求设置必要的贮存分区，避免不相容的危险废物接触、混合。</w:t>
            </w:r>
          </w:p>
          <w:p w14:paraId="1C655BC1">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容器和包装物材质、内衬应与盛装的危险废物相容。容器和包装物应满足相应的防渗、防漏、防腐和强度等要求。硬质容器和包装物及其支护结构堆叠码放时不应有明显变形，无破损泄漏。柔性容器和包装物堆叠码放时应封口严密，无破损泄漏。使用容器盛装液态、半固态危险废物时，容器内部应留有适当的空间，以适应因温度变化等可能引发的收缩和膨胀，防止其导致容器渗漏或永久变形。容器和包装物外表面应保持清洁。</w:t>
            </w:r>
          </w:p>
          <w:p w14:paraId="659FE85D">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应按照国家有关规定编制突发环境事件应急预案，定期开展必要的培训和环境应急演练，并做好培训、演练记录。应配备满足其突发环境事件应急要求的应急人员、装备和物资，并应设置应急照明系统。</w:t>
            </w:r>
          </w:p>
          <w:p w14:paraId="43401A19">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2）转移和运输</w:t>
            </w:r>
          </w:p>
          <w:p w14:paraId="0723399E">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依据《危险废物收集、贮存、运输技术规范》（HJ 2025-2012），项目应采取以下措施：</w:t>
            </w:r>
          </w:p>
          <w:p w14:paraId="778B4CD0">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①危险废物的收集应根据危险废物产生的工艺特征、排放周期、危险废物特性、废物管理计划等因素制定收集计划。</w:t>
            </w:r>
          </w:p>
          <w:p w14:paraId="1DD86829">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②危险废物的收集应制定详细的操作规程，内容至少应包括适用范围、操作程序和方法、专用设备和工具、转移和交接、安全保障和应急防护等。</w:t>
            </w:r>
          </w:p>
          <w:p w14:paraId="7A3259E6">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③危险废物收集和转运作业人员应根据工作需要配备必要的个人防护装备，如手套、防护镜、防护服、防毒面具或口罩等。</w:t>
            </w:r>
          </w:p>
          <w:p w14:paraId="7590632D">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④危险废物收集时应根据危险废物的种类、数量、危险特性、物理形态、运输要求等因素确定包装形式。</w:t>
            </w:r>
          </w:p>
          <w:p w14:paraId="14788C29">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⑤应根据收集设备、转运车辆以及现场人员等实际情况确定相应作业区域，同时要设置作业界限标志和警示牌。</w:t>
            </w:r>
          </w:p>
          <w:p w14:paraId="38DB4FD2">
            <w:pPr>
              <w:keepNext w:val="0"/>
              <w:keepLines w:val="0"/>
              <w:pageBreakBefore w:val="0"/>
              <w:widowControl/>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 xml:space="preserve">根据《环境保护图形标志—固体废物贮存（处置）场》（GB 15562.2-1995）及修改单的内容设置危废间的环境保护图形标志；并建立危险废物贮存台账制度，做好危险废物出入库交接记录。预计不会对周边环境空气、地下水、土壤等造成不利影响。 </w:t>
            </w:r>
          </w:p>
          <w:p w14:paraId="4FECD7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表4-</w:t>
            </w:r>
            <w:r>
              <w:rPr>
                <w:rFonts w:hint="eastAsia" w:ascii="Times New Roman" w:hAnsi="Times New Roman" w:eastAsia="宋体" w:cs="Times New Roman"/>
                <w:b/>
                <w:color w:val="auto"/>
                <w:szCs w:val="21"/>
                <w:highlight w:val="none"/>
                <w:lang w:val="en-US" w:eastAsia="zh-CN"/>
              </w:rPr>
              <w:t>1</w:t>
            </w:r>
            <w:r>
              <w:rPr>
                <w:rFonts w:hint="eastAsia" w:cs="Times New Roman"/>
                <w:b/>
                <w:color w:val="auto"/>
                <w:szCs w:val="21"/>
                <w:highlight w:val="none"/>
                <w:lang w:val="en-US" w:eastAsia="zh-CN"/>
              </w:rPr>
              <w:t>0</w:t>
            </w:r>
            <w:r>
              <w:rPr>
                <w:rFonts w:hint="eastAsia"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lang w:val="en-US" w:eastAsia="zh-CN"/>
              </w:rPr>
              <w:t>监测计划一览表</w:t>
            </w:r>
          </w:p>
          <w:tbl>
            <w:tblPr>
              <w:tblStyle w:val="36"/>
              <w:tblW w:w="4995" w:type="pct"/>
              <w:tblInd w:w="6"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33"/>
              <w:gridCol w:w="2324"/>
              <w:gridCol w:w="2991"/>
              <w:gridCol w:w="2378"/>
            </w:tblGrid>
            <w:tr w14:paraId="41CDAA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92" w:type="pct"/>
                  <w:tcBorders>
                    <w:tl2br w:val="nil"/>
                    <w:tr2bl w:val="nil"/>
                  </w:tcBorders>
                  <w:noWrap w:val="0"/>
                  <w:vAlign w:val="center"/>
                </w:tcPr>
                <w:p w14:paraId="74EF41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环境要素</w:t>
                  </w:r>
                </w:p>
              </w:tc>
              <w:tc>
                <w:tcPr>
                  <w:tcW w:w="1331" w:type="pct"/>
                  <w:tcBorders>
                    <w:tl2br w:val="nil"/>
                    <w:tr2bl w:val="nil"/>
                  </w:tcBorders>
                  <w:noWrap w:val="0"/>
                  <w:vAlign w:val="center"/>
                </w:tcPr>
                <w:p w14:paraId="3F428C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监测位置</w:t>
                  </w:r>
                </w:p>
              </w:tc>
              <w:tc>
                <w:tcPr>
                  <w:tcW w:w="1713" w:type="pct"/>
                  <w:tcBorders>
                    <w:tl2br w:val="nil"/>
                    <w:tr2bl w:val="nil"/>
                  </w:tcBorders>
                  <w:noWrap w:val="0"/>
                  <w:vAlign w:val="center"/>
                </w:tcPr>
                <w:p w14:paraId="5040E1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1362" w:type="pct"/>
                  <w:tcBorders>
                    <w:tl2br w:val="nil"/>
                    <w:tr2bl w:val="nil"/>
                  </w:tcBorders>
                  <w:noWrap w:val="0"/>
                  <w:vAlign w:val="center"/>
                </w:tcPr>
                <w:p w14:paraId="2A1B1BB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监测频次</w:t>
                  </w:r>
                </w:p>
              </w:tc>
            </w:tr>
            <w:tr w14:paraId="6460FD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592" w:type="pct"/>
                  <w:tcBorders>
                    <w:tl2br w:val="nil"/>
                    <w:tr2bl w:val="nil"/>
                  </w:tcBorders>
                  <w:noWrap w:val="0"/>
                  <w:vAlign w:val="center"/>
                </w:tcPr>
                <w:p w14:paraId="2D7F7F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1331" w:type="pct"/>
                  <w:tcBorders>
                    <w:tl2br w:val="nil"/>
                    <w:tr2bl w:val="nil"/>
                  </w:tcBorders>
                  <w:noWrap w:val="0"/>
                  <w:vAlign w:val="center"/>
                </w:tcPr>
                <w:p w14:paraId="28E3A8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统计各类固废量</w:t>
                  </w:r>
                </w:p>
              </w:tc>
              <w:tc>
                <w:tcPr>
                  <w:tcW w:w="1713" w:type="pct"/>
                  <w:tcBorders>
                    <w:tl2br w:val="nil"/>
                    <w:tr2bl w:val="nil"/>
                  </w:tcBorders>
                  <w:noWrap w:val="0"/>
                  <w:vAlign w:val="center"/>
                </w:tcPr>
                <w:p w14:paraId="261C7A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产生量、贮存状况、处置去向</w:t>
                  </w:r>
                </w:p>
              </w:tc>
              <w:tc>
                <w:tcPr>
                  <w:tcW w:w="1362" w:type="pct"/>
                  <w:tcBorders>
                    <w:tl2br w:val="nil"/>
                    <w:tr2bl w:val="nil"/>
                  </w:tcBorders>
                  <w:noWrap w:val="0"/>
                  <w:vAlign w:val="center"/>
                </w:tcPr>
                <w:p w14:paraId="43F80B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每季度统计一次</w:t>
                  </w:r>
                </w:p>
              </w:tc>
            </w:tr>
          </w:tbl>
          <w:p w14:paraId="26CD0E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综上，项目各类固废均能得到有效处理，对周围环境影响较小。</w:t>
            </w:r>
          </w:p>
          <w:p w14:paraId="7D2A9510">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五、土壤及地下水</w:t>
            </w:r>
          </w:p>
          <w:p w14:paraId="3BF511D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（1）污染源、类型及途径</w:t>
            </w:r>
          </w:p>
          <w:p w14:paraId="4066E37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项目产生的废水主要为</w:t>
            </w:r>
            <w:r>
              <w:rPr>
                <w:rFonts w:hint="eastAsia" w:cs="Times New Roman"/>
                <w:color w:val="auto"/>
                <w:sz w:val="24"/>
                <w:highlight w:val="none"/>
                <w:lang w:val="en-US" w:eastAsia="zh-CN"/>
              </w:rPr>
              <w:t>生活污水经化粪池处理后，由环卫部门定期清运</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化粪池</w:t>
            </w:r>
            <w:r>
              <w:rPr>
                <w:rFonts w:hint="default" w:ascii="Times New Roman" w:hAnsi="Times New Roman" w:cs="Times New Roman"/>
                <w:color w:val="auto"/>
                <w:sz w:val="24"/>
                <w:highlight w:val="none"/>
              </w:rPr>
              <w:t>泄漏下渗可能会对地下水、土壤产生影响。</w:t>
            </w:r>
            <w:r>
              <w:rPr>
                <w:rFonts w:hint="default" w:ascii="Times New Roman" w:hAnsi="Times New Roman" w:cs="Times New Roman"/>
                <w:color w:val="auto"/>
                <w:sz w:val="24"/>
                <w:highlight w:val="none"/>
                <w:lang w:val="en-US" w:eastAsia="zh-CN"/>
              </w:rPr>
              <w:t>本项目生产车间及其配套附属范围之内区域需要按照下表防渗等级一览表达到相关防渗等级要求。</w:t>
            </w:r>
          </w:p>
          <w:p w14:paraId="446F113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（2）分区防控措施</w:t>
            </w:r>
          </w:p>
          <w:p w14:paraId="1CBA2EA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为预防项目对地下水、土壤产生污染，应落实严格的防控措施。从源头尽可能减少污染物的排放，构建完善的废气、废水收集处理系统。本项目分区防渗见下表。 </w:t>
            </w:r>
          </w:p>
          <w:p w14:paraId="5292D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lang w:val="en-GB" w:eastAsia="zh-CN"/>
              </w:rPr>
            </w:pPr>
            <w:r>
              <w:rPr>
                <w:rFonts w:hint="default" w:ascii="Times New Roman" w:hAnsi="Times New Roman" w:eastAsia="宋体" w:cs="Times New Roman"/>
                <w:b/>
                <w:color w:val="auto"/>
                <w:szCs w:val="21"/>
                <w:highlight w:val="none"/>
                <w:lang w:val="en-GB" w:eastAsia="zh-CN"/>
              </w:rPr>
              <w:t>表4-</w:t>
            </w:r>
            <w:r>
              <w:rPr>
                <w:rFonts w:hint="eastAsia" w:ascii="Times New Roman" w:hAnsi="Times New Roman" w:eastAsia="宋体" w:cs="Times New Roman"/>
                <w:b/>
                <w:color w:val="auto"/>
                <w:szCs w:val="21"/>
                <w:highlight w:val="none"/>
                <w:lang w:val="en-US" w:eastAsia="zh-CN"/>
              </w:rPr>
              <w:t>1</w:t>
            </w:r>
            <w:r>
              <w:rPr>
                <w:rFonts w:hint="eastAsia" w:cs="Times New Roman"/>
                <w:b/>
                <w:color w:val="auto"/>
                <w:szCs w:val="21"/>
                <w:highlight w:val="none"/>
                <w:lang w:val="en-US" w:eastAsia="zh-CN"/>
              </w:rPr>
              <w:t>1</w:t>
            </w:r>
            <w:r>
              <w:rPr>
                <w:rFonts w:hint="eastAsia" w:ascii="Times New Roman" w:hAnsi="Times New Roman" w:eastAsia="宋体" w:cs="Times New Roman"/>
                <w:b/>
                <w:color w:val="auto"/>
                <w:szCs w:val="21"/>
                <w:highlight w:val="none"/>
                <w:lang w:val="en-US" w:eastAsia="zh-CN"/>
              </w:rPr>
              <w:t xml:space="preserve"> </w:t>
            </w:r>
            <w:r>
              <w:rPr>
                <w:rFonts w:hint="eastAsia" w:cs="Times New Roman"/>
                <w:b/>
                <w:color w:val="auto"/>
                <w:szCs w:val="21"/>
                <w:highlight w:val="none"/>
                <w:lang w:val="en-GB" w:eastAsia="zh-CN"/>
              </w:rPr>
              <w:t>本项目</w:t>
            </w:r>
            <w:r>
              <w:rPr>
                <w:rFonts w:hint="default" w:ascii="Times New Roman" w:hAnsi="Times New Roman" w:eastAsia="宋体" w:cs="Times New Roman"/>
                <w:b/>
                <w:color w:val="auto"/>
                <w:szCs w:val="21"/>
                <w:highlight w:val="none"/>
                <w:lang w:val="en-GB" w:eastAsia="zh-CN"/>
              </w:rPr>
              <w:t>污染区划分及防渗等级一览表</w:t>
            </w:r>
          </w:p>
          <w:tbl>
            <w:tblPr>
              <w:tblStyle w:val="36"/>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90"/>
              <w:gridCol w:w="1946"/>
              <w:gridCol w:w="5396"/>
            </w:tblGrid>
            <w:tr w14:paraId="764E34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90" w:type="dxa"/>
                  <w:tcBorders>
                    <w:tl2br w:val="nil"/>
                    <w:tr2bl w:val="nil"/>
                  </w:tcBorders>
                  <w:noWrap w:val="0"/>
                  <w:vAlign w:val="center"/>
                </w:tcPr>
                <w:p w14:paraId="4C680E2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分区</w:t>
                  </w:r>
                </w:p>
              </w:tc>
              <w:tc>
                <w:tcPr>
                  <w:tcW w:w="1946" w:type="dxa"/>
                  <w:tcBorders>
                    <w:tl2br w:val="nil"/>
                    <w:tr2bl w:val="nil"/>
                  </w:tcBorders>
                  <w:noWrap w:val="0"/>
                  <w:vAlign w:val="center"/>
                </w:tcPr>
                <w:p w14:paraId="2253AD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厂内分区</w:t>
                  </w:r>
                </w:p>
              </w:tc>
              <w:tc>
                <w:tcPr>
                  <w:tcW w:w="5398" w:type="dxa"/>
                  <w:tcBorders>
                    <w:tl2br w:val="nil"/>
                    <w:tr2bl w:val="nil"/>
                  </w:tcBorders>
                  <w:noWrap w:val="0"/>
                  <w:vAlign w:val="center"/>
                </w:tcPr>
                <w:p w14:paraId="7BB1A4F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防渗等级要求</w:t>
                  </w:r>
                </w:p>
              </w:tc>
            </w:tr>
            <w:tr w14:paraId="61DA3D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90" w:type="dxa"/>
                  <w:tcBorders>
                    <w:tl2br w:val="nil"/>
                    <w:tr2bl w:val="nil"/>
                  </w:tcBorders>
                  <w:noWrap w:val="0"/>
                  <w:vAlign w:val="center"/>
                </w:tcPr>
                <w:p w14:paraId="30BC19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一般防渗区</w:t>
                  </w:r>
                </w:p>
              </w:tc>
              <w:tc>
                <w:tcPr>
                  <w:tcW w:w="1946" w:type="dxa"/>
                  <w:tcBorders>
                    <w:tl2br w:val="nil"/>
                    <w:tr2bl w:val="nil"/>
                  </w:tcBorders>
                  <w:noWrap w:val="0"/>
                  <w:vAlign w:val="center"/>
                </w:tcPr>
                <w:p w14:paraId="50B704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生产车间</w:t>
                  </w:r>
                  <w:r>
                    <w:rPr>
                      <w:rFonts w:hint="eastAsia" w:cs="Times New Roman"/>
                      <w:color w:val="auto"/>
                      <w:szCs w:val="21"/>
                      <w:highlight w:val="none"/>
                      <w:lang w:eastAsia="zh-CN"/>
                    </w:rPr>
                    <w:t>、</w:t>
                  </w:r>
                  <w:r>
                    <w:rPr>
                      <w:rFonts w:hint="eastAsia" w:cs="Times New Roman"/>
                      <w:color w:val="auto"/>
                      <w:szCs w:val="21"/>
                      <w:highlight w:val="none"/>
                      <w:lang w:val="en-US" w:eastAsia="zh-CN"/>
                    </w:rPr>
                    <w:t>仓库</w:t>
                  </w:r>
                </w:p>
              </w:tc>
              <w:tc>
                <w:tcPr>
                  <w:tcW w:w="5398" w:type="dxa"/>
                  <w:tcBorders>
                    <w:tl2br w:val="nil"/>
                    <w:tr2bl w:val="nil"/>
                  </w:tcBorders>
                  <w:noWrap w:val="0"/>
                  <w:vAlign w:val="center"/>
                </w:tcPr>
                <w:p w14:paraId="6C4F40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防渗层要求达到等效粘土防渗层厚度1.5米以上、渗透系数不大于10</w:t>
                  </w:r>
                  <w:r>
                    <w:rPr>
                      <w:rFonts w:hint="default" w:ascii="Times New Roman" w:hAnsi="Times New Roman" w:cs="Times New Roman"/>
                      <w:color w:val="auto"/>
                      <w:szCs w:val="21"/>
                      <w:highlight w:val="none"/>
                      <w:vertAlign w:val="superscript"/>
                    </w:rPr>
                    <w:t>-7</w:t>
                  </w:r>
                  <w:r>
                    <w:rPr>
                      <w:rFonts w:hint="default" w:ascii="Times New Roman" w:hAnsi="Times New Roman" w:cs="Times New Roman"/>
                      <w:color w:val="auto"/>
                      <w:szCs w:val="21"/>
                      <w:highlight w:val="none"/>
                    </w:rPr>
                    <w:t>cm/s，或参照GB16889执行防渗处理</w:t>
                  </w:r>
                </w:p>
              </w:tc>
            </w:tr>
            <w:tr w14:paraId="6A07E1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90" w:type="dxa"/>
                  <w:tcBorders>
                    <w:tl2br w:val="nil"/>
                    <w:tr2bl w:val="nil"/>
                  </w:tcBorders>
                  <w:noWrap w:val="0"/>
                  <w:vAlign w:val="center"/>
                </w:tcPr>
                <w:p w14:paraId="6CACB9D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重点防渗区</w:t>
                  </w:r>
                </w:p>
              </w:tc>
              <w:tc>
                <w:tcPr>
                  <w:tcW w:w="1946" w:type="dxa"/>
                  <w:tcBorders>
                    <w:tl2br w:val="nil"/>
                    <w:tr2bl w:val="nil"/>
                  </w:tcBorders>
                  <w:noWrap w:val="0"/>
                  <w:vAlign w:val="center"/>
                </w:tcPr>
                <w:p w14:paraId="75C7A7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危废暂</w:t>
                  </w:r>
                  <w:r>
                    <w:rPr>
                      <w:rFonts w:hint="default" w:ascii="Times New Roman" w:hAnsi="Times New Roman" w:cs="Times New Roman"/>
                      <w:color w:val="auto"/>
                      <w:szCs w:val="21"/>
                      <w:highlight w:val="none"/>
                      <w:lang w:val="en-US" w:eastAsia="zh-CN"/>
                    </w:rPr>
                    <w:t>存间</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化粪池</w:t>
                  </w:r>
                </w:p>
              </w:tc>
              <w:tc>
                <w:tcPr>
                  <w:tcW w:w="5398" w:type="dxa"/>
                  <w:tcBorders>
                    <w:tl2br w:val="nil"/>
                    <w:tr2bl w:val="nil"/>
                  </w:tcBorders>
                  <w:noWrap w:val="0"/>
                  <w:vAlign w:val="center"/>
                </w:tcPr>
                <w:p w14:paraId="50BB0D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防渗层要求达到等效粘土防渗层厚度6米以上、渗透系数不大于10</w:t>
                  </w:r>
                  <w:r>
                    <w:rPr>
                      <w:rFonts w:hint="default" w:ascii="Times New Roman" w:hAnsi="Times New Roman" w:cs="Times New Roman"/>
                      <w:color w:val="auto"/>
                      <w:szCs w:val="21"/>
                      <w:highlight w:val="none"/>
                      <w:vertAlign w:val="superscript"/>
                    </w:rPr>
                    <w:t>-7</w:t>
                  </w:r>
                  <w:r>
                    <w:rPr>
                      <w:rFonts w:hint="default" w:ascii="Times New Roman" w:hAnsi="Times New Roman" w:cs="Times New Roman"/>
                      <w:color w:val="auto"/>
                      <w:szCs w:val="21"/>
                      <w:highlight w:val="none"/>
                    </w:rPr>
                    <w:t>cm/s；或参照GB18598执行防渗处理</w:t>
                  </w:r>
                </w:p>
              </w:tc>
            </w:tr>
          </w:tbl>
          <w:p w14:paraId="062A65F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此外，在项目营运过程中，对项目涉及的用水、集水管道等应进行严格排查，对存在防渗漏洞的地方进行及时修复，杜绝污水跑、冒、滴、漏；对污水收集、转输环节以及垃圾收集装置均按规定进行严格的防范措施。做好固废收集、暂存、转运等管理工作。 </w:t>
            </w:r>
          </w:p>
          <w:p w14:paraId="010CD8F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因此</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项目运营期间</w:t>
            </w:r>
            <w:r>
              <w:rPr>
                <w:rFonts w:hint="default" w:ascii="Times New Roman" w:hAnsi="Times New Roman" w:cs="Times New Roman"/>
                <w:color w:val="auto"/>
                <w:sz w:val="24"/>
                <w:highlight w:val="none"/>
                <w:lang w:val="en-US" w:eastAsia="zh-CN"/>
              </w:rPr>
              <w:t>危废暂存间</w:t>
            </w:r>
            <w:r>
              <w:rPr>
                <w:rFonts w:hint="default" w:ascii="Times New Roman" w:hAnsi="Times New Roman" w:cs="Times New Roman"/>
                <w:color w:val="auto"/>
                <w:sz w:val="24"/>
                <w:highlight w:val="none"/>
              </w:rPr>
              <w:t xml:space="preserve">等均满足防渗要求，对地下水、土壤环境产生的影响很小。 </w:t>
            </w:r>
          </w:p>
          <w:p w14:paraId="23DC1E3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（3）</w:t>
            </w:r>
            <w:r>
              <w:rPr>
                <w:rFonts w:hint="default" w:ascii="Times New Roman" w:hAnsi="Times New Roman" w:cs="Times New Roman"/>
                <w:color w:val="auto"/>
                <w:sz w:val="24"/>
                <w:highlight w:val="none"/>
                <w:lang w:val="en-US" w:eastAsia="zh-CN"/>
              </w:rPr>
              <w:t>环境影响</w:t>
            </w:r>
          </w:p>
          <w:p w14:paraId="5DDAE3C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本项目运营过程中</w:t>
            </w:r>
            <w:r>
              <w:rPr>
                <w:rFonts w:hint="default" w:ascii="Times New Roman" w:hAnsi="Times New Roman" w:cs="Times New Roman"/>
                <w:color w:val="auto"/>
                <w:sz w:val="24"/>
                <w:highlight w:val="none"/>
                <w:lang w:val="en-US" w:eastAsia="zh-CN"/>
              </w:rPr>
              <w:t>少量废润滑油储存在危废间内。危废间按照要求做好防渗要求。</w:t>
            </w:r>
          </w:p>
          <w:p w14:paraId="2A9718E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项目生活污水水质较简单，生产过程中加强生产管理，车间内做好防渗要求，从源头上降低对土壤及地下水环境的影响，经采取措施后，本项目对周边土壤及地下水环境影响较小。</w:t>
            </w:r>
          </w:p>
          <w:p w14:paraId="70703BA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（4）跟踪监测要求</w:t>
            </w:r>
          </w:p>
          <w:p w14:paraId="3CA1619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本项目</w:t>
            </w:r>
            <w:r>
              <w:rPr>
                <w:rFonts w:hint="eastAsia" w:ascii="Times New Roman" w:hAnsi="Times New Roman" w:cs="Times New Roman"/>
                <w:color w:val="auto"/>
                <w:sz w:val="24"/>
                <w:highlight w:val="none"/>
                <w:lang w:val="en-US" w:eastAsia="zh-CN"/>
              </w:rPr>
              <w:t>租赁现有</w:t>
            </w:r>
            <w:r>
              <w:rPr>
                <w:rFonts w:hint="eastAsia" w:cs="Times New Roman"/>
                <w:color w:val="auto"/>
                <w:sz w:val="24"/>
                <w:highlight w:val="none"/>
                <w:lang w:val="en-US" w:eastAsia="zh-CN"/>
              </w:rPr>
              <w:t>厂区</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且该单位不属于土壤污染重点监管单位。因此无需开展土壤、地下水跟踪监测</w:t>
            </w:r>
            <w:r>
              <w:rPr>
                <w:rFonts w:hint="default" w:ascii="Times New Roman" w:hAnsi="Times New Roman" w:cs="Times New Roman"/>
                <w:color w:val="auto"/>
                <w:sz w:val="24"/>
                <w:highlight w:val="none"/>
              </w:rPr>
              <w:t>。</w:t>
            </w:r>
          </w:p>
          <w:p w14:paraId="69C93610">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六、生态</w:t>
            </w:r>
          </w:p>
          <w:p w14:paraId="589C36D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租赁现有厂区，对现有厂房进行改建</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不涉及农田等敏感目标，</w:t>
            </w:r>
            <w:r>
              <w:rPr>
                <w:rFonts w:hint="default" w:ascii="Times New Roman" w:hAnsi="Times New Roman" w:cs="Times New Roman"/>
                <w:color w:val="auto"/>
                <w:sz w:val="24"/>
                <w:highlight w:val="none"/>
              </w:rPr>
              <w:t>对周边生态环境基本无影响。</w:t>
            </w:r>
          </w:p>
          <w:p w14:paraId="49235897">
            <w:pPr>
              <w:keepNext w:val="0"/>
              <w:keepLines w:val="0"/>
              <w:suppressLineNumbers w:val="0"/>
              <w:adjustRightInd w:val="0"/>
              <w:snapToGrid w:val="0"/>
              <w:spacing w:before="0" w:beforeAutospacing="0" w:after="0" w:afterAutospacing="0" w:line="360" w:lineRule="auto"/>
              <w:ind w:left="420" w:right="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七、环境风险</w:t>
            </w:r>
          </w:p>
          <w:p w14:paraId="253A30E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）风险识别</w:t>
            </w:r>
          </w:p>
          <w:p w14:paraId="72F43199">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根据《建设项目环境风险评价技术导则》（HJ169-2018）附录C，当只涉及一种危险物质时，计算该物质的总量与其临界量比值，即为Q；当存在多种危险物质时，则按下式计算物质总量与其临界量比值（Q）：</w:t>
            </w:r>
          </w:p>
          <w:p w14:paraId="355BA8E1">
            <w:pPr>
              <w:keepNext w:val="0"/>
              <w:keepLines w:val="0"/>
              <w:suppressLineNumbers w:val="0"/>
              <w:adjustRightInd w:val="0"/>
              <w:snapToGrid w:val="0"/>
              <w:spacing w:before="0" w:beforeAutospacing="0" w:after="0" w:afterAutospacing="0" w:line="360" w:lineRule="auto"/>
              <w:ind w:left="0" w:right="0" w:firstLine="48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object>
                <v:shape id="_x0000_i1028" o:spt="75" type="#_x0000_t75" style="height:33pt;width:101.2pt;" o:ole="t" filled="f" o:preferrelative="t" stroked="f" coordsize="21600,21600">
                  <v:path/>
                  <v:fill on="f" focussize="0,0"/>
                  <v:stroke on="f"/>
                  <v:imagedata r:id="rId32" o:title=""/>
                  <o:lock v:ext="edit" aspectratio="t"/>
                  <w10:wrap type="none"/>
                  <w10:anchorlock/>
                </v:shape>
                <o:OLEObject Type="Embed" ProgID="Equation.3" ShapeID="_x0000_i1028" DrawAspect="Content" ObjectID="_1468075728" r:id="rId31">
                  <o:LockedField>false</o:LockedField>
                </o:OLEObject>
              </w:object>
            </w:r>
          </w:p>
          <w:p w14:paraId="5B98B96A">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式中：q</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n</w:t>
            </w:r>
            <w:r>
              <w:rPr>
                <w:rFonts w:hint="default" w:ascii="Times New Roman" w:hAnsi="Times New Roman" w:cs="Times New Roman"/>
                <w:color w:val="auto"/>
                <w:sz w:val="24"/>
                <w:highlight w:val="none"/>
              </w:rPr>
              <w:t>—每种危险物质的最大存在量，t；</w:t>
            </w:r>
          </w:p>
          <w:p w14:paraId="19C370AA">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…Qn—每种危险物质的临界量，t。</w:t>
            </w:r>
          </w:p>
          <w:p w14:paraId="51B1A7A7">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 Q&lt;1 时，该项目环境风险潜势为I。</w:t>
            </w:r>
          </w:p>
          <w:p w14:paraId="0DEA368E">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根据《建设项目环境风险评价技术导则》（HJ169-2018）附录B.1，本项目涉及的</w:t>
            </w:r>
            <w:r>
              <w:rPr>
                <w:rFonts w:hint="eastAsia" w:ascii="Times New Roman" w:hAnsi="Times New Roman" w:eastAsia="宋体" w:cs="Times New Roman"/>
                <w:color w:val="auto"/>
                <w:sz w:val="24"/>
                <w:highlight w:val="none"/>
                <w:lang w:val="en-US" w:eastAsia="zh-CN"/>
              </w:rPr>
              <w:t>机油</w:t>
            </w:r>
            <w:r>
              <w:rPr>
                <w:rFonts w:hint="default" w:ascii="Times New Roman" w:hAnsi="Times New Roman" w:eastAsia="宋体" w:cs="Times New Roman"/>
                <w:color w:val="auto"/>
                <w:sz w:val="24"/>
                <w:highlight w:val="none"/>
                <w:lang w:val="en-US" w:eastAsia="zh-CN"/>
              </w:rPr>
              <w:t>属于危险物质，Q的确定见下表。</w:t>
            </w:r>
          </w:p>
          <w:p w14:paraId="1E292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表4-1</w:t>
            </w:r>
            <w:r>
              <w:rPr>
                <w:rFonts w:hint="eastAsia"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lang w:val="en-US" w:eastAsia="zh-CN"/>
              </w:rPr>
              <w:t xml:space="preserve"> 建设项目Q值确定表</w:t>
            </w:r>
          </w:p>
          <w:tbl>
            <w:tblPr>
              <w:tblStyle w:val="36"/>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4"/>
              <w:gridCol w:w="1930"/>
              <w:gridCol w:w="1055"/>
              <w:gridCol w:w="1486"/>
              <w:gridCol w:w="1689"/>
              <w:gridCol w:w="1717"/>
            </w:tblGrid>
            <w:tr w14:paraId="657F68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54" w:type="dxa"/>
                  <w:tcBorders>
                    <w:tl2br w:val="nil"/>
                    <w:tr2bl w:val="nil"/>
                  </w:tcBorders>
                  <w:noWrap w:val="0"/>
                  <w:vAlign w:val="center"/>
                </w:tcPr>
                <w:p w14:paraId="56EF03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930" w:type="dxa"/>
                  <w:tcBorders>
                    <w:tl2br w:val="nil"/>
                    <w:tr2bl w:val="nil"/>
                  </w:tcBorders>
                  <w:noWrap w:val="0"/>
                  <w:vAlign w:val="center"/>
                </w:tcPr>
                <w:p w14:paraId="6A7680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危险物质名称</w:t>
                  </w:r>
                </w:p>
              </w:tc>
              <w:tc>
                <w:tcPr>
                  <w:tcW w:w="1055" w:type="dxa"/>
                  <w:tcBorders>
                    <w:tl2br w:val="nil"/>
                    <w:tr2bl w:val="nil"/>
                  </w:tcBorders>
                  <w:noWrap w:val="0"/>
                  <w:vAlign w:val="center"/>
                </w:tcPr>
                <w:p w14:paraId="713B2EB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CAS号</w:t>
                  </w:r>
                </w:p>
              </w:tc>
              <w:tc>
                <w:tcPr>
                  <w:tcW w:w="1486" w:type="dxa"/>
                  <w:tcBorders>
                    <w:tl2br w:val="nil"/>
                    <w:tr2bl w:val="nil"/>
                  </w:tcBorders>
                  <w:noWrap w:val="0"/>
                  <w:vAlign w:val="center"/>
                </w:tcPr>
                <w:p w14:paraId="434E80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临界量（T）</w:t>
                  </w:r>
                </w:p>
              </w:tc>
              <w:tc>
                <w:tcPr>
                  <w:tcW w:w="1689" w:type="dxa"/>
                  <w:tcBorders>
                    <w:tl2br w:val="nil"/>
                    <w:tr2bl w:val="nil"/>
                  </w:tcBorders>
                  <w:noWrap w:val="0"/>
                  <w:vAlign w:val="center"/>
                </w:tcPr>
                <w:p w14:paraId="79486D8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最大储量（T）</w:t>
                  </w:r>
                </w:p>
              </w:tc>
              <w:tc>
                <w:tcPr>
                  <w:tcW w:w="1717" w:type="dxa"/>
                  <w:tcBorders>
                    <w:tl2br w:val="nil"/>
                    <w:tr2bl w:val="nil"/>
                  </w:tcBorders>
                  <w:noWrap w:val="0"/>
                  <w:vAlign w:val="center"/>
                </w:tcPr>
                <w:p w14:paraId="2B3685F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危险物质Q值</w:t>
                  </w:r>
                </w:p>
              </w:tc>
            </w:tr>
            <w:tr w14:paraId="246CD5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54" w:type="dxa"/>
                  <w:tcBorders>
                    <w:tl2br w:val="nil"/>
                    <w:tr2bl w:val="nil"/>
                  </w:tcBorders>
                  <w:noWrap w:val="0"/>
                  <w:vAlign w:val="center"/>
                </w:tcPr>
                <w:p w14:paraId="5ED160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w:t>
                  </w:r>
                </w:p>
              </w:tc>
              <w:tc>
                <w:tcPr>
                  <w:tcW w:w="1930" w:type="dxa"/>
                  <w:tcBorders>
                    <w:tl2br w:val="nil"/>
                    <w:tr2bl w:val="nil"/>
                  </w:tcBorders>
                  <w:noWrap w:val="0"/>
                  <w:vAlign w:val="center"/>
                </w:tcPr>
                <w:p w14:paraId="57B4151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机油</w:t>
                  </w:r>
                </w:p>
              </w:tc>
              <w:tc>
                <w:tcPr>
                  <w:tcW w:w="1055" w:type="dxa"/>
                  <w:tcBorders>
                    <w:tl2br w:val="nil"/>
                    <w:tr2bl w:val="nil"/>
                  </w:tcBorders>
                  <w:noWrap w:val="0"/>
                  <w:vAlign w:val="center"/>
                </w:tcPr>
                <w:p w14:paraId="3E46B7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486" w:type="dxa"/>
                  <w:tcBorders>
                    <w:tl2br w:val="nil"/>
                    <w:tr2bl w:val="nil"/>
                  </w:tcBorders>
                  <w:noWrap w:val="0"/>
                  <w:vAlign w:val="center"/>
                </w:tcPr>
                <w:p w14:paraId="055DC1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2500</w:t>
                  </w:r>
                </w:p>
              </w:tc>
              <w:tc>
                <w:tcPr>
                  <w:tcW w:w="1689" w:type="dxa"/>
                  <w:tcBorders>
                    <w:tl2br w:val="nil"/>
                    <w:tr2bl w:val="nil"/>
                  </w:tcBorders>
                  <w:noWrap w:val="0"/>
                  <w:vAlign w:val="center"/>
                </w:tcPr>
                <w:p w14:paraId="36E583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w:t>
                  </w:r>
                  <w:r>
                    <w:rPr>
                      <w:rFonts w:hint="eastAsia" w:cs="Times New Roman"/>
                      <w:color w:val="auto"/>
                      <w:szCs w:val="21"/>
                      <w:highlight w:val="none"/>
                      <w:lang w:val="en-US" w:eastAsia="zh-CN"/>
                    </w:rPr>
                    <w:t>2</w:t>
                  </w:r>
                </w:p>
              </w:tc>
              <w:tc>
                <w:tcPr>
                  <w:tcW w:w="1717" w:type="dxa"/>
                  <w:tcBorders>
                    <w:tl2br w:val="nil"/>
                    <w:tr2bl w:val="nil"/>
                  </w:tcBorders>
                  <w:noWrap w:val="0"/>
                  <w:vAlign w:val="center"/>
                </w:tcPr>
                <w:p w14:paraId="259406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0.0000</w:t>
                  </w:r>
                  <w:r>
                    <w:rPr>
                      <w:rFonts w:hint="eastAsia" w:cs="Times New Roman"/>
                      <w:color w:val="auto"/>
                      <w:kern w:val="2"/>
                      <w:sz w:val="21"/>
                      <w:szCs w:val="21"/>
                      <w:highlight w:val="none"/>
                      <w:lang w:val="en-US" w:eastAsia="zh-CN" w:bidi="ar-SA"/>
                    </w:rPr>
                    <w:t>08</w:t>
                  </w:r>
                </w:p>
              </w:tc>
            </w:tr>
            <w:tr w14:paraId="1CE4EF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014" w:type="dxa"/>
                  <w:gridSpan w:val="5"/>
                  <w:tcBorders>
                    <w:tl2br w:val="nil"/>
                    <w:tr2bl w:val="nil"/>
                  </w:tcBorders>
                  <w:noWrap w:val="0"/>
                  <w:vAlign w:val="center"/>
                </w:tcPr>
                <w:p w14:paraId="6544186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1717" w:type="dxa"/>
                  <w:tcBorders>
                    <w:tl2br w:val="nil"/>
                    <w:tr2bl w:val="nil"/>
                  </w:tcBorders>
                  <w:noWrap w:val="0"/>
                  <w:vAlign w:val="center"/>
                </w:tcPr>
                <w:p w14:paraId="01F424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0.000008</w:t>
                  </w:r>
                </w:p>
              </w:tc>
            </w:tr>
          </w:tbl>
          <w:p w14:paraId="43AE442E">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经计算，本项目</w:t>
            </w:r>
            <w:r>
              <w:rPr>
                <w:rFonts w:hint="default" w:ascii="Times New Roman" w:hAnsi="Times New Roman" w:eastAsia="宋体" w:cs="Times New Roman"/>
                <w:color w:val="auto"/>
                <w:sz w:val="24"/>
                <w:highlight w:val="none"/>
              </w:rPr>
              <w:t>Q=</w:t>
            </w:r>
            <w:r>
              <w:rPr>
                <w:rFonts w:hint="eastAsia" w:cs="Times New Roman"/>
                <w:color w:val="auto"/>
                <w:sz w:val="24"/>
                <w:highlight w:val="none"/>
                <w:lang w:val="en-US" w:eastAsia="zh-CN"/>
              </w:rPr>
              <w:t>0.000008</w:t>
            </w:r>
            <w:r>
              <w:rPr>
                <w:rFonts w:hint="default" w:ascii="Times New Roman" w:hAnsi="Times New Roman" w:eastAsia="宋体" w:cs="Times New Roman"/>
                <w:color w:val="auto"/>
                <w:sz w:val="24"/>
                <w:highlight w:val="none"/>
              </w:rPr>
              <w:t>&lt;1</w:t>
            </w:r>
            <w:r>
              <w:rPr>
                <w:rFonts w:hint="default" w:ascii="Times New Roman" w:hAnsi="Times New Roman" w:cs="Times New Roman"/>
                <w:color w:val="auto"/>
                <w:sz w:val="24"/>
                <w:highlight w:val="none"/>
              </w:rPr>
              <w:t>，环境风险潜势为I。</w:t>
            </w:r>
          </w:p>
          <w:p w14:paraId="0291A99B">
            <w:pPr>
              <w:keepNext w:val="0"/>
              <w:keepLines w:val="0"/>
              <w:suppressLineNumbers w:val="0"/>
              <w:spacing w:before="0" w:beforeAutospacing="0" w:after="0" w:afterAutospacing="0" w:line="360" w:lineRule="auto"/>
              <w:ind w:left="0" w:right="0" w:firstLine="482"/>
              <w:rPr>
                <w:rFonts w:hint="default" w:ascii="Times New Roman" w:hAnsi="Times New Roman" w:eastAsia="黑体" w:cs="Times New Roman"/>
                <w:bCs/>
                <w:color w:val="auto"/>
                <w:sz w:val="24"/>
                <w:highlight w:val="none"/>
              </w:rPr>
            </w:pPr>
            <w:r>
              <w:rPr>
                <w:rFonts w:hint="default" w:ascii="Times New Roman" w:hAnsi="Times New Roman" w:cs="Times New Roman"/>
                <w:color w:val="auto"/>
                <w:sz w:val="24"/>
                <w:highlight w:val="none"/>
              </w:rPr>
              <w:t>根据《建设项目环境风险评价技术导则》（HJ169-2018）要求，环境风险等级划分依据具体见下表。</w:t>
            </w:r>
          </w:p>
          <w:p w14:paraId="07B382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baseline"/>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表4-1</w:t>
            </w:r>
            <w:r>
              <w:rPr>
                <w:rFonts w:hint="eastAsia" w:ascii="Times New Roman" w:hAnsi="Times New Roman" w:eastAsia="宋体" w:cs="Times New Roman"/>
                <w:b/>
                <w:bCs w:val="0"/>
                <w:color w:val="auto"/>
                <w:sz w:val="21"/>
                <w:szCs w:val="21"/>
                <w:highlight w:val="none"/>
                <w:lang w:val="en-US" w:eastAsia="zh-CN"/>
              </w:rPr>
              <w:t>3</w:t>
            </w:r>
            <w:r>
              <w:rPr>
                <w:rFonts w:hint="default" w:ascii="Times New Roman" w:hAnsi="Times New Roman" w:eastAsia="宋体" w:cs="Times New Roman"/>
                <w:b/>
                <w:bCs w:val="0"/>
                <w:color w:val="auto"/>
                <w:sz w:val="21"/>
                <w:szCs w:val="21"/>
                <w:highlight w:val="none"/>
                <w:lang w:val="en-US" w:eastAsia="zh-CN"/>
              </w:rPr>
              <w:t xml:space="preserve"> 环境风险评价工作等级划分</w:t>
            </w:r>
          </w:p>
          <w:tbl>
            <w:tblPr>
              <w:tblStyle w:val="36"/>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35"/>
              <w:gridCol w:w="1758"/>
              <w:gridCol w:w="1642"/>
              <w:gridCol w:w="1642"/>
              <w:gridCol w:w="1758"/>
            </w:tblGrid>
            <w:tr w14:paraId="29FD13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875" w:type="dxa"/>
                  <w:tcBorders>
                    <w:tl2br w:val="nil"/>
                    <w:tr2bl w:val="nil"/>
                  </w:tcBorders>
                  <w:noWrap w:val="0"/>
                  <w:vAlign w:val="center"/>
                </w:tcPr>
                <w:p w14:paraId="7EAC708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环境风险潜势</w:t>
                  </w:r>
                </w:p>
              </w:tc>
              <w:tc>
                <w:tcPr>
                  <w:tcW w:w="1702" w:type="dxa"/>
                  <w:tcBorders>
                    <w:tl2br w:val="nil"/>
                    <w:tr2bl w:val="nil"/>
                  </w:tcBorders>
                  <w:noWrap w:val="0"/>
                  <w:vAlign w:val="center"/>
                </w:tcPr>
                <w:p w14:paraId="32A417D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fldChar w:fldCharType="begin"/>
                  </w:r>
                  <w:r>
                    <w:rPr>
                      <w:rFonts w:hint="default" w:ascii="Times New Roman" w:hAnsi="Times New Roman" w:cs="Times New Roman"/>
                      <w:b/>
                      <w:bCs/>
                      <w:color w:val="auto"/>
                      <w:szCs w:val="21"/>
                      <w:highlight w:val="none"/>
                    </w:rPr>
                    <w:instrText xml:space="preserve"> = 4 \* ROMAN </w:instrText>
                  </w:r>
                  <w:r>
                    <w:rPr>
                      <w:rFonts w:hint="default" w:ascii="Times New Roman" w:hAnsi="Times New Roman" w:cs="Times New Roman"/>
                      <w:b/>
                      <w:bCs/>
                      <w:color w:val="auto"/>
                      <w:szCs w:val="21"/>
                      <w:highlight w:val="none"/>
                    </w:rPr>
                    <w:fldChar w:fldCharType="separate"/>
                  </w:r>
                  <w:r>
                    <w:rPr>
                      <w:rFonts w:hint="default" w:ascii="Times New Roman" w:hAnsi="Times New Roman" w:cs="Times New Roman"/>
                      <w:b/>
                      <w:bCs/>
                      <w:color w:val="auto"/>
                      <w:szCs w:val="21"/>
                      <w:highlight w:val="none"/>
                    </w:rPr>
                    <w:t>IV</w:t>
                  </w:r>
                  <w:r>
                    <w:rPr>
                      <w:rFonts w:hint="default" w:ascii="Times New Roman" w:hAnsi="Times New Roman" w:cs="Times New Roman"/>
                      <w:b/>
                      <w:bCs/>
                      <w:color w:val="auto"/>
                      <w:szCs w:val="21"/>
                      <w:highlight w:val="none"/>
                    </w:rPr>
                    <w:fldChar w:fldCharType="end"/>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rPr>
                    <w:fldChar w:fldCharType="begin"/>
                  </w:r>
                  <w:r>
                    <w:rPr>
                      <w:rFonts w:hint="default" w:ascii="Times New Roman" w:hAnsi="Times New Roman" w:cs="Times New Roman"/>
                      <w:b/>
                      <w:bCs/>
                      <w:color w:val="auto"/>
                      <w:szCs w:val="21"/>
                      <w:highlight w:val="none"/>
                    </w:rPr>
                    <w:instrText xml:space="preserve"> = 4 \* ROMAN </w:instrText>
                  </w:r>
                  <w:r>
                    <w:rPr>
                      <w:rFonts w:hint="default" w:ascii="Times New Roman" w:hAnsi="Times New Roman" w:cs="Times New Roman"/>
                      <w:b/>
                      <w:bCs/>
                      <w:color w:val="auto"/>
                      <w:szCs w:val="21"/>
                      <w:highlight w:val="none"/>
                    </w:rPr>
                    <w:fldChar w:fldCharType="separate"/>
                  </w:r>
                  <w:r>
                    <w:rPr>
                      <w:rFonts w:hint="default" w:ascii="Times New Roman" w:hAnsi="Times New Roman" w:cs="Times New Roman"/>
                      <w:b/>
                      <w:bCs/>
                      <w:color w:val="auto"/>
                      <w:szCs w:val="21"/>
                      <w:highlight w:val="none"/>
                    </w:rPr>
                    <w:t>IV</w:t>
                  </w:r>
                  <w:r>
                    <w:rPr>
                      <w:rFonts w:hint="default" w:ascii="Times New Roman" w:hAnsi="Times New Roman" w:cs="Times New Roman"/>
                      <w:b/>
                      <w:bCs/>
                      <w:color w:val="auto"/>
                      <w:szCs w:val="21"/>
                      <w:highlight w:val="none"/>
                    </w:rPr>
                    <w:fldChar w:fldCharType="end"/>
                  </w:r>
                  <w:r>
                    <w:rPr>
                      <w:rFonts w:hint="default" w:ascii="Times New Roman" w:hAnsi="Times New Roman" w:cs="Times New Roman"/>
                      <w:b/>
                      <w:bCs/>
                      <w:color w:val="auto"/>
                      <w:szCs w:val="21"/>
                      <w:highlight w:val="none"/>
                      <w:vertAlign w:val="superscript"/>
                    </w:rPr>
                    <w:t>+</w:t>
                  </w:r>
                </w:p>
              </w:tc>
              <w:tc>
                <w:tcPr>
                  <w:tcW w:w="1590" w:type="dxa"/>
                  <w:tcBorders>
                    <w:tl2br w:val="nil"/>
                    <w:tr2bl w:val="nil"/>
                  </w:tcBorders>
                  <w:noWrap w:val="0"/>
                  <w:vAlign w:val="center"/>
                </w:tcPr>
                <w:p w14:paraId="6A93D3E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fldChar w:fldCharType="begin"/>
                  </w:r>
                  <w:r>
                    <w:rPr>
                      <w:rFonts w:hint="default" w:ascii="Times New Roman" w:hAnsi="Times New Roman" w:cs="Times New Roman"/>
                      <w:b/>
                      <w:bCs/>
                      <w:color w:val="auto"/>
                      <w:szCs w:val="21"/>
                      <w:highlight w:val="none"/>
                    </w:rPr>
                    <w:instrText xml:space="preserve"> = 3 \* ROMAN </w:instrText>
                  </w:r>
                  <w:r>
                    <w:rPr>
                      <w:rFonts w:hint="default" w:ascii="Times New Roman" w:hAnsi="Times New Roman" w:cs="Times New Roman"/>
                      <w:b/>
                      <w:bCs/>
                      <w:color w:val="auto"/>
                      <w:szCs w:val="21"/>
                      <w:highlight w:val="none"/>
                    </w:rPr>
                    <w:fldChar w:fldCharType="separate"/>
                  </w:r>
                  <w:r>
                    <w:rPr>
                      <w:rFonts w:hint="default" w:ascii="Times New Roman" w:hAnsi="Times New Roman" w:cs="Times New Roman"/>
                      <w:b/>
                      <w:bCs/>
                      <w:color w:val="auto"/>
                      <w:szCs w:val="21"/>
                      <w:highlight w:val="none"/>
                    </w:rPr>
                    <w:t>III</w:t>
                  </w:r>
                  <w:r>
                    <w:rPr>
                      <w:rFonts w:hint="default" w:ascii="Times New Roman" w:hAnsi="Times New Roman" w:cs="Times New Roman"/>
                      <w:b/>
                      <w:bCs/>
                      <w:color w:val="auto"/>
                      <w:szCs w:val="21"/>
                      <w:highlight w:val="none"/>
                    </w:rPr>
                    <w:fldChar w:fldCharType="end"/>
                  </w:r>
                </w:p>
              </w:tc>
              <w:tc>
                <w:tcPr>
                  <w:tcW w:w="1590" w:type="dxa"/>
                  <w:tcBorders>
                    <w:tl2br w:val="nil"/>
                    <w:tr2bl w:val="nil"/>
                  </w:tcBorders>
                  <w:noWrap w:val="0"/>
                  <w:vAlign w:val="center"/>
                </w:tcPr>
                <w:p w14:paraId="48430B0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fldChar w:fldCharType="begin"/>
                  </w:r>
                  <w:r>
                    <w:rPr>
                      <w:rFonts w:hint="default" w:ascii="Times New Roman" w:hAnsi="Times New Roman" w:cs="Times New Roman"/>
                      <w:b/>
                      <w:bCs/>
                      <w:color w:val="auto"/>
                      <w:szCs w:val="21"/>
                      <w:highlight w:val="none"/>
                    </w:rPr>
                    <w:instrText xml:space="preserve"> = 2 \* ROMAN </w:instrText>
                  </w:r>
                  <w:r>
                    <w:rPr>
                      <w:rFonts w:hint="default" w:ascii="Times New Roman" w:hAnsi="Times New Roman" w:cs="Times New Roman"/>
                      <w:b/>
                      <w:bCs/>
                      <w:color w:val="auto"/>
                      <w:szCs w:val="21"/>
                      <w:highlight w:val="none"/>
                    </w:rPr>
                    <w:fldChar w:fldCharType="separate"/>
                  </w:r>
                  <w:r>
                    <w:rPr>
                      <w:rFonts w:hint="default" w:ascii="Times New Roman" w:hAnsi="Times New Roman" w:cs="Times New Roman"/>
                      <w:b/>
                      <w:bCs/>
                      <w:color w:val="auto"/>
                      <w:szCs w:val="21"/>
                      <w:highlight w:val="none"/>
                    </w:rPr>
                    <w:t>II</w:t>
                  </w:r>
                  <w:r>
                    <w:rPr>
                      <w:rFonts w:hint="default" w:ascii="Times New Roman" w:hAnsi="Times New Roman" w:cs="Times New Roman"/>
                      <w:b/>
                      <w:bCs/>
                      <w:color w:val="auto"/>
                      <w:szCs w:val="21"/>
                      <w:highlight w:val="none"/>
                    </w:rPr>
                    <w:fldChar w:fldCharType="end"/>
                  </w:r>
                </w:p>
              </w:tc>
              <w:tc>
                <w:tcPr>
                  <w:tcW w:w="1702" w:type="dxa"/>
                  <w:tcBorders>
                    <w:tl2br w:val="nil"/>
                    <w:tr2bl w:val="nil"/>
                  </w:tcBorders>
                  <w:noWrap w:val="0"/>
                  <w:vAlign w:val="center"/>
                </w:tcPr>
                <w:p w14:paraId="273B05C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fldChar w:fldCharType="begin"/>
                  </w:r>
                  <w:r>
                    <w:rPr>
                      <w:rFonts w:hint="default" w:ascii="Times New Roman" w:hAnsi="Times New Roman" w:cs="Times New Roman"/>
                      <w:b/>
                      <w:bCs/>
                      <w:color w:val="auto"/>
                      <w:szCs w:val="21"/>
                      <w:highlight w:val="none"/>
                    </w:rPr>
                    <w:instrText xml:space="preserve"> = 1 \* ROMAN </w:instrText>
                  </w:r>
                  <w:r>
                    <w:rPr>
                      <w:rFonts w:hint="default" w:ascii="Times New Roman" w:hAnsi="Times New Roman" w:cs="Times New Roman"/>
                      <w:b/>
                      <w:bCs/>
                      <w:color w:val="auto"/>
                      <w:szCs w:val="21"/>
                      <w:highlight w:val="none"/>
                    </w:rPr>
                    <w:fldChar w:fldCharType="separate"/>
                  </w:r>
                  <w:r>
                    <w:rPr>
                      <w:rFonts w:hint="default" w:ascii="Times New Roman" w:hAnsi="Times New Roman" w:cs="Times New Roman"/>
                      <w:b/>
                      <w:bCs/>
                      <w:color w:val="auto"/>
                      <w:szCs w:val="21"/>
                      <w:highlight w:val="none"/>
                    </w:rPr>
                    <w:t>I</w:t>
                  </w:r>
                  <w:r>
                    <w:rPr>
                      <w:rFonts w:hint="default" w:ascii="Times New Roman" w:hAnsi="Times New Roman" w:cs="Times New Roman"/>
                      <w:b/>
                      <w:bCs/>
                      <w:color w:val="auto"/>
                      <w:szCs w:val="21"/>
                      <w:highlight w:val="none"/>
                    </w:rPr>
                    <w:fldChar w:fldCharType="end"/>
                  </w:r>
                </w:p>
              </w:tc>
            </w:tr>
            <w:tr w14:paraId="7C8783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875" w:type="dxa"/>
                  <w:tcBorders>
                    <w:tl2br w:val="nil"/>
                    <w:tr2bl w:val="nil"/>
                  </w:tcBorders>
                  <w:noWrap w:val="0"/>
                  <w:vAlign w:val="center"/>
                </w:tcPr>
                <w:p w14:paraId="260EE03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评价工作等级</w:t>
                  </w:r>
                </w:p>
              </w:tc>
              <w:tc>
                <w:tcPr>
                  <w:tcW w:w="1702" w:type="dxa"/>
                  <w:tcBorders>
                    <w:tl2br w:val="nil"/>
                    <w:tr2bl w:val="nil"/>
                  </w:tcBorders>
                  <w:noWrap w:val="0"/>
                  <w:vAlign w:val="center"/>
                </w:tcPr>
                <w:p w14:paraId="0801CAF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w:t>
                  </w:r>
                </w:p>
              </w:tc>
              <w:tc>
                <w:tcPr>
                  <w:tcW w:w="1590" w:type="dxa"/>
                  <w:tcBorders>
                    <w:tl2br w:val="nil"/>
                    <w:tr2bl w:val="nil"/>
                  </w:tcBorders>
                  <w:noWrap w:val="0"/>
                  <w:vAlign w:val="center"/>
                </w:tcPr>
                <w:p w14:paraId="1A6A929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w:t>
                  </w:r>
                </w:p>
              </w:tc>
              <w:tc>
                <w:tcPr>
                  <w:tcW w:w="1590" w:type="dxa"/>
                  <w:tcBorders>
                    <w:tl2br w:val="nil"/>
                    <w:tr2bl w:val="nil"/>
                  </w:tcBorders>
                  <w:noWrap w:val="0"/>
                  <w:vAlign w:val="center"/>
                </w:tcPr>
                <w:p w14:paraId="4F435CE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w:t>
                  </w:r>
                </w:p>
              </w:tc>
              <w:tc>
                <w:tcPr>
                  <w:tcW w:w="1702" w:type="dxa"/>
                  <w:tcBorders>
                    <w:tl2br w:val="nil"/>
                    <w:tr2bl w:val="nil"/>
                  </w:tcBorders>
                  <w:noWrap w:val="0"/>
                  <w:vAlign w:val="center"/>
                </w:tcPr>
                <w:p w14:paraId="40B1587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简单分析</w:t>
                  </w:r>
                </w:p>
              </w:tc>
            </w:tr>
          </w:tbl>
          <w:p w14:paraId="69B1662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0"/>
                <w:sz w:val="24"/>
                <w:highlight w:val="none"/>
                <w:lang w:bidi="zh-CN"/>
              </w:rPr>
            </w:pPr>
            <w:r>
              <w:rPr>
                <w:rFonts w:hint="default" w:ascii="Times New Roman" w:hAnsi="Times New Roman" w:cs="Times New Roman"/>
                <w:color w:val="auto"/>
                <w:sz w:val="24"/>
                <w:highlight w:val="none"/>
              </w:rPr>
              <w:t>本项目环境风险潜势划分为</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1 \* ROMAN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I</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，因此本项目只对环境风险进行简单分析。</w:t>
            </w:r>
          </w:p>
          <w:p w14:paraId="4EFEF5F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环境风险可能影响途径</w:t>
            </w:r>
          </w:p>
          <w:p w14:paraId="583BD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本项目主要环境风险来自于</w:t>
            </w:r>
            <w:r>
              <w:rPr>
                <w:rFonts w:hint="eastAsia" w:cs="Times New Roman"/>
                <w:color w:val="auto"/>
                <w:sz w:val="24"/>
                <w:highlight w:val="none"/>
                <w:lang w:val="en-US" w:eastAsia="zh-CN"/>
              </w:rPr>
              <w:t>机油</w:t>
            </w:r>
            <w:r>
              <w:rPr>
                <w:rFonts w:hint="eastAsia" w:ascii="Times New Roman" w:hAnsi="Times New Roman" w:eastAsia="宋体" w:cs="Times New Roman"/>
                <w:color w:val="auto"/>
                <w:sz w:val="24"/>
                <w:highlight w:val="none"/>
                <w:lang w:val="en-US" w:eastAsia="zh-CN"/>
              </w:rPr>
              <w:t>泄漏</w:t>
            </w:r>
            <w:r>
              <w:rPr>
                <w:rFonts w:hint="default" w:ascii="Times New Roman" w:hAnsi="Times New Roman" w:eastAsia="宋体" w:cs="Times New Roman"/>
                <w:color w:val="auto"/>
                <w:sz w:val="24"/>
                <w:highlight w:val="none"/>
                <w:lang w:val="en-US" w:eastAsia="zh-CN"/>
              </w:rPr>
              <w:t>和</w:t>
            </w:r>
            <w:r>
              <w:rPr>
                <w:rFonts w:hint="eastAsia" w:ascii="Times New Roman" w:hAnsi="Times New Roman" w:eastAsia="宋体" w:cs="Times New Roman"/>
                <w:color w:val="auto"/>
                <w:sz w:val="24"/>
                <w:highlight w:val="none"/>
                <w:lang w:val="en-US" w:eastAsia="zh-CN"/>
              </w:rPr>
              <w:t>环保设施</w:t>
            </w:r>
            <w:r>
              <w:rPr>
                <w:rFonts w:hint="default" w:ascii="Times New Roman" w:hAnsi="Times New Roman" w:eastAsia="宋体" w:cs="Times New Roman"/>
                <w:color w:val="auto"/>
                <w:sz w:val="24"/>
                <w:highlight w:val="none"/>
                <w:lang w:val="en-US" w:eastAsia="zh-CN"/>
              </w:rPr>
              <w:t>故障：</w:t>
            </w:r>
          </w:p>
          <w:p w14:paraId="28D62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eastAsia" w:cs="Times New Roman"/>
                <w:color w:val="auto"/>
                <w:sz w:val="24"/>
                <w:highlight w:val="none"/>
                <w:lang w:val="en-US" w:eastAsia="zh-CN"/>
              </w:rPr>
              <w:t>机油桶</w:t>
            </w:r>
            <w:r>
              <w:rPr>
                <w:rFonts w:hint="eastAsia" w:ascii="Times New Roman" w:hAnsi="Times New Roman" w:eastAsia="宋体" w:cs="Times New Roman"/>
                <w:color w:val="auto"/>
                <w:sz w:val="24"/>
                <w:highlight w:val="none"/>
                <w:lang w:val="en-US" w:eastAsia="zh-CN"/>
              </w:rPr>
              <w:t>破损</w:t>
            </w:r>
            <w:r>
              <w:rPr>
                <w:rFonts w:hint="default" w:ascii="Times New Roman" w:hAnsi="Times New Roman" w:eastAsia="宋体" w:cs="Times New Roman"/>
                <w:color w:val="auto"/>
                <w:sz w:val="24"/>
                <w:highlight w:val="none"/>
                <w:lang w:val="en-US" w:eastAsia="zh-CN"/>
              </w:rPr>
              <w:t>发生泄漏，泄漏的</w:t>
            </w:r>
            <w:r>
              <w:rPr>
                <w:rFonts w:hint="eastAsia" w:cs="Times New Roman"/>
                <w:color w:val="auto"/>
                <w:sz w:val="24"/>
                <w:highlight w:val="none"/>
                <w:lang w:val="en-US" w:eastAsia="zh-CN"/>
              </w:rPr>
              <w:t>机油</w:t>
            </w:r>
            <w:r>
              <w:rPr>
                <w:rFonts w:hint="default" w:ascii="Times New Roman" w:hAnsi="Times New Roman" w:eastAsia="宋体" w:cs="Times New Roman"/>
                <w:color w:val="auto"/>
                <w:sz w:val="24"/>
                <w:highlight w:val="none"/>
                <w:lang w:val="en-US" w:eastAsia="zh-CN"/>
              </w:rPr>
              <w:t>遇明火</w:t>
            </w:r>
            <w:r>
              <w:rPr>
                <w:rFonts w:hint="eastAsia" w:ascii="Times New Roman" w:hAnsi="Times New Roman" w:eastAsia="宋体" w:cs="Times New Roman"/>
                <w:color w:val="auto"/>
                <w:sz w:val="24"/>
                <w:highlight w:val="none"/>
                <w:lang w:val="en-US" w:eastAsia="zh-CN"/>
              </w:rPr>
              <w:t>引发</w:t>
            </w:r>
            <w:r>
              <w:rPr>
                <w:rFonts w:hint="default" w:ascii="Times New Roman" w:hAnsi="Times New Roman" w:eastAsia="宋体" w:cs="Times New Roman"/>
                <w:color w:val="auto"/>
                <w:sz w:val="24"/>
                <w:highlight w:val="none"/>
                <w:lang w:val="en-US" w:eastAsia="zh-CN"/>
              </w:rPr>
              <w:t>火灾事故，污染周围大气</w:t>
            </w:r>
            <w:r>
              <w:rPr>
                <w:rFonts w:hint="eastAsia" w:ascii="Times New Roman" w:hAnsi="Times New Roman" w:eastAsia="宋体" w:cs="Times New Roman"/>
                <w:color w:val="auto"/>
                <w:sz w:val="24"/>
                <w:highlight w:val="none"/>
                <w:lang w:val="en-US" w:eastAsia="zh-CN"/>
              </w:rPr>
              <w:t>。</w:t>
            </w:r>
          </w:p>
          <w:p w14:paraId="641C1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②布袋除尘器</w:t>
            </w:r>
            <w:r>
              <w:rPr>
                <w:rFonts w:hint="default" w:ascii="Times New Roman" w:hAnsi="Times New Roman" w:eastAsia="宋体" w:cs="Times New Roman"/>
                <w:color w:val="auto"/>
                <w:sz w:val="24"/>
                <w:highlight w:val="none"/>
                <w:lang w:val="en-US" w:eastAsia="zh-CN"/>
              </w:rPr>
              <w:t>故障或风机、排气管路泄漏</w:t>
            </w:r>
            <w:r>
              <w:rPr>
                <w:rFonts w:hint="eastAsia" w:ascii="Times New Roman" w:hAnsi="Times New Roman" w:eastAsia="宋体" w:cs="Times New Roman"/>
                <w:color w:val="auto"/>
                <w:sz w:val="24"/>
                <w:highlight w:val="none"/>
                <w:lang w:val="en-US" w:eastAsia="zh-CN"/>
              </w:rPr>
              <w:t>，导致超标排放，污染周围大气环境。</w:t>
            </w:r>
          </w:p>
          <w:p w14:paraId="07D8C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③厂区设备及线路老化引发的电气火灾，</w:t>
            </w:r>
            <w:r>
              <w:rPr>
                <w:rFonts w:hint="default" w:ascii="Times New Roman" w:hAnsi="Times New Roman" w:eastAsia="宋体" w:cs="Times New Roman"/>
                <w:color w:val="auto"/>
                <w:sz w:val="24"/>
                <w:highlight w:val="none"/>
                <w:lang w:val="en-US" w:eastAsia="zh-CN"/>
              </w:rPr>
              <w:t>污染周围大气</w:t>
            </w:r>
            <w:r>
              <w:rPr>
                <w:rFonts w:hint="eastAsia" w:ascii="Times New Roman" w:hAnsi="Times New Roman" w:eastAsia="宋体" w:cs="Times New Roman"/>
                <w:color w:val="auto"/>
                <w:sz w:val="24"/>
                <w:highlight w:val="none"/>
                <w:lang w:val="en-US" w:eastAsia="zh-CN"/>
              </w:rPr>
              <w:t>。</w:t>
            </w:r>
          </w:p>
          <w:p w14:paraId="4049D336">
            <w:pPr>
              <w:keepNext w:val="0"/>
              <w:keepLines w:val="0"/>
              <w:suppressLineNumbers w:val="0"/>
              <w:tabs>
                <w:tab w:val="left" w:pos="1470"/>
              </w:tabs>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lang w:val="en-US" w:eastAsia="zh-CN"/>
              </w:rPr>
              <w:t>3</w:t>
            </w:r>
            <w:r>
              <w:rPr>
                <w:rFonts w:hint="default" w:ascii="Times New Roman" w:hAnsi="Times New Roman" w:cs="Times New Roman"/>
                <w:b w:val="0"/>
                <w:bCs w:val="0"/>
                <w:color w:val="auto"/>
                <w:kern w:val="0"/>
                <w:sz w:val="24"/>
                <w:highlight w:val="none"/>
                <w:lang w:eastAsia="zh-CN"/>
              </w:rPr>
              <w:t>）</w:t>
            </w:r>
            <w:r>
              <w:rPr>
                <w:rFonts w:hint="default" w:ascii="Times New Roman" w:hAnsi="Times New Roman" w:cs="Times New Roman"/>
                <w:b w:val="0"/>
                <w:bCs w:val="0"/>
                <w:color w:val="auto"/>
                <w:kern w:val="0"/>
                <w:sz w:val="24"/>
                <w:highlight w:val="none"/>
                <w:lang w:val="en-US" w:eastAsia="zh-CN"/>
              </w:rPr>
              <w:t>环境风险防范措施</w:t>
            </w:r>
          </w:p>
          <w:p w14:paraId="40C1B8A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lang w:val="en-US" w:eastAsia="zh-CN"/>
              </w:rPr>
            </w:pPr>
            <w:r>
              <w:rPr>
                <w:rFonts w:hint="default" w:ascii="Times New Roman" w:hAnsi="Times New Roman" w:eastAsia="宋体" w:cs="Times New Roman"/>
                <w:caps w:val="0"/>
                <w:smallCaps w:val="0"/>
                <w:color w:val="auto"/>
                <w:spacing w:val="0"/>
                <w:sz w:val="24"/>
                <w:lang w:val="en-US" w:eastAsia="zh-CN"/>
              </w:rPr>
              <w:t>环境风险是由产生和控制风险的所有因素构成的系统性突发事件，突发性污染事故过程是由几个连续发展阶段构成：初因事件(系统故障、操作失误)—污染物溢出—向环境释放、迁移—暴露—危害，其性质复杂、形式多样、发生突然、危害严重、处理困难。</w:t>
            </w:r>
          </w:p>
          <w:p w14:paraId="3E13D63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lang w:val="en-US" w:eastAsia="zh-CN"/>
              </w:rPr>
            </w:pPr>
            <w:r>
              <w:rPr>
                <w:rFonts w:hint="default" w:ascii="Times New Roman" w:hAnsi="Times New Roman" w:eastAsia="宋体" w:cs="Times New Roman"/>
                <w:caps w:val="0"/>
                <w:smallCaps w:val="0"/>
                <w:color w:val="auto"/>
                <w:spacing w:val="0"/>
                <w:sz w:val="24"/>
                <w:lang w:val="en-US" w:eastAsia="zh-CN"/>
              </w:rPr>
              <w:t>本项目制定环境风险防范措施如下：</w:t>
            </w:r>
          </w:p>
          <w:p w14:paraId="119C7C9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lang w:val="en-US" w:eastAsia="zh-CN"/>
              </w:rPr>
            </w:pPr>
            <w:r>
              <w:rPr>
                <w:rFonts w:hint="eastAsia" w:ascii="Times New Roman" w:hAnsi="Times New Roman" w:eastAsia="宋体" w:cs="Times New Roman"/>
                <w:caps w:val="0"/>
                <w:smallCaps w:val="0"/>
                <w:color w:val="auto"/>
                <w:spacing w:val="0"/>
                <w:sz w:val="24"/>
                <w:lang w:val="en-US" w:eastAsia="zh-CN"/>
              </w:rPr>
              <w:t>①</w:t>
            </w:r>
            <w:r>
              <w:rPr>
                <w:rFonts w:hint="default" w:ascii="Times New Roman" w:hAnsi="Times New Roman" w:eastAsia="宋体" w:cs="Times New Roman"/>
                <w:caps w:val="0"/>
                <w:smallCaps w:val="0"/>
                <w:color w:val="auto"/>
                <w:spacing w:val="0"/>
                <w:sz w:val="24"/>
                <w:lang w:val="en-US" w:eastAsia="zh-CN"/>
              </w:rPr>
              <w:t>在总图布置中，考虑各建筑物的防火间距，安全疏散以及自然条件等方面的问题，确保其符合国家的有关规定。完善相关消防设施，严格划分生产区和储存区。企业按照《建筑设计防火规范》（GB50016-2018）和《工业企业总平面布置设计规范》（GB51087-2012）等规范要求进行设计。</w:t>
            </w:r>
          </w:p>
          <w:p w14:paraId="37644C6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lang w:val="en-US" w:eastAsia="zh-CN"/>
              </w:rPr>
            </w:pPr>
            <w:r>
              <w:rPr>
                <w:rFonts w:hint="eastAsia" w:ascii="Times New Roman" w:hAnsi="Times New Roman" w:eastAsia="宋体" w:cs="Times New Roman"/>
                <w:caps w:val="0"/>
                <w:smallCaps w:val="0"/>
                <w:color w:val="auto"/>
                <w:spacing w:val="0"/>
                <w:sz w:val="24"/>
                <w:lang w:val="en-US" w:eastAsia="zh-CN"/>
              </w:rPr>
              <w:t>②</w:t>
            </w:r>
            <w:r>
              <w:rPr>
                <w:rFonts w:hint="default" w:ascii="Times New Roman" w:hAnsi="Times New Roman" w:eastAsia="宋体" w:cs="Times New Roman"/>
                <w:caps w:val="0"/>
                <w:smallCaps w:val="0"/>
                <w:color w:val="auto"/>
                <w:spacing w:val="0"/>
                <w:sz w:val="24"/>
                <w:lang w:val="en-US" w:eastAsia="zh-CN"/>
              </w:rPr>
              <w:t>定期对职工进行安全防火和环保教育，提高操作工人的技术水平和责任感，降低误操作事故引发的环境风险；</w:t>
            </w:r>
          </w:p>
          <w:p w14:paraId="034B702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lang w:val="en-US" w:eastAsia="zh-CN"/>
              </w:rPr>
            </w:pPr>
            <w:r>
              <w:rPr>
                <w:rFonts w:hint="eastAsia" w:ascii="Times New Roman" w:hAnsi="Times New Roman" w:eastAsia="宋体" w:cs="Times New Roman"/>
                <w:caps w:val="0"/>
                <w:smallCaps w:val="0"/>
                <w:color w:val="auto"/>
                <w:spacing w:val="0"/>
                <w:sz w:val="24"/>
                <w:lang w:val="en-US" w:eastAsia="zh-CN"/>
              </w:rPr>
              <w:t>③</w:t>
            </w:r>
            <w:r>
              <w:rPr>
                <w:rFonts w:hint="default" w:ascii="Times New Roman" w:hAnsi="Times New Roman" w:eastAsia="宋体" w:cs="Times New Roman"/>
                <w:caps w:val="0"/>
                <w:smallCaps w:val="0"/>
                <w:color w:val="auto"/>
                <w:spacing w:val="0"/>
                <w:sz w:val="24"/>
                <w:lang w:val="en-US" w:eastAsia="zh-CN"/>
              </w:rPr>
              <w:t>加强设备等的日常巡视与管理维护，记录各种设备的运行情况，备齐易损件的备件，发现问题及时处理。</w:t>
            </w:r>
          </w:p>
          <w:p w14:paraId="3D593C9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lang w:val="en-US" w:eastAsia="zh-CN"/>
              </w:rPr>
            </w:pPr>
            <w:r>
              <w:rPr>
                <w:rFonts w:hint="eastAsia" w:ascii="Times New Roman" w:hAnsi="Times New Roman" w:eastAsia="宋体" w:cs="Times New Roman"/>
                <w:caps w:val="0"/>
                <w:smallCaps w:val="0"/>
                <w:color w:val="auto"/>
                <w:spacing w:val="0"/>
                <w:sz w:val="24"/>
                <w:lang w:val="en-US" w:eastAsia="zh-CN"/>
              </w:rPr>
              <w:t>④</w:t>
            </w:r>
            <w:r>
              <w:rPr>
                <w:rFonts w:hint="default" w:ascii="Times New Roman" w:hAnsi="Times New Roman" w:eastAsia="宋体" w:cs="Times New Roman"/>
                <w:caps w:val="0"/>
                <w:smallCaps w:val="0"/>
                <w:color w:val="auto"/>
                <w:spacing w:val="0"/>
                <w:sz w:val="24"/>
                <w:lang w:val="en-US" w:eastAsia="zh-CN"/>
              </w:rPr>
              <w:t>消防设备应该放置在</w:t>
            </w:r>
            <w:r>
              <w:rPr>
                <w:rFonts w:hint="eastAsia" w:ascii="Times New Roman" w:hAnsi="Times New Roman" w:eastAsia="宋体" w:cs="Times New Roman"/>
                <w:caps w:val="0"/>
                <w:smallCaps w:val="0"/>
                <w:color w:val="auto"/>
                <w:spacing w:val="0"/>
                <w:sz w:val="24"/>
                <w:lang w:val="en-US" w:eastAsia="zh-CN"/>
              </w:rPr>
              <w:t>车间</w:t>
            </w:r>
            <w:r>
              <w:rPr>
                <w:rFonts w:hint="default" w:ascii="Times New Roman" w:hAnsi="Times New Roman" w:eastAsia="宋体" w:cs="Times New Roman"/>
                <w:caps w:val="0"/>
                <w:smallCaps w:val="0"/>
                <w:color w:val="auto"/>
                <w:spacing w:val="0"/>
                <w:sz w:val="24"/>
                <w:lang w:val="en-US" w:eastAsia="zh-CN"/>
              </w:rPr>
              <w:t>内，灭火器要齐全。</w:t>
            </w:r>
          </w:p>
          <w:p w14:paraId="140A3E5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szCs w:val="24"/>
                <w:lang w:val="en-US" w:eastAsia="zh-CN"/>
              </w:rPr>
            </w:pPr>
            <w:r>
              <w:rPr>
                <w:rFonts w:hint="eastAsia" w:ascii="Times New Roman" w:hAnsi="Times New Roman" w:eastAsia="宋体" w:cs="Times New Roman"/>
                <w:caps w:val="0"/>
                <w:smallCaps w:val="0"/>
                <w:color w:val="auto"/>
                <w:spacing w:val="0"/>
                <w:sz w:val="24"/>
                <w:lang w:val="en-US" w:eastAsia="zh-CN"/>
              </w:rPr>
              <w:t>⑤</w:t>
            </w:r>
            <w:r>
              <w:rPr>
                <w:rFonts w:hint="eastAsia" w:cs="Times New Roman"/>
                <w:caps w:val="0"/>
                <w:smallCaps w:val="0"/>
                <w:color w:val="auto"/>
                <w:spacing w:val="0"/>
                <w:sz w:val="24"/>
                <w:lang w:val="en-US" w:eastAsia="zh-CN"/>
              </w:rPr>
              <w:t>机油</w:t>
            </w:r>
            <w:r>
              <w:rPr>
                <w:rFonts w:hint="default" w:ascii="Times New Roman" w:hAnsi="Times New Roman" w:eastAsia="宋体" w:cs="Times New Roman"/>
                <w:caps w:val="0"/>
                <w:smallCaps w:val="0"/>
                <w:color w:val="auto"/>
                <w:spacing w:val="0"/>
                <w:sz w:val="24"/>
                <w:lang w:val="en-US" w:eastAsia="zh-CN"/>
              </w:rPr>
              <w:t>转运时，要轻装轻卸，防止容器损坏</w:t>
            </w:r>
            <w:r>
              <w:rPr>
                <w:rFonts w:hint="default" w:ascii="Times New Roman" w:hAnsi="Times New Roman" w:eastAsia="宋体" w:cs="Times New Roman"/>
                <w:caps w:val="0"/>
                <w:smallCaps w:val="0"/>
                <w:color w:val="auto"/>
                <w:spacing w:val="0"/>
                <w:sz w:val="24"/>
                <w:szCs w:val="24"/>
                <w:lang w:val="en-US" w:eastAsia="zh-CN"/>
              </w:rPr>
              <w:t>泄漏。</w:t>
            </w:r>
          </w:p>
          <w:p w14:paraId="139877D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szCs w:val="24"/>
              </w:rPr>
            </w:pPr>
            <w:r>
              <w:rPr>
                <w:rFonts w:hint="eastAsia" w:ascii="Times New Roman" w:hAnsi="Times New Roman" w:eastAsia="宋体" w:cs="Times New Roman"/>
                <w:caps w:val="0"/>
                <w:smallCaps w:val="0"/>
                <w:color w:val="auto"/>
                <w:spacing w:val="0"/>
                <w:sz w:val="24"/>
                <w:szCs w:val="24"/>
                <w:lang w:val="en-US" w:eastAsia="zh-CN"/>
              </w:rPr>
              <w:t>⑥</w:t>
            </w:r>
            <w:r>
              <w:rPr>
                <w:rFonts w:hint="default" w:ascii="Times New Roman" w:hAnsi="Times New Roman" w:eastAsia="宋体" w:cs="Times New Roman"/>
                <w:caps w:val="0"/>
                <w:smallCaps w:val="0"/>
                <w:color w:val="auto"/>
                <w:spacing w:val="0"/>
                <w:sz w:val="24"/>
                <w:szCs w:val="24"/>
                <w:lang w:val="en-US" w:eastAsia="zh-CN"/>
              </w:rPr>
              <w:t>为了防止火灾，公司必须在</w:t>
            </w:r>
            <w:r>
              <w:rPr>
                <w:rFonts w:hint="eastAsia" w:ascii="Times New Roman" w:hAnsi="Times New Roman" w:eastAsia="宋体" w:cs="Times New Roman"/>
                <w:caps w:val="0"/>
                <w:smallCaps w:val="0"/>
                <w:color w:val="auto"/>
                <w:spacing w:val="0"/>
                <w:sz w:val="24"/>
                <w:szCs w:val="24"/>
                <w:lang w:val="en-US" w:eastAsia="zh-CN"/>
              </w:rPr>
              <w:t>车间</w:t>
            </w:r>
            <w:r>
              <w:rPr>
                <w:rFonts w:hint="default" w:ascii="Times New Roman" w:hAnsi="Times New Roman" w:eastAsia="宋体" w:cs="Times New Roman"/>
                <w:caps w:val="0"/>
                <w:smallCaps w:val="0"/>
                <w:color w:val="auto"/>
                <w:spacing w:val="0"/>
                <w:sz w:val="24"/>
                <w:szCs w:val="24"/>
                <w:lang w:val="en-US" w:eastAsia="zh-CN"/>
              </w:rPr>
              <w:t>外设警示牌，禁止吸烟，严禁烟火。建立完善的安全管理制度，执行工业安全卫生、劳动保护、环保、消防等相关规定。</w:t>
            </w:r>
          </w:p>
          <w:p w14:paraId="674B9D6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smallCaps w:val="0"/>
                <w:color w:val="auto"/>
                <w:spacing w:val="0"/>
                <w:sz w:val="24"/>
                <w:szCs w:val="24"/>
                <w:lang w:val="en-US" w:eastAsia="zh-CN"/>
              </w:rPr>
            </w:pPr>
            <w:r>
              <w:rPr>
                <w:rFonts w:hint="eastAsia" w:cs="Times New Roman"/>
                <w:caps w:val="0"/>
                <w:smallCaps w:val="0"/>
                <w:color w:val="auto"/>
                <w:spacing w:val="0"/>
                <w:sz w:val="24"/>
                <w:szCs w:val="24"/>
                <w:lang w:val="en-US" w:eastAsia="zh-CN"/>
              </w:rPr>
              <w:t>⑦</w:t>
            </w:r>
            <w:r>
              <w:rPr>
                <w:rFonts w:hint="default" w:ascii="Times New Roman" w:hAnsi="Times New Roman" w:eastAsia="宋体" w:cs="Times New Roman"/>
                <w:caps w:val="0"/>
                <w:smallCaps w:val="0"/>
                <w:color w:val="auto"/>
                <w:spacing w:val="0"/>
                <w:sz w:val="24"/>
                <w:szCs w:val="24"/>
                <w:lang w:val="en-US" w:eastAsia="zh-CN"/>
              </w:rPr>
              <w:t>危废暂存间</w:t>
            </w:r>
            <w:r>
              <w:rPr>
                <w:rFonts w:hint="eastAsia" w:ascii="Times New Roman" w:hAnsi="Times New Roman" w:eastAsia="宋体" w:cs="Times New Roman"/>
                <w:caps w:val="0"/>
                <w:smallCaps w:val="0"/>
                <w:color w:val="auto"/>
                <w:spacing w:val="0"/>
                <w:sz w:val="24"/>
                <w:szCs w:val="24"/>
                <w:lang w:val="en-US" w:eastAsia="zh-CN"/>
              </w:rPr>
              <w:t>废机油桶</w:t>
            </w:r>
            <w:r>
              <w:rPr>
                <w:rFonts w:hint="default" w:ascii="Times New Roman" w:hAnsi="Times New Roman" w:eastAsia="宋体" w:cs="Times New Roman"/>
                <w:caps w:val="0"/>
                <w:smallCaps w:val="0"/>
                <w:color w:val="auto"/>
                <w:spacing w:val="0"/>
                <w:sz w:val="24"/>
                <w:szCs w:val="24"/>
                <w:lang w:val="en-US" w:eastAsia="zh-CN"/>
              </w:rPr>
              <w:t>底部加设防溢流托盘，构筑防溢围堤（沙袋封堵），</w:t>
            </w:r>
            <w:r>
              <w:rPr>
                <w:rFonts w:hint="default" w:ascii="Times New Roman" w:hAnsi="Times New Roman" w:eastAsia="宋体" w:cs="Times New Roman"/>
                <w:color w:val="auto"/>
                <w:sz w:val="24"/>
                <w:szCs w:val="24"/>
                <w:highlight w:val="none"/>
                <w:lang w:val="en-US" w:eastAsia="zh-CN"/>
              </w:rPr>
              <w:t>一旦发生泄漏，</w:t>
            </w:r>
            <w:r>
              <w:rPr>
                <w:rFonts w:hint="default" w:ascii="Times New Roman" w:hAnsi="Times New Roman" w:eastAsia="宋体" w:cs="Times New Roman"/>
                <w:caps w:val="0"/>
                <w:smallCaps w:val="0"/>
                <w:color w:val="auto"/>
                <w:spacing w:val="0"/>
                <w:sz w:val="24"/>
                <w:szCs w:val="24"/>
                <w:lang w:val="en-US" w:eastAsia="zh-CN"/>
              </w:rPr>
              <w:t>无法收集的</w:t>
            </w:r>
            <w:r>
              <w:rPr>
                <w:rFonts w:hint="eastAsia" w:ascii="Times New Roman" w:hAnsi="Times New Roman" w:eastAsia="宋体" w:cs="Times New Roman"/>
                <w:caps w:val="0"/>
                <w:smallCaps w:val="0"/>
                <w:color w:val="auto"/>
                <w:spacing w:val="0"/>
                <w:sz w:val="24"/>
                <w:szCs w:val="24"/>
                <w:lang w:val="en-US" w:eastAsia="zh-CN"/>
              </w:rPr>
              <w:t>废机油</w:t>
            </w:r>
            <w:r>
              <w:rPr>
                <w:rFonts w:hint="default" w:ascii="Times New Roman" w:hAnsi="Times New Roman" w:eastAsia="宋体" w:cs="Times New Roman"/>
                <w:caps w:val="0"/>
                <w:smallCaps w:val="0"/>
                <w:color w:val="auto"/>
                <w:spacing w:val="0"/>
                <w:sz w:val="24"/>
                <w:szCs w:val="24"/>
                <w:lang w:val="en-US" w:eastAsia="zh-CN"/>
              </w:rPr>
              <w:t>用吸附棉吸附后，送至有资质单位处理；消洗废水</w:t>
            </w:r>
            <w:r>
              <w:rPr>
                <w:rFonts w:hint="eastAsia" w:ascii="Times New Roman" w:hAnsi="Times New Roman" w:eastAsia="宋体" w:cs="Times New Roman"/>
                <w:caps w:val="0"/>
                <w:smallCaps w:val="0"/>
                <w:color w:val="auto"/>
                <w:spacing w:val="0"/>
                <w:sz w:val="24"/>
                <w:szCs w:val="24"/>
                <w:lang w:val="en-US" w:eastAsia="zh-CN"/>
              </w:rPr>
              <w:t>通过罐车收集，</w:t>
            </w:r>
            <w:r>
              <w:rPr>
                <w:rFonts w:hint="default" w:ascii="Times New Roman" w:hAnsi="Times New Roman" w:eastAsia="宋体" w:cs="Times New Roman"/>
                <w:caps w:val="0"/>
                <w:smallCaps w:val="0"/>
                <w:color w:val="auto"/>
                <w:spacing w:val="0"/>
                <w:sz w:val="24"/>
                <w:szCs w:val="24"/>
                <w:lang w:val="en-US" w:eastAsia="zh-CN"/>
              </w:rPr>
              <w:t>送至有资质单位处理。</w:t>
            </w:r>
          </w:p>
          <w:p w14:paraId="5FBE9FB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val="en-US" w:eastAsia="zh-CN"/>
              </w:rPr>
              <w:t>项目危废暂存间严格落实《危险废物贮存污染控制标准》（GB18597-2023）要求，需设置有泄漏液收集系统，且进行防渗处理，确保事故时</w:t>
            </w:r>
            <w:r>
              <w:rPr>
                <w:rFonts w:hint="eastAsia" w:ascii="Times New Roman" w:hAnsi="Times New Roman" w:eastAsia="宋体" w:cs="Times New Roman"/>
                <w:color w:val="auto"/>
                <w:sz w:val="24"/>
                <w:highlight w:val="none"/>
                <w:lang w:val="en-US" w:eastAsia="zh-CN"/>
              </w:rPr>
              <w:t>泄漏</w:t>
            </w:r>
            <w:r>
              <w:rPr>
                <w:rFonts w:hint="default" w:ascii="Times New Roman" w:hAnsi="Times New Roman" w:eastAsia="宋体" w:cs="Times New Roman"/>
                <w:color w:val="auto"/>
                <w:sz w:val="24"/>
                <w:highlight w:val="none"/>
                <w:lang w:val="en-US" w:eastAsia="zh-CN"/>
              </w:rPr>
              <w:t>物质不会通过渗透和地表径流污染地下水和地表水。</w:t>
            </w:r>
          </w:p>
          <w:p w14:paraId="79C62AEB">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Cs w:val="21"/>
                <w:highlight w:val="none"/>
              </w:rPr>
            </w:pPr>
            <w:r>
              <w:rPr>
                <w:rFonts w:hint="default" w:ascii="Times New Roman" w:hAnsi="Times New Roman" w:cs="Times New Roman"/>
                <w:b/>
                <w:bCs/>
                <w:color w:val="auto"/>
                <w:sz w:val="24"/>
                <w:szCs w:val="32"/>
                <w:highlight w:val="none"/>
              </w:rPr>
              <w:t>八、“三同时”竣工验收一览表</w:t>
            </w:r>
          </w:p>
          <w:p w14:paraId="2AAB1540">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14</w:t>
            </w:r>
            <w:r>
              <w:rPr>
                <w:rFonts w:hint="eastAsia"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三同时验收汇总表</w:t>
            </w:r>
          </w:p>
          <w:tbl>
            <w:tblPr>
              <w:tblStyle w:val="36"/>
              <w:tblW w:w="497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6" w:type="dxa"/>
                <w:bottom w:w="0" w:type="dxa"/>
                <w:right w:w="6" w:type="dxa"/>
              </w:tblCellMar>
            </w:tblPr>
            <w:tblGrid>
              <w:gridCol w:w="503"/>
              <w:gridCol w:w="332"/>
              <w:gridCol w:w="615"/>
              <w:gridCol w:w="905"/>
              <w:gridCol w:w="2333"/>
              <w:gridCol w:w="1494"/>
              <w:gridCol w:w="2507"/>
            </w:tblGrid>
            <w:tr w14:paraId="7F3BC5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454" w:hRule="atLeast"/>
                <w:tblHeader/>
                <w:jc w:val="center"/>
              </w:trPr>
              <w:tc>
                <w:tcPr>
                  <w:tcW w:w="289" w:type="pct"/>
                  <w:tcBorders>
                    <w:tl2br w:val="nil"/>
                    <w:tr2bl w:val="nil"/>
                  </w:tcBorders>
                  <w:noWrap w:val="0"/>
                  <w:vAlign w:val="center"/>
                </w:tcPr>
                <w:p w14:paraId="100B58E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1065" w:type="pct"/>
                  <w:gridSpan w:val="3"/>
                  <w:tcBorders>
                    <w:tl2br w:val="nil"/>
                    <w:tr2bl w:val="nil"/>
                  </w:tcBorders>
                  <w:noWrap w:val="0"/>
                  <w:vAlign w:val="center"/>
                </w:tcPr>
                <w:p w14:paraId="1A8272B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污染源</w:t>
                  </w:r>
                </w:p>
              </w:tc>
              <w:tc>
                <w:tcPr>
                  <w:tcW w:w="1342" w:type="pct"/>
                  <w:tcBorders>
                    <w:tl2br w:val="nil"/>
                    <w:tr2bl w:val="nil"/>
                  </w:tcBorders>
                  <w:noWrap w:val="0"/>
                  <w:vAlign w:val="center"/>
                </w:tcPr>
                <w:p w14:paraId="33DEE0E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治理及处置措施</w:t>
                  </w:r>
                </w:p>
              </w:tc>
              <w:tc>
                <w:tcPr>
                  <w:tcW w:w="859" w:type="pct"/>
                  <w:tcBorders>
                    <w:tl2br w:val="nil"/>
                    <w:tr2bl w:val="nil"/>
                  </w:tcBorders>
                  <w:noWrap w:val="0"/>
                  <w:vAlign w:val="center"/>
                </w:tcPr>
                <w:p w14:paraId="3949AA2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验收内容</w:t>
                  </w:r>
                </w:p>
              </w:tc>
              <w:tc>
                <w:tcPr>
                  <w:tcW w:w="1442" w:type="pct"/>
                  <w:tcBorders>
                    <w:tl2br w:val="nil"/>
                    <w:tr2bl w:val="nil"/>
                  </w:tcBorders>
                  <w:noWrap w:val="0"/>
                  <w:vAlign w:val="center"/>
                </w:tcPr>
                <w:p w14:paraId="53F776D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验收标准</w:t>
                  </w:r>
                </w:p>
              </w:tc>
            </w:tr>
            <w:tr w14:paraId="7C8D7C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454" w:hRule="atLeast"/>
                <w:tblHeader/>
                <w:jc w:val="center"/>
              </w:trPr>
              <w:tc>
                <w:tcPr>
                  <w:tcW w:w="289" w:type="pct"/>
                  <w:vMerge w:val="restart"/>
                  <w:tcBorders>
                    <w:tl2br w:val="nil"/>
                    <w:tr2bl w:val="nil"/>
                  </w:tcBorders>
                  <w:noWrap w:val="0"/>
                  <w:vAlign w:val="center"/>
                </w:tcPr>
                <w:p w14:paraId="23ADE81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tc>
              <w:tc>
                <w:tcPr>
                  <w:tcW w:w="191" w:type="pct"/>
                  <w:tcBorders>
                    <w:right w:val="single" w:color="auto" w:sz="4" w:space="0"/>
                    <w:tl2br w:val="nil"/>
                    <w:tr2bl w:val="nil"/>
                  </w:tcBorders>
                  <w:noWrap w:val="0"/>
                  <w:vAlign w:val="center"/>
                </w:tcPr>
                <w:p w14:paraId="6A6191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有组织</w:t>
                  </w:r>
                </w:p>
              </w:tc>
              <w:tc>
                <w:tcPr>
                  <w:tcW w:w="353" w:type="pct"/>
                  <w:tcBorders>
                    <w:left w:val="single" w:color="auto" w:sz="4" w:space="0"/>
                    <w:right w:val="single" w:color="auto" w:sz="4" w:space="0"/>
                    <w:tl2br w:val="nil"/>
                    <w:tr2bl w:val="nil"/>
                  </w:tcBorders>
                  <w:noWrap w:val="0"/>
                  <w:vAlign w:val="center"/>
                </w:tcPr>
                <w:p w14:paraId="4CA6FB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DA001</w:t>
                  </w:r>
                </w:p>
              </w:tc>
              <w:tc>
                <w:tcPr>
                  <w:tcW w:w="520" w:type="pct"/>
                  <w:tcBorders>
                    <w:left w:val="single" w:color="auto" w:sz="4" w:space="0"/>
                    <w:tl2br w:val="nil"/>
                    <w:tr2bl w:val="nil"/>
                  </w:tcBorders>
                  <w:shd w:val="clear" w:color="auto" w:fill="auto"/>
                  <w:noWrap w:val="0"/>
                  <w:vAlign w:val="center"/>
                </w:tcPr>
                <w:p w14:paraId="522A94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颗粒物</w:t>
                  </w:r>
                </w:p>
              </w:tc>
              <w:tc>
                <w:tcPr>
                  <w:tcW w:w="1342" w:type="pct"/>
                  <w:tcBorders>
                    <w:tl2br w:val="nil"/>
                    <w:tr2bl w:val="nil"/>
                  </w:tcBorders>
                  <w:shd w:val="clear" w:color="auto" w:fill="auto"/>
                  <w:noWrap w:val="0"/>
                  <w:vAlign w:val="center"/>
                </w:tcPr>
                <w:p w14:paraId="609BD4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经管道送入布袋除尘器处理后，由15m高排气筒有组织排放</w:t>
                  </w:r>
                </w:p>
              </w:tc>
              <w:tc>
                <w:tcPr>
                  <w:tcW w:w="859" w:type="pct"/>
                  <w:tcBorders>
                    <w:tl2br w:val="nil"/>
                    <w:tr2bl w:val="nil"/>
                  </w:tcBorders>
                  <w:shd w:val="clear" w:color="auto" w:fill="auto"/>
                  <w:noWrap w:val="0"/>
                  <w:vAlign w:val="center"/>
                </w:tcPr>
                <w:p w14:paraId="17ECEE16">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有组织排放浓度&lt;10</w:t>
                  </w:r>
                  <w:r>
                    <w:rPr>
                      <w:rFonts w:hint="default" w:ascii="Times New Roman" w:hAnsi="Times New Roman" w:cs="Times New Roman"/>
                      <w:color w:val="auto"/>
                      <w:highlight w:val="none"/>
                    </w:rPr>
                    <w:t>mg/m³</w:t>
                  </w:r>
                </w:p>
              </w:tc>
              <w:tc>
                <w:tcPr>
                  <w:tcW w:w="1442" w:type="pct"/>
                  <w:tcBorders>
                    <w:bottom w:val="single" w:color="auto" w:sz="4" w:space="0"/>
                    <w:tl2br w:val="nil"/>
                    <w:tr2bl w:val="nil"/>
                  </w:tcBorders>
                  <w:noWrap w:val="0"/>
                  <w:vAlign w:val="center"/>
                </w:tcPr>
                <w:p w14:paraId="6FCB92EB">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山东省地方标准《区域性大气污染物综合排放标准》（DB37/2376-2019）表1重点控制区标准限值</w:t>
                  </w:r>
                </w:p>
              </w:tc>
            </w:tr>
            <w:tr w14:paraId="291DA4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454" w:hRule="atLeast"/>
                <w:tblHeader/>
                <w:jc w:val="center"/>
              </w:trPr>
              <w:tc>
                <w:tcPr>
                  <w:tcW w:w="289" w:type="pct"/>
                  <w:vMerge w:val="continue"/>
                  <w:tcBorders>
                    <w:tl2br w:val="nil"/>
                    <w:tr2bl w:val="nil"/>
                  </w:tcBorders>
                  <w:noWrap w:val="0"/>
                  <w:vAlign w:val="center"/>
                </w:tcPr>
                <w:p w14:paraId="3F3649A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544" w:type="pct"/>
                  <w:gridSpan w:val="2"/>
                  <w:tcBorders>
                    <w:tl2br w:val="nil"/>
                    <w:tr2bl w:val="nil"/>
                  </w:tcBorders>
                  <w:noWrap w:val="0"/>
                  <w:vAlign w:val="center"/>
                </w:tcPr>
                <w:p w14:paraId="4D8AD6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无组织</w:t>
                  </w:r>
                </w:p>
              </w:tc>
              <w:tc>
                <w:tcPr>
                  <w:tcW w:w="520" w:type="pct"/>
                  <w:tcBorders>
                    <w:tl2br w:val="nil"/>
                    <w:tr2bl w:val="nil"/>
                  </w:tcBorders>
                  <w:noWrap w:val="0"/>
                  <w:vAlign w:val="center"/>
                </w:tcPr>
                <w:p w14:paraId="3262C2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颗粒物</w:t>
                  </w:r>
                </w:p>
              </w:tc>
              <w:tc>
                <w:tcPr>
                  <w:tcW w:w="1342" w:type="pct"/>
                  <w:tcBorders>
                    <w:tl2br w:val="nil"/>
                    <w:tr2bl w:val="nil"/>
                  </w:tcBorders>
                  <w:noWrap w:val="0"/>
                  <w:vAlign w:val="center"/>
                </w:tcPr>
                <w:p w14:paraId="4B866E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厂房阻隔、厂区绿化</w:t>
                  </w:r>
                </w:p>
              </w:tc>
              <w:tc>
                <w:tcPr>
                  <w:tcW w:w="859" w:type="pct"/>
                  <w:tcBorders>
                    <w:bottom w:val="single" w:color="auto" w:sz="4" w:space="0"/>
                    <w:tl2br w:val="nil"/>
                    <w:tr2bl w:val="nil"/>
                  </w:tcBorders>
                  <w:noWrap w:val="0"/>
                  <w:vAlign w:val="center"/>
                </w:tcPr>
                <w:p w14:paraId="7A5CFFE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厂界浓度限值&lt;1mg/m</w:t>
                  </w:r>
                  <w:r>
                    <w:rPr>
                      <w:rFonts w:hint="default" w:ascii="Times New Roman" w:hAnsi="Times New Roman" w:eastAsia="宋体" w:cs="Times New Roman"/>
                      <w:color w:val="auto"/>
                      <w:szCs w:val="21"/>
                      <w:highlight w:val="none"/>
                      <w:vertAlign w:val="superscript"/>
                      <w:lang w:val="en-US" w:eastAsia="zh-CN"/>
                    </w:rPr>
                    <w:t>3</w:t>
                  </w:r>
                </w:p>
              </w:tc>
              <w:tc>
                <w:tcPr>
                  <w:tcW w:w="1442" w:type="pct"/>
                  <w:tcBorders>
                    <w:tl2br w:val="nil"/>
                    <w:tr2bl w:val="nil"/>
                  </w:tcBorders>
                  <w:noWrap w:val="0"/>
                  <w:vAlign w:val="center"/>
                </w:tcPr>
                <w:p w14:paraId="162212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《大气污染物综合排放标准》（GB16297-1996）表2中无组织排放监控浓度限值要求</w:t>
                  </w:r>
                </w:p>
              </w:tc>
            </w:tr>
            <w:tr w14:paraId="5231E0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454" w:hRule="atLeast"/>
                <w:jc w:val="center"/>
              </w:trPr>
              <w:tc>
                <w:tcPr>
                  <w:tcW w:w="289" w:type="pct"/>
                  <w:tcBorders>
                    <w:tl2br w:val="nil"/>
                    <w:tr2bl w:val="nil"/>
                  </w:tcBorders>
                  <w:noWrap w:val="0"/>
                  <w:vAlign w:val="center"/>
                </w:tcPr>
                <w:p w14:paraId="7E35849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w:t>
                  </w:r>
                </w:p>
              </w:tc>
              <w:tc>
                <w:tcPr>
                  <w:tcW w:w="1065" w:type="pct"/>
                  <w:gridSpan w:val="3"/>
                  <w:tcBorders>
                    <w:tl2br w:val="nil"/>
                    <w:tr2bl w:val="nil"/>
                  </w:tcBorders>
                  <w:noWrap w:val="0"/>
                  <w:vAlign w:val="center"/>
                </w:tcPr>
                <w:p w14:paraId="7BEF35E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生活污水</w:t>
                  </w:r>
                </w:p>
              </w:tc>
              <w:tc>
                <w:tcPr>
                  <w:tcW w:w="1342" w:type="pct"/>
                  <w:tcBorders>
                    <w:tl2br w:val="nil"/>
                    <w:tr2bl w:val="nil"/>
                  </w:tcBorders>
                  <w:noWrap w:val="0"/>
                  <w:vAlign w:val="center"/>
                </w:tcPr>
                <w:p w14:paraId="0CACDCB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本项目</w:t>
                  </w:r>
                  <w:r>
                    <w:rPr>
                      <w:rFonts w:hint="eastAsia" w:cs="Times New Roman"/>
                      <w:color w:val="auto"/>
                      <w:szCs w:val="21"/>
                      <w:highlight w:val="none"/>
                      <w:lang w:eastAsia="zh-CN"/>
                    </w:rPr>
                    <w:t>生活污水经化粪池处理后，由环卫部门定期清运</w:t>
                  </w:r>
                </w:p>
              </w:tc>
              <w:tc>
                <w:tcPr>
                  <w:tcW w:w="859" w:type="pct"/>
                  <w:tcBorders>
                    <w:tl2br w:val="nil"/>
                    <w:tr2bl w:val="nil"/>
                  </w:tcBorders>
                  <w:noWrap w:val="0"/>
                  <w:vAlign w:val="center"/>
                </w:tcPr>
                <w:p w14:paraId="1D9C01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1442" w:type="pct"/>
                  <w:tcBorders>
                    <w:tl2br w:val="nil"/>
                    <w:tr2bl w:val="nil"/>
                  </w:tcBorders>
                  <w:noWrap w:val="0"/>
                  <w:vAlign w:val="center"/>
                </w:tcPr>
                <w:p w14:paraId="084CF4A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w:t>
                  </w:r>
                </w:p>
              </w:tc>
            </w:tr>
            <w:tr w14:paraId="76B95F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454" w:hRule="atLeast"/>
                <w:jc w:val="center"/>
              </w:trPr>
              <w:tc>
                <w:tcPr>
                  <w:tcW w:w="289" w:type="pct"/>
                  <w:tcBorders>
                    <w:tl2br w:val="nil"/>
                    <w:tr2bl w:val="nil"/>
                  </w:tcBorders>
                  <w:noWrap w:val="0"/>
                  <w:vAlign w:val="center"/>
                </w:tcPr>
                <w:p w14:paraId="4A9CB2B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1065" w:type="pct"/>
                  <w:gridSpan w:val="3"/>
                  <w:tcBorders>
                    <w:tl2br w:val="nil"/>
                    <w:tr2bl w:val="nil"/>
                  </w:tcBorders>
                  <w:noWrap w:val="0"/>
                  <w:vAlign w:val="center"/>
                </w:tcPr>
                <w:p w14:paraId="573FA82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产噪设备</w:t>
                  </w:r>
                </w:p>
              </w:tc>
              <w:tc>
                <w:tcPr>
                  <w:tcW w:w="1342" w:type="pct"/>
                  <w:tcBorders>
                    <w:tl2br w:val="nil"/>
                    <w:tr2bl w:val="nil"/>
                  </w:tcBorders>
                  <w:noWrap w:val="0"/>
                  <w:vAlign w:val="center"/>
                </w:tcPr>
                <w:p w14:paraId="199457B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设置减振基座，厂房隔声</w:t>
                  </w:r>
                </w:p>
              </w:tc>
              <w:tc>
                <w:tcPr>
                  <w:tcW w:w="859" w:type="pct"/>
                  <w:tcBorders>
                    <w:tl2br w:val="nil"/>
                    <w:tr2bl w:val="nil"/>
                  </w:tcBorders>
                  <w:noWrap w:val="0"/>
                  <w:vAlign w:val="center"/>
                </w:tcPr>
                <w:p w14:paraId="467B98D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隔声、减振</w:t>
                  </w:r>
                </w:p>
              </w:tc>
              <w:tc>
                <w:tcPr>
                  <w:tcW w:w="1442" w:type="pct"/>
                  <w:tcBorders>
                    <w:tl2br w:val="nil"/>
                    <w:tr2bl w:val="nil"/>
                  </w:tcBorders>
                  <w:noWrap w:val="0"/>
                  <w:vAlign w:val="center"/>
                </w:tcPr>
                <w:p w14:paraId="5E84097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《工业企业厂界环境噪声排放标准》（GB12348-2008）</w:t>
                  </w:r>
                  <w:r>
                    <w:rPr>
                      <w:rFonts w:hint="eastAsia" w:cs="Times New Roman"/>
                      <w:color w:val="auto"/>
                      <w:szCs w:val="21"/>
                      <w:highlight w:val="none"/>
                      <w:lang w:val="en-US" w:eastAsia="zh-CN"/>
                    </w:rPr>
                    <w:t>2类</w:t>
                  </w:r>
                  <w:r>
                    <w:rPr>
                      <w:rFonts w:hint="default" w:ascii="Times New Roman" w:hAnsi="Times New Roman" w:cs="Times New Roman"/>
                      <w:color w:val="auto"/>
                      <w:szCs w:val="21"/>
                      <w:highlight w:val="none"/>
                    </w:rPr>
                    <w:t>标准</w:t>
                  </w:r>
                </w:p>
              </w:tc>
            </w:tr>
            <w:tr w14:paraId="781C7D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454" w:hRule="atLeast"/>
                <w:jc w:val="center"/>
              </w:trPr>
              <w:tc>
                <w:tcPr>
                  <w:tcW w:w="289" w:type="pct"/>
                  <w:vMerge w:val="restart"/>
                  <w:tcBorders>
                    <w:tl2br w:val="nil"/>
                    <w:tr2bl w:val="nil"/>
                  </w:tcBorders>
                  <w:noWrap w:val="0"/>
                  <w:vAlign w:val="center"/>
                </w:tcPr>
                <w:p w14:paraId="6BCCB0F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w:t>
                  </w:r>
                </w:p>
                <w:p w14:paraId="60DCA5A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5" w:type="pct"/>
                  <w:gridSpan w:val="3"/>
                  <w:tcBorders>
                    <w:bottom w:val="single" w:color="auto" w:sz="4" w:space="0"/>
                    <w:tl2br w:val="nil"/>
                    <w:tr2bl w:val="nil"/>
                  </w:tcBorders>
                  <w:noWrap w:val="0"/>
                  <w:vAlign w:val="center"/>
                </w:tcPr>
                <w:p w14:paraId="38D860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生活垃圾</w:t>
                  </w:r>
                </w:p>
              </w:tc>
              <w:tc>
                <w:tcPr>
                  <w:tcW w:w="1342" w:type="pct"/>
                  <w:tcBorders>
                    <w:bottom w:val="single" w:color="auto" w:sz="4" w:space="0"/>
                    <w:tl2br w:val="nil"/>
                    <w:tr2bl w:val="nil"/>
                  </w:tcBorders>
                  <w:noWrap w:val="0"/>
                  <w:vAlign w:val="center"/>
                </w:tcPr>
                <w:p w14:paraId="68F643B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由当地环卫部门统一收集处理</w:t>
                  </w:r>
                </w:p>
              </w:tc>
              <w:tc>
                <w:tcPr>
                  <w:tcW w:w="859" w:type="pct"/>
                  <w:tcBorders>
                    <w:bottom w:val="single" w:color="auto" w:sz="4" w:space="0"/>
                    <w:tl2br w:val="nil"/>
                    <w:tr2bl w:val="nil"/>
                  </w:tcBorders>
                  <w:noWrap w:val="0"/>
                  <w:vAlign w:val="center"/>
                </w:tcPr>
                <w:p w14:paraId="0EBC602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垃圾桶</w:t>
                  </w:r>
                </w:p>
              </w:tc>
              <w:tc>
                <w:tcPr>
                  <w:tcW w:w="1442" w:type="pct"/>
                  <w:tcBorders>
                    <w:bottom w:val="single" w:color="auto" w:sz="4" w:space="0"/>
                    <w:tl2br w:val="nil"/>
                    <w:tr2bl w:val="nil"/>
                  </w:tcBorders>
                  <w:noWrap w:val="0"/>
                  <w:vAlign w:val="center"/>
                </w:tcPr>
                <w:p w14:paraId="20AB6B2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766D32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90" w:hRule="atLeast"/>
                <w:jc w:val="center"/>
              </w:trPr>
              <w:tc>
                <w:tcPr>
                  <w:tcW w:w="289" w:type="pct"/>
                  <w:vMerge w:val="continue"/>
                  <w:tcBorders>
                    <w:tl2br w:val="nil"/>
                    <w:tr2bl w:val="nil"/>
                  </w:tcBorders>
                  <w:noWrap w:val="0"/>
                  <w:vAlign w:val="center"/>
                </w:tcPr>
                <w:p w14:paraId="5576CFF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5" w:type="pct"/>
                  <w:gridSpan w:val="3"/>
                  <w:tcBorders>
                    <w:top w:val="single" w:color="auto" w:sz="4" w:space="0"/>
                    <w:tl2br w:val="nil"/>
                    <w:tr2bl w:val="nil"/>
                  </w:tcBorders>
                  <w:shd w:val="clear" w:color="auto" w:fill="auto"/>
                  <w:noWrap w:val="0"/>
                  <w:vAlign w:val="center"/>
                </w:tcPr>
                <w:p w14:paraId="2D39CC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布袋除尘器收集粉尘</w:t>
                  </w:r>
                </w:p>
              </w:tc>
              <w:tc>
                <w:tcPr>
                  <w:tcW w:w="1342" w:type="pct"/>
                  <w:tcBorders>
                    <w:top w:val="single" w:color="auto" w:sz="4" w:space="0"/>
                    <w:tl2br w:val="nil"/>
                    <w:tr2bl w:val="nil"/>
                  </w:tcBorders>
                  <w:noWrap w:val="0"/>
                  <w:vAlign w:val="center"/>
                </w:tcPr>
                <w:p w14:paraId="4949CD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集中收集，定期回用</w:t>
                  </w:r>
                </w:p>
              </w:tc>
              <w:tc>
                <w:tcPr>
                  <w:tcW w:w="859" w:type="pct"/>
                  <w:vMerge w:val="restart"/>
                  <w:tcBorders>
                    <w:top w:val="single" w:color="auto" w:sz="4" w:space="0"/>
                    <w:tl2br w:val="nil"/>
                    <w:tr2bl w:val="nil"/>
                  </w:tcBorders>
                  <w:noWrap w:val="0"/>
                  <w:vAlign w:val="center"/>
                </w:tcPr>
                <w:p w14:paraId="773D84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一般固废暂存处</w:t>
                  </w:r>
                </w:p>
              </w:tc>
              <w:tc>
                <w:tcPr>
                  <w:tcW w:w="1442" w:type="pct"/>
                  <w:vMerge w:val="restart"/>
                  <w:tcBorders>
                    <w:top w:val="single" w:color="auto" w:sz="4" w:space="0"/>
                    <w:tl2br w:val="nil"/>
                    <w:tr2bl w:val="nil"/>
                  </w:tcBorders>
                  <w:noWrap w:val="0"/>
                  <w:vAlign w:val="center"/>
                </w:tcPr>
                <w:p w14:paraId="23CBD6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bCs/>
                      <w:szCs w:val="21"/>
                      <w:highlight w:val="none"/>
                    </w:rPr>
                    <w:t>《中华人民共和国固体废物污染环境防治法》</w:t>
                  </w:r>
                  <w:r>
                    <w:rPr>
                      <w:rFonts w:hint="eastAsia" w:ascii="Times New Roman" w:hAnsi="Times New Roman" w:cs="Times New Roman"/>
                      <w:bCs/>
                      <w:szCs w:val="21"/>
                      <w:highlight w:val="none"/>
                      <w:lang w:eastAsia="zh-CN"/>
                    </w:rPr>
                    <w:t>（</w:t>
                  </w:r>
                  <w:r>
                    <w:rPr>
                      <w:rFonts w:hint="default" w:ascii="Times New Roman" w:hAnsi="Times New Roman" w:cs="Times New Roman"/>
                      <w:bCs/>
                      <w:szCs w:val="21"/>
                      <w:highlight w:val="none"/>
                    </w:rPr>
                    <w:t>中华人民共和国主席令第四十三号)</w:t>
                  </w:r>
                </w:p>
              </w:tc>
            </w:tr>
            <w:tr w14:paraId="0D7889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90" w:hRule="atLeast"/>
                <w:jc w:val="center"/>
              </w:trPr>
              <w:tc>
                <w:tcPr>
                  <w:tcW w:w="289" w:type="pct"/>
                  <w:vMerge w:val="continue"/>
                  <w:tcBorders>
                    <w:tl2br w:val="nil"/>
                    <w:tr2bl w:val="nil"/>
                  </w:tcBorders>
                  <w:noWrap w:val="0"/>
                  <w:vAlign w:val="center"/>
                </w:tcPr>
                <w:p w14:paraId="47479FE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5" w:type="pct"/>
                  <w:gridSpan w:val="3"/>
                  <w:tcBorders>
                    <w:top w:val="single" w:color="auto" w:sz="4" w:space="0"/>
                    <w:tl2br w:val="nil"/>
                    <w:tr2bl w:val="nil"/>
                  </w:tcBorders>
                  <w:shd w:val="clear" w:color="auto" w:fill="auto"/>
                  <w:noWrap w:val="0"/>
                  <w:vAlign w:val="center"/>
                </w:tcPr>
                <w:p w14:paraId="180ACB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磁选杂质</w:t>
                  </w:r>
                </w:p>
              </w:tc>
              <w:tc>
                <w:tcPr>
                  <w:tcW w:w="1342" w:type="pct"/>
                  <w:vMerge w:val="restart"/>
                  <w:tcBorders>
                    <w:top w:val="single" w:color="auto" w:sz="4" w:space="0"/>
                    <w:tl2br w:val="nil"/>
                    <w:tr2bl w:val="nil"/>
                  </w:tcBorders>
                  <w:noWrap w:val="0"/>
                  <w:vAlign w:val="center"/>
                </w:tcPr>
                <w:p w14:paraId="0CE6B6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统一收集后外售给有处置能力和资质单位处置</w:t>
                  </w:r>
                </w:p>
              </w:tc>
              <w:tc>
                <w:tcPr>
                  <w:tcW w:w="859" w:type="pct"/>
                  <w:vMerge w:val="continue"/>
                  <w:tcBorders>
                    <w:tl2br w:val="nil"/>
                    <w:tr2bl w:val="nil"/>
                  </w:tcBorders>
                  <w:noWrap w:val="0"/>
                  <w:vAlign w:val="center"/>
                </w:tcPr>
                <w:p w14:paraId="7D03A1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442" w:type="pct"/>
                  <w:vMerge w:val="continue"/>
                  <w:tcBorders>
                    <w:tl2br w:val="nil"/>
                    <w:tr2bl w:val="nil"/>
                  </w:tcBorders>
                  <w:noWrap w:val="0"/>
                  <w:vAlign w:val="center"/>
                </w:tcPr>
                <w:p w14:paraId="7C3EFB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r>
            <w:tr w14:paraId="3FF062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377" w:hRule="atLeast"/>
                <w:jc w:val="center"/>
              </w:trPr>
              <w:tc>
                <w:tcPr>
                  <w:tcW w:w="289" w:type="pct"/>
                  <w:vMerge w:val="continue"/>
                  <w:tcBorders>
                    <w:tl2br w:val="nil"/>
                    <w:tr2bl w:val="nil"/>
                  </w:tcBorders>
                  <w:noWrap w:val="0"/>
                  <w:vAlign w:val="center"/>
                </w:tcPr>
                <w:p w14:paraId="0D920498">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1065" w:type="pct"/>
                  <w:gridSpan w:val="3"/>
                  <w:tcBorders>
                    <w:top w:val="single" w:color="auto" w:sz="4" w:space="0"/>
                    <w:tl2br w:val="nil"/>
                    <w:tr2bl w:val="nil"/>
                  </w:tcBorders>
                  <w:shd w:val="clear" w:color="auto" w:fill="auto"/>
                  <w:noWrap w:val="0"/>
                  <w:vAlign w:val="center"/>
                </w:tcPr>
                <w:p w14:paraId="5EDDAE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废布袋</w:t>
                  </w:r>
                </w:p>
              </w:tc>
              <w:tc>
                <w:tcPr>
                  <w:tcW w:w="1342" w:type="pct"/>
                  <w:vMerge w:val="continue"/>
                  <w:tcBorders>
                    <w:tl2br w:val="nil"/>
                    <w:tr2bl w:val="nil"/>
                  </w:tcBorders>
                  <w:noWrap w:val="0"/>
                  <w:vAlign w:val="center"/>
                </w:tcPr>
                <w:p w14:paraId="10B98B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859" w:type="pct"/>
                  <w:vMerge w:val="continue"/>
                  <w:tcBorders>
                    <w:tl2br w:val="nil"/>
                    <w:tr2bl w:val="nil"/>
                  </w:tcBorders>
                  <w:noWrap w:val="0"/>
                  <w:vAlign w:val="center"/>
                </w:tcPr>
                <w:p w14:paraId="6A4078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442" w:type="pct"/>
                  <w:vMerge w:val="continue"/>
                  <w:tcBorders>
                    <w:tl2br w:val="nil"/>
                    <w:tr2bl w:val="nil"/>
                  </w:tcBorders>
                  <w:noWrap w:val="0"/>
                  <w:vAlign w:val="center"/>
                </w:tcPr>
                <w:p w14:paraId="0C97F55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71B740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377" w:hRule="atLeast"/>
                <w:jc w:val="center"/>
              </w:trPr>
              <w:tc>
                <w:tcPr>
                  <w:tcW w:w="289" w:type="pct"/>
                  <w:vMerge w:val="continue"/>
                  <w:tcBorders>
                    <w:tl2br w:val="nil"/>
                    <w:tr2bl w:val="nil"/>
                  </w:tcBorders>
                  <w:noWrap w:val="0"/>
                  <w:vAlign w:val="center"/>
                </w:tcPr>
                <w:p w14:paraId="18F953DF">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1065" w:type="pct"/>
                  <w:gridSpan w:val="3"/>
                  <w:tcBorders>
                    <w:top w:val="single" w:color="auto" w:sz="4" w:space="0"/>
                    <w:tl2br w:val="nil"/>
                    <w:tr2bl w:val="nil"/>
                  </w:tcBorders>
                  <w:shd w:val="clear" w:color="auto" w:fill="auto"/>
                  <w:noWrap w:val="0"/>
                  <w:vAlign w:val="center"/>
                </w:tcPr>
                <w:p w14:paraId="219B3DF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废包装袋</w:t>
                  </w:r>
                </w:p>
              </w:tc>
              <w:tc>
                <w:tcPr>
                  <w:tcW w:w="1342" w:type="pct"/>
                  <w:vMerge w:val="continue"/>
                  <w:tcBorders>
                    <w:tl2br w:val="nil"/>
                    <w:tr2bl w:val="nil"/>
                  </w:tcBorders>
                  <w:noWrap w:val="0"/>
                  <w:vAlign w:val="center"/>
                </w:tcPr>
                <w:p w14:paraId="2E2508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859" w:type="pct"/>
                  <w:vMerge w:val="continue"/>
                  <w:tcBorders>
                    <w:tl2br w:val="nil"/>
                    <w:tr2bl w:val="nil"/>
                  </w:tcBorders>
                  <w:noWrap w:val="0"/>
                  <w:vAlign w:val="center"/>
                </w:tcPr>
                <w:p w14:paraId="3C8B62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442" w:type="pct"/>
                  <w:vMerge w:val="continue"/>
                  <w:tcBorders>
                    <w:tl2br w:val="nil"/>
                    <w:tr2bl w:val="nil"/>
                  </w:tcBorders>
                  <w:noWrap w:val="0"/>
                  <w:vAlign w:val="center"/>
                </w:tcPr>
                <w:p w14:paraId="591A9EE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3BC429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90" w:hRule="atLeast"/>
                <w:jc w:val="center"/>
              </w:trPr>
              <w:tc>
                <w:tcPr>
                  <w:tcW w:w="289" w:type="pct"/>
                  <w:vMerge w:val="continue"/>
                  <w:tcBorders>
                    <w:tl2br w:val="nil"/>
                    <w:tr2bl w:val="nil"/>
                  </w:tcBorders>
                  <w:noWrap w:val="0"/>
                  <w:vAlign w:val="center"/>
                </w:tcPr>
                <w:p w14:paraId="690A51E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5" w:type="pct"/>
                  <w:gridSpan w:val="3"/>
                  <w:tcBorders>
                    <w:tl2br w:val="nil"/>
                    <w:tr2bl w:val="nil"/>
                  </w:tcBorders>
                  <w:shd w:val="clear" w:color="auto" w:fill="auto"/>
                  <w:noWrap w:val="0"/>
                  <w:vAlign w:val="center"/>
                </w:tcPr>
                <w:p w14:paraId="6C214F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废机油</w:t>
                  </w:r>
                </w:p>
              </w:tc>
              <w:tc>
                <w:tcPr>
                  <w:tcW w:w="1342" w:type="pct"/>
                  <w:vMerge w:val="restart"/>
                  <w:tcBorders>
                    <w:tl2br w:val="nil"/>
                    <w:tr2bl w:val="nil"/>
                  </w:tcBorders>
                  <w:noWrap w:val="0"/>
                  <w:vAlign w:val="center"/>
                </w:tcPr>
                <w:p w14:paraId="380685F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委托有资质的单位进行处理处置</w:t>
                  </w:r>
                </w:p>
              </w:tc>
              <w:tc>
                <w:tcPr>
                  <w:tcW w:w="859" w:type="pct"/>
                  <w:vMerge w:val="restart"/>
                  <w:tcBorders>
                    <w:tl2br w:val="nil"/>
                    <w:tr2bl w:val="nil"/>
                  </w:tcBorders>
                  <w:noWrap w:val="0"/>
                  <w:vAlign w:val="center"/>
                </w:tcPr>
                <w:p w14:paraId="0C70FE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危废暂存间</w:t>
                  </w:r>
                </w:p>
              </w:tc>
              <w:tc>
                <w:tcPr>
                  <w:tcW w:w="1442" w:type="pct"/>
                  <w:vMerge w:val="restart"/>
                  <w:tcBorders>
                    <w:tl2br w:val="nil"/>
                    <w:tr2bl w:val="nil"/>
                  </w:tcBorders>
                  <w:noWrap w:val="0"/>
                  <w:vAlign w:val="center"/>
                </w:tcPr>
                <w:p w14:paraId="3BF18C5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《危险废物贮存污染控制标准》（GB18597-2023）</w:t>
                  </w:r>
                </w:p>
              </w:tc>
            </w:tr>
            <w:tr w14:paraId="64FBA3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90" w:hRule="atLeast"/>
                <w:jc w:val="center"/>
              </w:trPr>
              <w:tc>
                <w:tcPr>
                  <w:tcW w:w="289" w:type="pct"/>
                  <w:vMerge w:val="continue"/>
                  <w:tcBorders>
                    <w:tl2br w:val="nil"/>
                    <w:tr2bl w:val="nil"/>
                  </w:tcBorders>
                  <w:noWrap w:val="0"/>
                  <w:vAlign w:val="center"/>
                </w:tcPr>
                <w:p w14:paraId="34C7E97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5" w:type="pct"/>
                  <w:gridSpan w:val="3"/>
                  <w:tcBorders>
                    <w:tl2br w:val="nil"/>
                    <w:tr2bl w:val="nil"/>
                  </w:tcBorders>
                  <w:shd w:val="clear" w:color="auto" w:fill="auto"/>
                  <w:noWrap w:val="0"/>
                  <w:vAlign w:val="center"/>
                </w:tcPr>
                <w:p w14:paraId="6C3056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含油废抹布</w:t>
                  </w:r>
                </w:p>
              </w:tc>
              <w:tc>
                <w:tcPr>
                  <w:tcW w:w="1342" w:type="pct"/>
                  <w:vMerge w:val="continue"/>
                  <w:tcBorders>
                    <w:tl2br w:val="nil"/>
                    <w:tr2bl w:val="nil"/>
                  </w:tcBorders>
                  <w:noWrap w:val="0"/>
                  <w:vAlign w:val="center"/>
                </w:tcPr>
                <w:p w14:paraId="329020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859" w:type="pct"/>
                  <w:vMerge w:val="continue"/>
                  <w:tcBorders>
                    <w:tl2br w:val="nil"/>
                    <w:tr2bl w:val="nil"/>
                  </w:tcBorders>
                  <w:noWrap w:val="0"/>
                  <w:vAlign w:val="center"/>
                </w:tcPr>
                <w:p w14:paraId="5BE2E90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442" w:type="pct"/>
                  <w:vMerge w:val="continue"/>
                  <w:tcBorders>
                    <w:tl2br w:val="nil"/>
                    <w:tr2bl w:val="nil"/>
                  </w:tcBorders>
                  <w:noWrap w:val="0"/>
                  <w:vAlign w:val="center"/>
                </w:tcPr>
                <w:p w14:paraId="05DD2EF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r w14:paraId="4030DC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 w:type="dxa"/>
                  <w:bottom w:w="0" w:type="dxa"/>
                  <w:right w:w="6" w:type="dxa"/>
                </w:tblCellMar>
              </w:tblPrEx>
              <w:trPr>
                <w:trHeight w:val="90" w:hRule="atLeast"/>
                <w:jc w:val="center"/>
              </w:trPr>
              <w:tc>
                <w:tcPr>
                  <w:tcW w:w="289" w:type="pct"/>
                  <w:vMerge w:val="continue"/>
                  <w:tcBorders>
                    <w:tl2br w:val="nil"/>
                    <w:tr2bl w:val="nil"/>
                  </w:tcBorders>
                  <w:noWrap w:val="0"/>
                  <w:vAlign w:val="center"/>
                </w:tcPr>
                <w:p w14:paraId="0C47D71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065" w:type="pct"/>
                  <w:gridSpan w:val="3"/>
                  <w:tcBorders>
                    <w:tl2br w:val="nil"/>
                    <w:tr2bl w:val="nil"/>
                  </w:tcBorders>
                  <w:shd w:val="clear" w:color="auto" w:fill="auto"/>
                  <w:noWrap w:val="0"/>
                  <w:vAlign w:val="center"/>
                </w:tcPr>
                <w:p w14:paraId="580DC1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废机油桶</w:t>
                  </w:r>
                </w:p>
              </w:tc>
              <w:tc>
                <w:tcPr>
                  <w:tcW w:w="1342" w:type="pct"/>
                  <w:vMerge w:val="continue"/>
                  <w:tcBorders>
                    <w:tl2br w:val="nil"/>
                    <w:tr2bl w:val="nil"/>
                  </w:tcBorders>
                  <w:noWrap w:val="0"/>
                  <w:vAlign w:val="center"/>
                </w:tcPr>
                <w:p w14:paraId="1A110DC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859" w:type="pct"/>
                  <w:vMerge w:val="continue"/>
                  <w:tcBorders>
                    <w:tl2br w:val="nil"/>
                    <w:tr2bl w:val="nil"/>
                  </w:tcBorders>
                  <w:noWrap w:val="0"/>
                  <w:vAlign w:val="center"/>
                </w:tcPr>
                <w:p w14:paraId="14D1008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1442" w:type="pct"/>
                  <w:vMerge w:val="continue"/>
                  <w:tcBorders>
                    <w:tl2br w:val="nil"/>
                    <w:tr2bl w:val="nil"/>
                  </w:tcBorders>
                  <w:noWrap w:val="0"/>
                  <w:vAlign w:val="center"/>
                </w:tcPr>
                <w:p w14:paraId="59BC00E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r>
          </w:tbl>
          <w:p w14:paraId="71C9FE2F">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九、环境管理</w:t>
            </w:r>
          </w:p>
          <w:p w14:paraId="47B9F841">
            <w:pPr>
              <w:pStyle w:val="17"/>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（1）环境信息公开</w:t>
            </w:r>
          </w:p>
          <w:p w14:paraId="009B61DC">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环保机构合理设置对于有效地管理较为重要，一般分为环境管理机构和监测机构两部分。本项目建成后，建设单位应设立专门的环境管理机构，配备专职（可兼职）环保人员，负责该公司日常环保监督管理工作。保证工作质量，且专职环保人员需经过专职的培训，并定期参加国家或地方环保部门的考核。</w:t>
            </w:r>
          </w:p>
          <w:p w14:paraId="068ADA11">
            <w:pPr>
              <w:pStyle w:val="17"/>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（2）环保机构职责</w:t>
            </w:r>
          </w:p>
          <w:p w14:paraId="5C47DB7A">
            <w:pPr>
              <w:pStyle w:val="17"/>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本项目环境管理机构应履行以下主要职责：</w:t>
            </w:r>
          </w:p>
          <w:p w14:paraId="3C2E2522">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①组织宣传贯彻国家和地方的环境保护方针、政策、标准，对企业员工进行环保知识教育；</w:t>
            </w:r>
          </w:p>
          <w:p w14:paraId="672E6359">
            <w:pPr>
              <w:pStyle w:val="17"/>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②组织制定和修改项目的环境保护管理规章制度并监督执行；</w:t>
            </w:r>
          </w:p>
          <w:p w14:paraId="1E8DBE80">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③根据国家、地方政府等规定的环境质量要求，结合本项目实际情况制定并组织实施各项环境保护规则和计划，协调经济发展和环境保护之间的关系；</w:t>
            </w:r>
          </w:p>
          <w:p w14:paraId="6169F6F4">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④检查项目环境保护设施运行状况，配合厂内日常环境监测，确保各污染物控制措施可靠、有效；</w:t>
            </w:r>
          </w:p>
          <w:p w14:paraId="5A851FB7">
            <w:pPr>
              <w:pStyle w:val="17"/>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⑤对可能造成的环境污染及时向上级汇报，并提出防治、应急措施；</w:t>
            </w:r>
          </w:p>
          <w:p w14:paraId="5D010751">
            <w:pPr>
              <w:pStyle w:val="17"/>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⑥组织开展项目的环境保护专业技术培训，提高员工环保素质；</w:t>
            </w:r>
          </w:p>
          <w:p w14:paraId="1BE927E6">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⑦接受地方环保局的业务指导和监督，按要求上报各项管理工作的执行情况及有关环境数据，为区域整体环境管理服务；</w:t>
            </w:r>
          </w:p>
          <w:p w14:paraId="685E50E6">
            <w:pPr>
              <w:pStyle w:val="17"/>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⑧推广应用环境保护先进技术和经验。</w:t>
            </w:r>
          </w:p>
          <w:p w14:paraId="6754C5D7">
            <w:pPr>
              <w:pStyle w:val="17"/>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（3）环境保护管理制度</w:t>
            </w:r>
          </w:p>
          <w:p w14:paraId="52DBA7AC">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①对技术工人进行上岗前的环保知识法规教育及操作规范的培训，使各项环保设施的操作规范化，保证环保设施的正常运转；</w:t>
            </w:r>
          </w:p>
          <w:p w14:paraId="2737361A">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②定期向环保主管部门汇报环保工作情况，污染治理设施运行情况，监视性监测结果；</w:t>
            </w:r>
          </w:p>
          <w:p w14:paraId="7F9A3BE8">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③加强环境监测工作，重点是各污染源的监测，并注意做好记录，监测中如发现异常情况应及时向有关部门通报，及时采取应急措施，防止事故排放；</w:t>
            </w:r>
          </w:p>
          <w:p w14:paraId="6546B53F">
            <w:pPr>
              <w:pStyle w:val="17"/>
              <w:keepNext w:val="0"/>
              <w:keepLines w:val="0"/>
              <w:suppressLineNumbers w:val="0"/>
              <w:adjustRightInd w:val="0"/>
              <w:spacing w:before="0" w:beforeAutospacing="0" w:after="0" w:afterAutospacing="0" w:line="360" w:lineRule="auto"/>
              <w:ind w:left="0" w:right="0" w:firstLine="480"/>
              <w:rPr>
                <w:rFonts w:hint="eastAsia" w:ascii="Times New Roman" w:hAnsi="Times New Roman" w:eastAsia="宋体" w:cs="Times New Roman"/>
                <w:color w:val="auto"/>
                <w:sz w:val="24"/>
                <w:szCs w:val="28"/>
                <w:highlight w:val="none"/>
                <w:lang w:eastAsia="zh-CN"/>
              </w:rPr>
            </w:pPr>
            <w:r>
              <w:rPr>
                <w:rFonts w:hint="default" w:ascii="Times New Roman" w:hAnsi="Times New Roman" w:cs="Times New Roman"/>
                <w:color w:val="auto"/>
                <w:sz w:val="24"/>
                <w:szCs w:val="28"/>
                <w:highlight w:val="none"/>
              </w:rPr>
              <w:t>④建立本企业的环境保护工作档案，包括污染物排放情况；污染治理设施的运行、操作和管理情况；监测记录；污染事故情况及有关记录；其他与污染防治有关的情况和资料等</w:t>
            </w:r>
            <w:r>
              <w:rPr>
                <w:rFonts w:hint="eastAsia" w:cs="Times New Roman"/>
                <w:color w:val="auto"/>
                <w:sz w:val="24"/>
                <w:szCs w:val="28"/>
                <w:highlight w:val="none"/>
                <w:lang w:eastAsia="zh-CN"/>
              </w:rPr>
              <w:t>；</w:t>
            </w:r>
          </w:p>
          <w:p w14:paraId="0292ACEE">
            <w:pPr>
              <w:pStyle w:val="17"/>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8"/>
                <w:highlight w:val="none"/>
                <w:lang w:eastAsia="zh-CN"/>
              </w:rPr>
            </w:pPr>
            <w:r>
              <w:rPr>
                <w:rFonts w:hint="default" w:ascii="Times New Roman" w:hAnsi="Times New Roman" w:cs="Times New Roman"/>
                <w:color w:val="auto"/>
                <w:sz w:val="24"/>
                <w:szCs w:val="28"/>
                <w:highlight w:val="none"/>
              </w:rPr>
              <w:t>⑤贯彻落实建设项目环境影响评价和“三同时”制度</w:t>
            </w:r>
            <w:r>
              <w:rPr>
                <w:rFonts w:hint="eastAsia" w:cs="Times New Roman"/>
                <w:color w:val="auto"/>
                <w:sz w:val="24"/>
                <w:szCs w:val="28"/>
                <w:highlight w:val="none"/>
                <w:lang w:eastAsia="zh-CN"/>
              </w:rPr>
              <w:t>。</w:t>
            </w:r>
          </w:p>
          <w:p w14:paraId="5518F4B4">
            <w:pPr>
              <w:pStyle w:val="17"/>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（4）环保设施运行维护制度</w:t>
            </w:r>
          </w:p>
          <w:p w14:paraId="4316A755">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①制定各环保设施操作规程，定期维修制度，使各项环保设施在生产过程中处于良好地运行状态；</w:t>
            </w:r>
          </w:p>
          <w:p w14:paraId="0E169D57">
            <w:pPr>
              <w:pStyle w:val="17"/>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②加强对环保设施的运行管理，制定定期维修制度，如环保设施出现故障，应立即停产检修，严禁事故排放；</w:t>
            </w:r>
          </w:p>
          <w:p w14:paraId="115595F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③保持环保设施与主体生产设备同步保养、同步检修、同步运行，有效发挥环保设施减排能力。对不能达到设计要求的环保设施，逐个排查，制订并落实整改方案，提升处理能力。产生水、气（汽）、声、渣等污染的项目，必须遵守国家和地方的污染物排放标准，并符合污染物排放总量控制的要求。</w:t>
            </w:r>
          </w:p>
          <w:p w14:paraId="1A83ECCD">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（5）环境监测</w:t>
            </w:r>
          </w:p>
          <w:p w14:paraId="73BDF52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行业特点，上级环保部门有关法规条例，结合本工程的实际情况，企业应对常规项目及特征污染物进行日常监测，特征污染物企业需具备自主监测能力。在不具备监测条件的情况下，可委托具有监测能力的当地环境监测站及相关机构进行监测。</w:t>
            </w:r>
          </w:p>
          <w:p w14:paraId="3AAA93D7">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根据《排污单位自行监测技术指南 总则》（HJ8194</w:t>
            </w:r>
            <w:r>
              <w:rPr>
                <w:rFonts w:hint="default" w:ascii="Times New Roman" w:hAnsi="Times New Roman" w:cs="Times New Roman"/>
                <w:color w:val="auto"/>
                <w:sz w:val="24"/>
                <w:szCs w:val="32"/>
                <w:highlight w:val="none"/>
                <w:lang w:val="en-US" w:eastAsia="zh-CN"/>
              </w:rPr>
              <w:t>-</w:t>
            </w:r>
            <w:r>
              <w:rPr>
                <w:rFonts w:hint="default" w:ascii="Times New Roman" w:hAnsi="Times New Roman" w:cs="Times New Roman"/>
                <w:color w:val="auto"/>
                <w:sz w:val="24"/>
                <w:szCs w:val="32"/>
                <w:highlight w:val="none"/>
              </w:rPr>
              <w:t>2017）、</w:t>
            </w:r>
            <w:r>
              <w:rPr>
                <w:rFonts w:hint="eastAsia" w:cs="Times New Roman"/>
                <w:color w:val="auto"/>
                <w:sz w:val="24"/>
                <w:szCs w:val="32"/>
                <w:highlight w:val="none"/>
                <w:lang w:eastAsia="zh-CN"/>
              </w:rPr>
              <w:t>《排污许可证申请与核发技术规范 石墨及其他非金属矿物制品制造》（HJ1119-2020）</w:t>
            </w:r>
            <w:r>
              <w:rPr>
                <w:rFonts w:hint="default" w:ascii="Times New Roman" w:hAnsi="Times New Roman" w:cs="Times New Roman"/>
                <w:color w:val="auto"/>
                <w:sz w:val="24"/>
                <w:szCs w:val="32"/>
                <w:highlight w:val="none"/>
              </w:rPr>
              <w:t>、《排污许可证申请与核发技术规范 工业噪声》（HJ 1301</w:t>
            </w:r>
            <w:r>
              <w:rPr>
                <w:rFonts w:hint="default" w:ascii="Times New Roman" w:hAnsi="Times New Roman" w:cs="Times New Roman"/>
                <w:color w:val="auto"/>
                <w:sz w:val="24"/>
                <w:szCs w:val="32"/>
                <w:highlight w:val="none"/>
                <w:lang w:val="en-US" w:eastAsia="zh-CN"/>
              </w:rPr>
              <w:t>-</w:t>
            </w:r>
            <w:r>
              <w:rPr>
                <w:rFonts w:hint="default" w:ascii="Times New Roman" w:hAnsi="Times New Roman" w:cs="Times New Roman"/>
                <w:color w:val="auto"/>
                <w:sz w:val="24"/>
                <w:szCs w:val="32"/>
                <w:highlight w:val="none"/>
              </w:rPr>
              <w:t>2023）的要求，针对</w:t>
            </w:r>
            <w:r>
              <w:rPr>
                <w:rFonts w:hint="eastAsia" w:cs="Times New Roman"/>
                <w:color w:val="auto"/>
                <w:sz w:val="24"/>
                <w:szCs w:val="32"/>
                <w:highlight w:val="none"/>
                <w:lang w:eastAsia="zh-CN"/>
              </w:rPr>
              <w:t>本项目</w:t>
            </w:r>
            <w:r>
              <w:rPr>
                <w:rFonts w:hint="default" w:ascii="Times New Roman" w:hAnsi="Times New Roman" w:cs="Times New Roman"/>
                <w:color w:val="auto"/>
                <w:sz w:val="24"/>
                <w:szCs w:val="32"/>
                <w:highlight w:val="none"/>
              </w:rPr>
              <w:t>所排污染物情况，设置监测计划。详见下表。</w:t>
            </w:r>
          </w:p>
          <w:p w14:paraId="591FA128">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 xml:space="preserve">15 </w:t>
            </w:r>
            <w:r>
              <w:rPr>
                <w:rFonts w:hint="eastAsia" w:cs="Times New Roman"/>
                <w:b/>
                <w:color w:val="auto"/>
                <w:sz w:val="21"/>
                <w:szCs w:val="21"/>
                <w:highlight w:val="none"/>
                <w:lang w:eastAsia="zh-CN"/>
              </w:rPr>
              <w:t>本项目</w:t>
            </w:r>
            <w:r>
              <w:rPr>
                <w:rFonts w:hint="default" w:ascii="Times New Roman" w:hAnsi="Times New Roman" w:cs="Times New Roman"/>
                <w:b/>
                <w:color w:val="auto"/>
                <w:sz w:val="21"/>
                <w:szCs w:val="21"/>
                <w:highlight w:val="none"/>
              </w:rPr>
              <w:t>监测计划一览表</w:t>
            </w:r>
          </w:p>
          <w:tbl>
            <w:tblPr>
              <w:tblStyle w:val="36"/>
              <w:tblW w:w="501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05"/>
              <w:gridCol w:w="1788"/>
              <w:gridCol w:w="3902"/>
              <w:gridCol w:w="1763"/>
            </w:tblGrid>
            <w:tr w14:paraId="1345E5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6" w:hRule="atLeast"/>
                <w:jc w:val="center"/>
              </w:trPr>
              <w:tc>
                <w:tcPr>
                  <w:tcW w:w="745" w:type="pct"/>
                  <w:tcBorders>
                    <w:tl2br w:val="nil"/>
                    <w:tr2bl w:val="nil"/>
                  </w:tcBorders>
                  <w:noWrap w:val="0"/>
                  <w:vAlign w:val="center"/>
                </w:tcPr>
                <w:p w14:paraId="6FAE759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c>
                <w:tcPr>
                  <w:tcW w:w="1020" w:type="pct"/>
                  <w:tcBorders>
                    <w:tl2br w:val="nil"/>
                    <w:tr2bl w:val="nil"/>
                  </w:tcBorders>
                  <w:noWrap w:val="0"/>
                  <w:vAlign w:val="center"/>
                </w:tcPr>
                <w:p w14:paraId="1609047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c>
                <w:tcPr>
                  <w:tcW w:w="2227" w:type="pct"/>
                  <w:tcBorders>
                    <w:tl2br w:val="nil"/>
                    <w:tr2bl w:val="nil"/>
                  </w:tcBorders>
                  <w:noWrap w:val="0"/>
                  <w:vAlign w:val="center"/>
                </w:tcPr>
                <w:p w14:paraId="377DB64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1006" w:type="pct"/>
                  <w:tcBorders>
                    <w:tl2br w:val="nil"/>
                    <w:tr2bl w:val="nil"/>
                  </w:tcBorders>
                  <w:noWrap w:val="0"/>
                  <w:vAlign w:val="center"/>
                </w:tcPr>
                <w:p w14:paraId="1AD6096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监测频次</w:t>
                  </w:r>
                </w:p>
              </w:tc>
            </w:tr>
            <w:tr w14:paraId="37D46D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6" w:hRule="atLeast"/>
                <w:jc w:val="center"/>
              </w:trPr>
              <w:tc>
                <w:tcPr>
                  <w:tcW w:w="745" w:type="pct"/>
                  <w:vMerge w:val="restart"/>
                  <w:tcBorders>
                    <w:tl2br w:val="nil"/>
                    <w:tr2bl w:val="nil"/>
                  </w:tcBorders>
                  <w:noWrap w:val="0"/>
                  <w:vAlign w:val="center"/>
                </w:tcPr>
                <w:p w14:paraId="52C93A4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020" w:type="pct"/>
                  <w:tcBorders>
                    <w:bottom w:val="single" w:color="auto" w:sz="4" w:space="0"/>
                    <w:tl2br w:val="nil"/>
                    <w:tr2bl w:val="nil"/>
                  </w:tcBorders>
                  <w:noWrap w:val="0"/>
                  <w:vAlign w:val="center"/>
                </w:tcPr>
                <w:p w14:paraId="7CB0B0F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DA001</w:t>
                  </w:r>
                </w:p>
              </w:tc>
              <w:tc>
                <w:tcPr>
                  <w:tcW w:w="2227" w:type="pct"/>
                  <w:tcBorders>
                    <w:bottom w:val="single" w:color="auto" w:sz="4" w:space="0"/>
                    <w:tl2br w:val="nil"/>
                    <w:tr2bl w:val="nil"/>
                  </w:tcBorders>
                  <w:noWrap w:val="0"/>
                  <w:vAlign w:val="center"/>
                </w:tcPr>
                <w:p w14:paraId="6494A3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1006" w:type="pct"/>
                  <w:tcBorders>
                    <w:tl2br w:val="nil"/>
                    <w:tr2bl w:val="nil"/>
                  </w:tcBorders>
                  <w:noWrap w:val="0"/>
                  <w:vAlign w:val="center"/>
                </w:tcPr>
                <w:p w14:paraId="7701D1D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每</w:t>
                  </w:r>
                  <w:r>
                    <w:rPr>
                      <w:rFonts w:hint="default" w:ascii="Times New Roman" w:hAnsi="Times New Roman" w:cs="Times New Roman"/>
                      <w:color w:val="auto"/>
                      <w:kern w:val="2"/>
                      <w:sz w:val="21"/>
                      <w:szCs w:val="21"/>
                      <w:highlight w:val="none"/>
                      <w:lang w:val="en-US" w:eastAsia="zh-CN" w:bidi="ar-SA"/>
                    </w:rPr>
                    <w:t>年1次</w:t>
                  </w:r>
                </w:p>
              </w:tc>
            </w:tr>
            <w:tr w14:paraId="37DB53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745" w:type="pct"/>
                  <w:vMerge w:val="continue"/>
                  <w:tcBorders>
                    <w:tl2br w:val="nil"/>
                    <w:tr2bl w:val="nil"/>
                  </w:tcBorders>
                  <w:noWrap w:val="0"/>
                  <w:vAlign w:val="center"/>
                </w:tcPr>
                <w:p w14:paraId="1C4D81D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020" w:type="pct"/>
                  <w:tcBorders>
                    <w:top w:val="single" w:color="auto" w:sz="4" w:space="0"/>
                    <w:bottom w:val="single" w:color="auto" w:sz="4" w:space="0"/>
                    <w:tl2br w:val="nil"/>
                    <w:tr2bl w:val="nil"/>
                  </w:tcBorders>
                  <w:noWrap w:val="0"/>
                  <w:vAlign w:val="center"/>
                </w:tcPr>
                <w:p w14:paraId="328ADF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厂界</w:t>
                  </w:r>
                </w:p>
              </w:tc>
              <w:tc>
                <w:tcPr>
                  <w:tcW w:w="2227" w:type="pct"/>
                  <w:tcBorders>
                    <w:top w:val="single" w:color="auto" w:sz="4" w:space="0"/>
                    <w:bottom w:val="single" w:color="auto" w:sz="4" w:space="0"/>
                    <w:tl2br w:val="nil"/>
                    <w:tr2bl w:val="nil"/>
                  </w:tcBorders>
                  <w:noWrap w:val="0"/>
                  <w:vAlign w:val="center"/>
                </w:tcPr>
                <w:p w14:paraId="79ABF62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颗粒物</w:t>
                  </w:r>
                </w:p>
              </w:tc>
              <w:tc>
                <w:tcPr>
                  <w:tcW w:w="1006" w:type="pct"/>
                  <w:tcBorders>
                    <w:top w:val="single" w:color="auto" w:sz="4" w:space="0"/>
                    <w:tl2br w:val="nil"/>
                    <w:tr2bl w:val="nil"/>
                  </w:tcBorders>
                  <w:noWrap w:val="0"/>
                  <w:vAlign w:val="center"/>
                </w:tcPr>
                <w:p w14:paraId="0570DB3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每年1次</w:t>
                  </w:r>
                </w:p>
              </w:tc>
            </w:tr>
            <w:tr w14:paraId="29E467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6" w:hRule="atLeast"/>
                <w:jc w:val="center"/>
              </w:trPr>
              <w:tc>
                <w:tcPr>
                  <w:tcW w:w="745" w:type="pct"/>
                  <w:tcBorders>
                    <w:tl2br w:val="nil"/>
                    <w:tr2bl w:val="nil"/>
                  </w:tcBorders>
                  <w:noWrap w:val="0"/>
                  <w:vAlign w:val="center"/>
                </w:tcPr>
                <w:p w14:paraId="641152C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020" w:type="pct"/>
                  <w:tcBorders>
                    <w:tl2br w:val="nil"/>
                    <w:tr2bl w:val="nil"/>
                  </w:tcBorders>
                  <w:noWrap w:val="0"/>
                  <w:vAlign w:val="center"/>
                </w:tcPr>
                <w:p w14:paraId="2E5FCA7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lang w:val="en-US" w:eastAsia="zh-CN"/>
                    </w:rPr>
                    <w:t>厂界</w:t>
                  </w:r>
                </w:p>
              </w:tc>
              <w:tc>
                <w:tcPr>
                  <w:tcW w:w="2227" w:type="pct"/>
                  <w:tcBorders>
                    <w:tl2br w:val="nil"/>
                    <w:tr2bl w:val="nil"/>
                  </w:tcBorders>
                  <w:noWrap w:val="0"/>
                  <w:vAlign w:val="center"/>
                </w:tcPr>
                <w:p w14:paraId="73C2F5B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昼间</w:t>
                  </w:r>
                  <w:r>
                    <w:rPr>
                      <w:rFonts w:hint="default" w:ascii="Times New Roman" w:hAnsi="Times New Roman" w:cs="Times New Roman"/>
                      <w:color w:val="auto"/>
                      <w:sz w:val="21"/>
                      <w:szCs w:val="21"/>
                      <w:highlight w:val="none"/>
                    </w:rPr>
                    <w:t>Leq</w:t>
                  </w:r>
                </w:p>
              </w:tc>
              <w:tc>
                <w:tcPr>
                  <w:tcW w:w="1006" w:type="pct"/>
                  <w:tcBorders>
                    <w:tl2br w:val="nil"/>
                    <w:tr2bl w:val="nil"/>
                  </w:tcBorders>
                  <w:noWrap w:val="0"/>
                  <w:vAlign w:val="center"/>
                </w:tcPr>
                <w:p w14:paraId="7A155B7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每季度一次</w:t>
                  </w:r>
                </w:p>
              </w:tc>
            </w:tr>
            <w:tr w14:paraId="41155F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745" w:type="pct"/>
                  <w:tcBorders>
                    <w:tl2br w:val="nil"/>
                    <w:tr2bl w:val="nil"/>
                  </w:tcBorders>
                  <w:noWrap w:val="0"/>
                  <w:vAlign w:val="center"/>
                </w:tcPr>
                <w:p w14:paraId="265536B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1020" w:type="pct"/>
                  <w:tcBorders>
                    <w:tl2br w:val="nil"/>
                    <w:tr2bl w:val="nil"/>
                  </w:tcBorders>
                  <w:noWrap w:val="0"/>
                  <w:vAlign w:val="center"/>
                </w:tcPr>
                <w:p w14:paraId="2065C08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统计各类固废量</w:t>
                  </w:r>
                </w:p>
              </w:tc>
              <w:tc>
                <w:tcPr>
                  <w:tcW w:w="2227" w:type="pct"/>
                  <w:tcBorders>
                    <w:tl2br w:val="nil"/>
                    <w:tr2bl w:val="nil"/>
                  </w:tcBorders>
                  <w:noWrap w:val="0"/>
                  <w:vAlign w:val="center"/>
                </w:tcPr>
                <w:p w14:paraId="007C9A4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统计种类、产生量、处理方式、去向</w:t>
                  </w:r>
                </w:p>
              </w:tc>
              <w:tc>
                <w:tcPr>
                  <w:tcW w:w="1006" w:type="pct"/>
                  <w:tcBorders>
                    <w:tl2br w:val="nil"/>
                    <w:tr2bl w:val="nil"/>
                  </w:tcBorders>
                  <w:noWrap w:val="0"/>
                  <w:vAlign w:val="center"/>
                </w:tcPr>
                <w:p w14:paraId="15A93DF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每季度统计一次</w:t>
                  </w:r>
                </w:p>
              </w:tc>
            </w:tr>
          </w:tbl>
          <w:p w14:paraId="55B0A0DD">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十、排污许可分析</w:t>
            </w:r>
          </w:p>
          <w:p w14:paraId="6C4D1F5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控制污染物排放许可制实施方案》（国办发[2016]81号）、《排污许可证管理暂行规定》（环水体[2016]186号）、《排污许可管理条例（国务院令第736号）》等文件，“排污单位应当依法持有排污许可证，并按照排污许可证的规定排放污染物”。</w:t>
            </w:r>
          </w:p>
          <w:p w14:paraId="12099B5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控制污染物排放许可制实施方案》（国办发[2016]81号，2016年11月11日）、《关于印发&lt;排污许可证管理暂行规定&gt;的通知》（环水体[2016]186号，2016年12月23日）、《排污许可管理条例（国务院令第736号）》等文件，环境影响评价制度是建设项目的环境准入门槛，排污许可制是企事业单位生产运营期排污的法律依据，必须做好充分衔接，实现从污染预防到污染治理和排放控制的全过程监管。</w:t>
            </w:r>
          </w:p>
          <w:p w14:paraId="50821348">
            <w:pPr>
              <w:keepNext w:val="0"/>
              <w:keepLines w:val="0"/>
              <w:suppressLineNumbers w:val="0"/>
              <w:spacing w:before="0" w:beforeAutospacing="0" w:after="0" w:afterAutospacing="0" w:line="360" w:lineRule="auto"/>
              <w:ind w:left="0" w:right="0" w:firstLine="482"/>
              <w:jc w:val="center"/>
              <w:rPr>
                <w:rFonts w:hint="default" w:ascii="Times New Roman" w:hAnsi="Times New Roman" w:cs="Times New Roman"/>
                <w:b/>
                <w:bCs/>
                <w:sz w:val="21"/>
                <w:szCs w:val="21"/>
                <w:highlight w:val="none"/>
              </w:rPr>
            </w:pPr>
            <w:r>
              <w:rPr>
                <w:rFonts w:hint="default" w:ascii="Times New Roman" w:hAnsi="Times New Roman" w:cs="Times New Roman"/>
                <w:b/>
                <w:bCs/>
                <w:kern w:val="0"/>
                <w:sz w:val="21"/>
                <w:szCs w:val="21"/>
                <w:highlight w:val="none"/>
              </w:rPr>
              <w:t>表</w:t>
            </w:r>
            <w:r>
              <w:rPr>
                <w:rFonts w:hint="eastAsia" w:ascii="Times New Roman" w:hAnsi="Times New Roman" w:cs="Times New Roman"/>
                <w:b/>
                <w:bCs/>
                <w:kern w:val="0"/>
                <w:sz w:val="21"/>
                <w:szCs w:val="21"/>
                <w:highlight w:val="none"/>
                <w:lang w:val="en-US" w:eastAsia="zh-CN"/>
              </w:rPr>
              <w:t xml:space="preserve">4-16 </w:t>
            </w:r>
            <w:r>
              <w:rPr>
                <w:rFonts w:hint="default" w:ascii="Times New Roman" w:hAnsi="Times New Roman" w:cs="Times New Roman"/>
                <w:b/>
                <w:bCs/>
                <w:kern w:val="0"/>
                <w:sz w:val="21"/>
                <w:szCs w:val="21"/>
                <w:highlight w:val="none"/>
              </w:rPr>
              <w:t>本项目排污许可证分类管理名录一览表</w:t>
            </w:r>
          </w:p>
          <w:tbl>
            <w:tblPr>
              <w:tblStyle w:val="36"/>
              <w:tblW w:w="499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68"/>
              <w:gridCol w:w="1902"/>
              <w:gridCol w:w="2289"/>
              <w:gridCol w:w="2758"/>
            </w:tblGrid>
            <w:tr w14:paraId="2764CC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013" w:type="pct"/>
                  <w:tcBorders>
                    <w:tl2br w:val="nil"/>
                    <w:tr2bl w:val="nil"/>
                  </w:tcBorders>
                  <w:noWrap w:val="0"/>
                  <w:vAlign w:val="center"/>
                </w:tcPr>
                <w:p w14:paraId="0054164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项目类别</w:t>
                  </w:r>
                </w:p>
              </w:tc>
              <w:tc>
                <w:tcPr>
                  <w:tcW w:w="1090" w:type="pct"/>
                  <w:tcBorders>
                    <w:tl2br w:val="nil"/>
                    <w:tr2bl w:val="nil"/>
                  </w:tcBorders>
                  <w:noWrap w:val="0"/>
                  <w:vAlign w:val="center"/>
                </w:tcPr>
                <w:p w14:paraId="5624D5F9">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 xml:space="preserve">重点管理 </w:t>
                  </w:r>
                </w:p>
              </w:tc>
              <w:tc>
                <w:tcPr>
                  <w:tcW w:w="1313" w:type="pct"/>
                  <w:tcBorders>
                    <w:tl2br w:val="nil"/>
                    <w:tr2bl w:val="nil"/>
                  </w:tcBorders>
                  <w:noWrap w:val="0"/>
                  <w:vAlign w:val="center"/>
                </w:tcPr>
                <w:p w14:paraId="2822D5FE">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简化管理</w:t>
                  </w:r>
                </w:p>
              </w:tc>
              <w:tc>
                <w:tcPr>
                  <w:tcW w:w="1582" w:type="pct"/>
                  <w:tcBorders>
                    <w:tl2br w:val="nil"/>
                    <w:tr2bl w:val="nil"/>
                  </w:tcBorders>
                  <w:noWrap w:val="0"/>
                  <w:vAlign w:val="center"/>
                </w:tcPr>
                <w:p w14:paraId="25291A2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
                      <w:bCs/>
                      <w:kern w:val="0"/>
                      <w:sz w:val="21"/>
                      <w:szCs w:val="21"/>
                      <w:highlight w:val="none"/>
                    </w:rPr>
                  </w:pPr>
                  <w:r>
                    <w:rPr>
                      <w:rFonts w:hint="default" w:ascii="Times New Roman" w:hAnsi="Times New Roman" w:cs="Times New Roman"/>
                      <w:b/>
                      <w:bCs/>
                      <w:kern w:val="0"/>
                      <w:sz w:val="21"/>
                      <w:szCs w:val="21"/>
                      <w:highlight w:val="none"/>
                    </w:rPr>
                    <w:t>登记管理</w:t>
                  </w:r>
                </w:p>
              </w:tc>
            </w:tr>
            <w:tr w14:paraId="10B8E7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noWrap w:val="0"/>
                  <w:vAlign w:val="center"/>
                </w:tcPr>
                <w:p w14:paraId="0549057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二十五、非金属矿物制品业30</w:t>
                  </w:r>
                </w:p>
                <w:p w14:paraId="7436C7A5">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70石墨及其他非金属矿物制品制造309</w:t>
                  </w:r>
                </w:p>
              </w:tc>
            </w:tr>
            <w:tr w14:paraId="5BB33C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1013" w:type="pct"/>
                  <w:tcBorders>
                    <w:tl2br w:val="nil"/>
                    <w:tr2bl w:val="nil"/>
                  </w:tcBorders>
                  <w:shd w:val="clear" w:color="auto" w:fill="auto"/>
                  <w:noWrap w:val="0"/>
                  <w:vAlign w:val="center"/>
                </w:tcPr>
                <w:p w14:paraId="4F128F9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C3099其他非金属矿物制品制造</w:t>
                  </w:r>
                </w:p>
              </w:tc>
              <w:tc>
                <w:tcPr>
                  <w:tcW w:w="1090" w:type="pct"/>
                  <w:tcBorders>
                    <w:tl2br w:val="nil"/>
                    <w:tr2bl w:val="nil"/>
                  </w:tcBorders>
                  <w:shd w:val="clear" w:color="auto" w:fill="auto"/>
                  <w:noWrap w:val="0"/>
                  <w:vAlign w:val="center"/>
                </w:tcPr>
                <w:p w14:paraId="5A3C069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石墨及碳素制品制造3091（石墨制品、碳制品、碳素新材料），其他非金属矿物制品制造3099（多晶硅棒）</w:t>
                  </w:r>
                </w:p>
              </w:tc>
              <w:tc>
                <w:tcPr>
                  <w:tcW w:w="1313" w:type="pct"/>
                  <w:tcBorders>
                    <w:tl2br w:val="nil"/>
                    <w:tr2bl w:val="nil"/>
                  </w:tcBorders>
                  <w:shd w:val="clear" w:color="auto" w:fill="auto"/>
                  <w:noWrap w:val="0"/>
                  <w:vAlign w:val="center"/>
                </w:tcPr>
                <w:p w14:paraId="5DE606A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石墨及碳素制品制造3091（除石墨制品、碳制品、碳素新材料以外的），其他非金属矿物制品制造3099（单晶硅棒，沥青混合物）</w:t>
                  </w:r>
                </w:p>
              </w:tc>
              <w:tc>
                <w:tcPr>
                  <w:tcW w:w="1582" w:type="pct"/>
                  <w:tcBorders>
                    <w:tl2br w:val="nil"/>
                    <w:tr2bl w:val="nil"/>
                  </w:tcBorders>
                  <w:shd w:val="clear" w:color="auto" w:fill="auto"/>
                  <w:noWrap w:val="0"/>
                  <w:vAlign w:val="center"/>
                </w:tcPr>
                <w:p w14:paraId="2C8A7C8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其他非金属矿物制品制造3099（除重点管理、简化管理以外的）</w:t>
                  </w:r>
                </w:p>
              </w:tc>
            </w:tr>
          </w:tbl>
          <w:p w14:paraId="25325AA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根据《固定污染源排污许可分类管理名录（2019年版）》（环办环评函</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2020</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9号，2020年01月06日），</w:t>
            </w:r>
            <w:r>
              <w:rPr>
                <w:rFonts w:hint="default" w:ascii="Times New Roman" w:hAnsi="Times New Roman" w:eastAsia="宋体" w:cs="Times New Roman"/>
                <w:color w:val="auto"/>
                <w:sz w:val="24"/>
                <w:szCs w:val="32"/>
                <w:highlight w:val="none"/>
                <w:lang w:val="en-US" w:eastAsia="zh-CN"/>
              </w:rPr>
              <w:t>本项目</w:t>
            </w:r>
            <w:r>
              <w:rPr>
                <w:rFonts w:hint="default" w:ascii="Times New Roman" w:hAnsi="Times New Roman" w:eastAsia="宋体" w:cs="Times New Roman"/>
                <w:color w:val="auto"/>
                <w:sz w:val="24"/>
                <w:szCs w:val="32"/>
                <w:highlight w:val="none"/>
              </w:rPr>
              <w:t>属于</w:t>
            </w:r>
            <w:r>
              <w:rPr>
                <w:rFonts w:hint="default" w:ascii="Times New Roman" w:hAnsi="Times New Roman" w:eastAsia="宋体" w:cs="Times New Roman"/>
                <w:color w:val="auto"/>
                <w:sz w:val="24"/>
                <w:szCs w:val="32"/>
                <w:highlight w:val="none"/>
                <w:lang w:val="en-US" w:eastAsia="zh-CN"/>
              </w:rPr>
              <w:t>“二十五、非金属矿物制品业30”</w:t>
            </w:r>
            <w:r>
              <w:rPr>
                <w:rFonts w:hint="default" w:ascii="Times New Roman" w:hAnsi="Times New Roman" w:eastAsia="宋体" w:cs="Times New Roman"/>
                <w:color w:val="auto"/>
                <w:sz w:val="24"/>
                <w:szCs w:val="32"/>
                <w:highlight w:val="none"/>
              </w:rPr>
              <w:t>中</w:t>
            </w:r>
            <w:r>
              <w:rPr>
                <w:rFonts w:hint="default" w:ascii="Times New Roman" w:hAnsi="Times New Roman" w:eastAsia="宋体" w:cs="Times New Roman"/>
                <w:color w:val="auto"/>
                <w:sz w:val="24"/>
                <w:szCs w:val="32"/>
                <w:highlight w:val="none"/>
                <w:lang w:val="en-US" w:eastAsia="zh-CN"/>
              </w:rPr>
              <w:t>“70石墨及其他非金属矿物制品制造309”中“其他非金属矿物制品制造3099（除重点管理、简化管理以外的）”</w:t>
            </w:r>
            <w:r>
              <w:rPr>
                <w:rFonts w:hint="default" w:ascii="Times New Roman" w:hAnsi="Times New Roman" w:eastAsia="宋体" w:cs="Times New Roman"/>
                <w:color w:val="auto"/>
                <w:sz w:val="24"/>
                <w:szCs w:val="32"/>
                <w:highlight w:val="none"/>
              </w:rPr>
              <w:t>，需进行</w:t>
            </w:r>
            <w:r>
              <w:rPr>
                <w:rFonts w:hint="default" w:ascii="Times New Roman" w:hAnsi="Times New Roman" w:eastAsia="宋体" w:cs="Times New Roman"/>
                <w:color w:val="auto"/>
                <w:sz w:val="24"/>
                <w:szCs w:val="32"/>
                <w:highlight w:val="none"/>
                <w:lang w:val="en-US" w:eastAsia="zh-CN"/>
              </w:rPr>
              <w:t>登记管理</w:t>
            </w:r>
            <w:r>
              <w:rPr>
                <w:rFonts w:hint="default" w:ascii="Times New Roman" w:hAnsi="Times New Roman" w:eastAsia="宋体" w:cs="Times New Roman"/>
                <w:color w:val="auto"/>
                <w:sz w:val="24"/>
                <w:szCs w:val="32"/>
                <w:highlight w:val="none"/>
              </w:rPr>
              <w:t>。</w:t>
            </w:r>
          </w:p>
          <w:p w14:paraId="10291929">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十一、排污口规范设置</w:t>
            </w:r>
          </w:p>
          <w:p w14:paraId="47061D8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国家标准《环境保护图形标志—排放口（源）》、国家环境保护总局《排污口规范化整治要求》（试行）（国家环保局环监[1996]470号）、《山东省污水排放口环境信息公开技术规范》（DB37/T2463-2014）的技术要求，企业所有排放口（包括水、气、声、渣）必须按照</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便于采样、便于计量检测、便于日常监督检查</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的原则来规范化要求，设置与之相适应的环境保护图形标志牌和企业排污口分布图，对污染物治理设施安装运行监控装置、排污口规范化要符合当地环保部门的有关要求。</w:t>
            </w:r>
          </w:p>
          <w:p w14:paraId="28E41D9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根据国家环境保护总局《关于开展排放口规范化整治工作的通知》环发[1999]24号和《排放口规范化整治技术》环发[1999]24号附件二等规定的要求，一切新建、改扩建、改建的排污单位以及限期治理的排污单位必须在建设污染治理设施的同时，建设规范化排放口。因此，建设项目产生的各类污染物排放口必须规范化，而且规范化工作的完成必须与污染治理设施同步，并列入污染物治理设施的验收内容。</w:t>
            </w:r>
          </w:p>
          <w:p w14:paraId="5F0A5A7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①项目产生的一般固废</w:t>
            </w:r>
            <w:r>
              <w:rPr>
                <w:rFonts w:hint="default" w:ascii="Times New Roman" w:hAnsi="Times New Roman" w:eastAsia="宋体" w:cs="Times New Roman"/>
                <w:color w:val="auto"/>
                <w:kern w:val="2"/>
                <w:sz w:val="24"/>
                <w:szCs w:val="24"/>
                <w:lang w:val="en-US" w:eastAsia="zh-CN" w:bidi="ar-SA"/>
              </w:rPr>
              <w:t>由车间工作人员统一收集后外售给有处置能力和资质单位处置。</w:t>
            </w:r>
            <w:r>
              <w:rPr>
                <w:rFonts w:hint="default" w:ascii="Times New Roman" w:hAnsi="Times New Roman" w:cs="Times New Roman"/>
                <w:color w:val="auto"/>
                <w:sz w:val="24"/>
                <w:szCs w:val="32"/>
                <w:highlight w:val="none"/>
              </w:rPr>
              <w:t>存放场地需采取防扬散、防流失措施，并应在存放场地设置环保标志牌。</w:t>
            </w:r>
          </w:p>
          <w:p w14:paraId="14975B3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②主要固定噪声源附近应设置环境保护图形标志牌。</w:t>
            </w:r>
          </w:p>
          <w:p w14:paraId="23A1888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③项目废气污染源排气筒应按照“排污口”要求进行设置，并设置便于采样、监测的采样口或采样平台；在排气筒附近醒目处设置环保标志牌。</w:t>
            </w:r>
          </w:p>
          <w:p w14:paraId="13DF847B">
            <w:pPr>
              <w:keepNext w:val="0"/>
              <w:keepLines w:val="0"/>
              <w:suppressLineNumbers w:val="0"/>
              <w:spacing w:before="0" w:beforeAutospacing="0" w:after="0" w:afterAutospacing="0" w:line="360" w:lineRule="auto"/>
              <w:ind w:left="0" w:right="0" w:firstLine="472" w:firstLineChars="196"/>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十二、电磁辐射</w:t>
            </w:r>
          </w:p>
          <w:p w14:paraId="4E7ADA3F">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szCs w:val="32"/>
                <w:highlight w:val="none"/>
                <w:lang w:eastAsia="zh-CN"/>
              </w:rPr>
            </w:pPr>
            <w:r>
              <w:rPr>
                <w:rFonts w:hint="default" w:ascii="Times New Roman" w:hAnsi="Times New Roman" w:cs="Times New Roman"/>
                <w:color w:val="auto"/>
                <w:sz w:val="24"/>
                <w:szCs w:val="32"/>
                <w:highlight w:val="none"/>
              </w:rPr>
              <w:t>本项目不涉及电磁辐射影响</w:t>
            </w:r>
            <w:r>
              <w:rPr>
                <w:rFonts w:hint="default" w:ascii="Times New Roman" w:hAnsi="Times New Roman" w:cs="Times New Roman"/>
                <w:color w:val="auto"/>
                <w:sz w:val="24"/>
                <w:szCs w:val="32"/>
                <w:highlight w:val="none"/>
                <w:lang w:eastAsia="zh-CN"/>
              </w:rPr>
              <w:t>。</w:t>
            </w:r>
          </w:p>
          <w:p w14:paraId="32738EFB">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szCs w:val="32"/>
                <w:highlight w:val="none"/>
                <w:lang w:eastAsia="zh-CN"/>
              </w:rPr>
            </w:pPr>
          </w:p>
          <w:p w14:paraId="0505E3EA">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szCs w:val="32"/>
                <w:highlight w:val="none"/>
                <w:lang w:eastAsia="zh-CN"/>
              </w:rPr>
            </w:pPr>
          </w:p>
          <w:p w14:paraId="3DC6BA59">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szCs w:val="32"/>
                <w:highlight w:val="none"/>
                <w:lang w:eastAsia="zh-CN"/>
              </w:rPr>
            </w:pPr>
          </w:p>
          <w:p w14:paraId="6F33BD70">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szCs w:val="32"/>
                <w:highlight w:val="none"/>
                <w:lang w:eastAsia="zh-CN"/>
              </w:rPr>
            </w:pPr>
          </w:p>
          <w:p w14:paraId="463463E6">
            <w:pPr>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sz w:val="24"/>
                <w:szCs w:val="32"/>
                <w:highlight w:val="none"/>
                <w:lang w:eastAsia="zh-CN"/>
              </w:rPr>
            </w:pPr>
          </w:p>
          <w:p w14:paraId="5A2025AA">
            <w:pPr>
              <w:keepNext w:val="0"/>
              <w:keepLines w:val="0"/>
              <w:suppressLineNumbers w:val="0"/>
              <w:spacing w:before="0" w:beforeAutospacing="0" w:after="0" w:afterAutospacing="0"/>
              <w:ind w:left="0" w:right="0" w:firstLine="480" w:firstLineChars="200"/>
              <w:rPr>
                <w:rFonts w:hint="eastAsia" w:cs="Times New Roman"/>
                <w:color w:val="auto"/>
                <w:sz w:val="24"/>
                <w:szCs w:val="32"/>
                <w:highlight w:val="none"/>
                <w:lang w:val="en-US" w:eastAsia="zh-CN"/>
              </w:rPr>
            </w:pPr>
          </w:p>
          <w:p w14:paraId="28DC514E">
            <w:pPr>
              <w:keepNext w:val="0"/>
              <w:keepLines w:val="0"/>
              <w:suppressLineNumbers w:val="0"/>
              <w:spacing w:before="0" w:beforeAutospacing="0" w:after="0" w:afterAutospacing="0"/>
              <w:ind w:left="0" w:right="0"/>
              <w:rPr>
                <w:rFonts w:hint="eastAsia" w:cs="Times New Roman"/>
                <w:lang w:val="en-US" w:eastAsia="zh-CN"/>
              </w:rPr>
            </w:pPr>
          </w:p>
          <w:p w14:paraId="2F87042D">
            <w:pPr>
              <w:keepNext w:val="0"/>
              <w:keepLines w:val="0"/>
              <w:suppressLineNumbers w:val="0"/>
              <w:spacing w:before="0" w:beforeAutospacing="0" w:after="0" w:afterAutospacing="0"/>
              <w:ind w:left="0" w:right="0"/>
              <w:rPr>
                <w:rFonts w:hint="eastAsia" w:cs="Times New Roman"/>
                <w:lang w:val="en-US" w:eastAsia="zh-CN"/>
              </w:rPr>
            </w:pPr>
          </w:p>
          <w:p w14:paraId="13CD22C6">
            <w:pPr>
              <w:keepNext w:val="0"/>
              <w:keepLines w:val="0"/>
              <w:suppressLineNumbers w:val="0"/>
              <w:spacing w:before="0" w:beforeAutospacing="0" w:after="0" w:afterAutospacing="0"/>
              <w:ind w:left="0" w:right="0"/>
              <w:rPr>
                <w:rFonts w:hint="eastAsia" w:cs="Times New Roman"/>
                <w:lang w:val="en-US" w:eastAsia="zh-CN"/>
              </w:rPr>
            </w:pPr>
          </w:p>
          <w:p w14:paraId="5782AF6B">
            <w:pPr>
              <w:keepNext w:val="0"/>
              <w:keepLines w:val="0"/>
              <w:suppressLineNumbers w:val="0"/>
              <w:spacing w:before="0" w:beforeAutospacing="0" w:after="0" w:afterAutospacing="0"/>
              <w:ind w:left="0" w:right="0"/>
              <w:rPr>
                <w:rFonts w:hint="eastAsia" w:cs="Times New Roman"/>
                <w:lang w:val="en-US" w:eastAsia="zh-CN"/>
              </w:rPr>
            </w:pPr>
          </w:p>
          <w:p w14:paraId="3772020D">
            <w:pPr>
              <w:keepNext w:val="0"/>
              <w:keepLines w:val="0"/>
              <w:suppressLineNumbers w:val="0"/>
              <w:spacing w:before="0" w:beforeAutospacing="0" w:after="0" w:afterAutospacing="0"/>
              <w:ind w:left="0" w:right="0"/>
              <w:rPr>
                <w:rFonts w:hint="eastAsia" w:cs="Times New Roman"/>
                <w:lang w:val="en-US" w:eastAsia="zh-CN"/>
              </w:rPr>
            </w:pPr>
          </w:p>
          <w:p w14:paraId="266F9DD3">
            <w:pPr>
              <w:keepNext w:val="0"/>
              <w:keepLines w:val="0"/>
              <w:suppressLineNumbers w:val="0"/>
              <w:spacing w:before="0" w:beforeAutospacing="0" w:after="0" w:afterAutospacing="0"/>
              <w:ind w:left="0" w:right="0"/>
              <w:rPr>
                <w:rFonts w:hint="eastAsia" w:cs="Times New Roman"/>
                <w:lang w:val="en-US" w:eastAsia="zh-CN"/>
              </w:rPr>
            </w:pPr>
          </w:p>
          <w:p w14:paraId="2BA567E7">
            <w:pPr>
              <w:keepNext w:val="0"/>
              <w:keepLines w:val="0"/>
              <w:suppressLineNumbers w:val="0"/>
              <w:spacing w:before="0" w:beforeAutospacing="0" w:after="0" w:afterAutospacing="0"/>
              <w:ind w:left="0" w:right="0"/>
              <w:rPr>
                <w:rFonts w:hint="eastAsia" w:cs="Times New Roman"/>
                <w:lang w:val="en-US" w:eastAsia="zh-CN"/>
              </w:rPr>
            </w:pPr>
          </w:p>
          <w:p w14:paraId="34BD8A4A">
            <w:pPr>
              <w:keepNext w:val="0"/>
              <w:keepLines w:val="0"/>
              <w:suppressLineNumbers w:val="0"/>
              <w:spacing w:before="0" w:beforeAutospacing="0" w:after="0" w:afterAutospacing="0"/>
              <w:ind w:left="0" w:right="0"/>
              <w:rPr>
                <w:rFonts w:hint="eastAsia" w:cs="Times New Roman"/>
                <w:lang w:val="en-US" w:eastAsia="zh-CN"/>
              </w:rPr>
            </w:pPr>
          </w:p>
          <w:p w14:paraId="6C4AD6AC">
            <w:pPr>
              <w:keepNext w:val="0"/>
              <w:keepLines w:val="0"/>
              <w:suppressLineNumbers w:val="0"/>
              <w:spacing w:before="0" w:beforeAutospacing="0" w:after="0" w:afterAutospacing="0"/>
              <w:ind w:left="0" w:right="0"/>
              <w:rPr>
                <w:rFonts w:hint="eastAsia" w:cs="Times New Roman"/>
                <w:lang w:val="en-US" w:eastAsia="zh-CN"/>
              </w:rPr>
            </w:pPr>
          </w:p>
          <w:p w14:paraId="7DBFCB48">
            <w:pPr>
              <w:keepNext w:val="0"/>
              <w:keepLines w:val="0"/>
              <w:suppressLineNumbers w:val="0"/>
              <w:spacing w:before="0" w:beforeAutospacing="0" w:after="0" w:afterAutospacing="0"/>
              <w:ind w:left="0" w:right="0"/>
              <w:rPr>
                <w:rFonts w:hint="eastAsia" w:cs="Times New Roman"/>
                <w:lang w:val="en-US" w:eastAsia="zh-CN"/>
              </w:rPr>
            </w:pPr>
          </w:p>
          <w:p w14:paraId="53E620FA">
            <w:pPr>
              <w:keepNext w:val="0"/>
              <w:keepLines w:val="0"/>
              <w:suppressLineNumbers w:val="0"/>
              <w:spacing w:before="0" w:beforeAutospacing="0" w:after="0" w:afterAutospacing="0"/>
              <w:ind w:left="0" w:right="0"/>
              <w:rPr>
                <w:rFonts w:hint="eastAsia" w:cs="Times New Roman"/>
                <w:lang w:val="en-US" w:eastAsia="zh-CN"/>
              </w:rPr>
            </w:pPr>
          </w:p>
          <w:p w14:paraId="1DE0E562">
            <w:pPr>
              <w:keepNext w:val="0"/>
              <w:keepLines w:val="0"/>
              <w:suppressLineNumbers w:val="0"/>
              <w:spacing w:before="0" w:beforeAutospacing="0" w:after="0" w:afterAutospacing="0"/>
              <w:ind w:left="0" w:right="0"/>
              <w:rPr>
                <w:rFonts w:hint="eastAsia" w:cs="Times New Roman"/>
                <w:lang w:val="en-US" w:eastAsia="zh-CN"/>
              </w:rPr>
            </w:pPr>
          </w:p>
          <w:p w14:paraId="782788E6">
            <w:pPr>
              <w:keepNext w:val="0"/>
              <w:keepLines w:val="0"/>
              <w:suppressLineNumbers w:val="0"/>
              <w:spacing w:before="0" w:beforeAutospacing="0" w:after="0" w:afterAutospacing="0"/>
              <w:ind w:left="0" w:right="0"/>
              <w:rPr>
                <w:rFonts w:hint="eastAsia" w:cs="Times New Roman"/>
                <w:lang w:val="en-US" w:eastAsia="zh-CN"/>
              </w:rPr>
            </w:pPr>
          </w:p>
          <w:p w14:paraId="287001DD">
            <w:pPr>
              <w:keepNext w:val="0"/>
              <w:keepLines w:val="0"/>
              <w:suppressLineNumbers w:val="0"/>
              <w:spacing w:before="0" w:beforeAutospacing="0" w:after="0" w:afterAutospacing="0"/>
              <w:ind w:left="0" w:right="0"/>
              <w:rPr>
                <w:rFonts w:hint="eastAsia" w:cs="Times New Roman"/>
                <w:lang w:val="en-US" w:eastAsia="zh-CN"/>
              </w:rPr>
            </w:pPr>
          </w:p>
          <w:p w14:paraId="63207A4E">
            <w:pPr>
              <w:keepNext w:val="0"/>
              <w:keepLines w:val="0"/>
              <w:suppressLineNumbers w:val="0"/>
              <w:spacing w:before="0" w:beforeAutospacing="0" w:after="0" w:afterAutospacing="0"/>
              <w:ind w:left="0" w:right="0"/>
              <w:rPr>
                <w:rFonts w:hint="eastAsia" w:cs="Times New Roman"/>
                <w:lang w:val="en-US" w:eastAsia="zh-CN"/>
              </w:rPr>
            </w:pPr>
          </w:p>
          <w:p w14:paraId="7CAE89B6">
            <w:pPr>
              <w:keepNext w:val="0"/>
              <w:keepLines w:val="0"/>
              <w:suppressLineNumbers w:val="0"/>
              <w:spacing w:before="0" w:beforeAutospacing="0" w:after="0" w:afterAutospacing="0"/>
              <w:ind w:left="0" w:right="0"/>
              <w:rPr>
                <w:rFonts w:hint="eastAsia" w:cs="Times New Roman"/>
                <w:lang w:val="en-US" w:eastAsia="zh-CN"/>
              </w:rPr>
            </w:pPr>
          </w:p>
          <w:p w14:paraId="0BD50562">
            <w:pPr>
              <w:keepNext w:val="0"/>
              <w:keepLines w:val="0"/>
              <w:suppressLineNumbers w:val="0"/>
              <w:spacing w:before="0" w:beforeAutospacing="0" w:after="0" w:afterAutospacing="0"/>
              <w:ind w:left="0" w:right="0"/>
              <w:rPr>
                <w:rFonts w:hint="eastAsia" w:cs="Times New Roman"/>
                <w:lang w:val="en-US" w:eastAsia="zh-CN"/>
              </w:rPr>
            </w:pPr>
          </w:p>
          <w:p w14:paraId="165CBA00">
            <w:pPr>
              <w:keepNext w:val="0"/>
              <w:keepLines w:val="0"/>
              <w:suppressLineNumbers w:val="0"/>
              <w:spacing w:before="0" w:beforeAutospacing="0" w:after="0" w:afterAutospacing="0"/>
              <w:ind w:left="0" w:right="0"/>
              <w:rPr>
                <w:rFonts w:hint="eastAsia" w:cs="Times New Roman"/>
                <w:lang w:val="en-US" w:eastAsia="zh-CN"/>
              </w:rPr>
            </w:pPr>
          </w:p>
          <w:p w14:paraId="16110D13">
            <w:pPr>
              <w:keepNext w:val="0"/>
              <w:keepLines w:val="0"/>
              <w:suppressLineNumbers w:val="0"/>
              <w:spacing w:before="0" w:beforeAutospacing="0" w:after="0" w:afterAutospacing="0"/>
              <w:ind w:left="0" w:right="0"/>
              <w:rPr>
                <w:rFonts w:hint="eastAsia" w:cs="Times New Roman"/>
                <w:lang w:val="en-US" w:eastAsia="zh-CN"/>
              </w:rPr>
            </w:pPr>
          </w:p>
          <w:p w14:paraId="01FEF285">
            <w:pPr>
              <w:keepNext w:val="0"/>
              <w:keepLines w:val="0"/>
              <w:suppressLineNumbers w:val="0"/>
              <w:spacing w:before="0" w:beforeAutospacing="0" w:after="0" w:afterAutospacing="0"/>
              <w:ind w:left="0" w:right="0"/>
              <w:rPr>
                <w:rFonts w:hint="eastAsia" w:cs="Times New Roman"/>
                <w:lang w:val="en-US" w:eastAsia="zh-CN"/>
              </w:rPr>
            </w:pPr>
          </w:p>
          <w:p w14:paraId="30A010F2">
            <w:pPr>
              <w:keepNext w:val="0"/>
              <w:keepLines w:val="0"/>
              <w:suppressLineNumbers w:val="0"/>
              <w:spacing w:before="0" w:beforeAutospacing="0" w:after="0" w:afterAutospacing="0"/>
              <w:ind w:left="0" w:right="0"/>
              <w:rPr>
                <w:rFonts w:hint="eastAsia" w:cs="Times New Roman"/>
                <w:lang w:val="en-US" w:eastAsia="zh-CN"/>
              </w:rPr>
            </w:pPr>
          </w:p>
          <w:p w14:paraId="75F55916">
            <w:pPr>
              <w:keepNext w:val="0"/>
              <w:keepLines w:val="0"/>
              <w:suppressLineNumbers w:val="0"/>
              <w:spacing w:before="0" w:beforeAutospacing="0" w:after="0" w:afterAutospacing="0"/>
              <w:ind w:left="0" w:right="0"/>
              <w:rPr>
                <w:rFonts w:hint="eastAsia" w:cs="Times New Roman"/>
                <w:lang w:val="en-US" w:eastAsia="zh-CN"/>
              </w:rPr>
            </w:pPr>
          </w:p>
          <w:p w14:paraId="4FC34316">
            <w:pPr>
              <w:keepNext w:val="0"/>
              <w:keepLines w:val="0"/>
              <w:suppressLineNumbers w:val="0"/>
              <w:spacing w:before="0" w:beforeAutospacing="0" w:after="0" w:afterAutospacing="0"/>
              <w:ind w:left="0" w:right="0"/>
              <w:rPr>
                <w:rFonts w:hint="eastAsia" w:cs="Times New Roman"/>
                <w:lang w:val="en-US" w:eastAsia="zh-CN"/>
              </w:rPr>
            </w:pPr>
          </w:p>
          <w:p w14:paraId="27D9733A">
            <w:pPr>
              <w:keepNext w:val="0"/>
              <w:keepLines w:val="0"/>
              <w:suppressLineNumbers w:val="0"/>
              <w:spacing w:before="0" w:beforeAutospacing="0" w:after="0" w:afterAutospacing="0"/>
              <w:ind w:left="0" w:right="0"/>
              <w:rPr>
                <w:rFonts w:hint="eastAsia" w:cs="Times New Roman"/>
                <w:lang w:val="en-US" w:eastAsia="zh-CN"/>
              </w:rPr>
            </w:pPr>
          </w:p>
          <w:p w14:paraId="6F4A062F">
            <w:pPr>
              <w:keepNext w:val="0"/>
              <w:keepLines w:val="0"/>
              <w:suppressLineNumbers w:val="0"/>
              <w:spacing w:before="0" w:beforeAutospacing="0" w:after="0" w:afterAutospacing="0"/>
              <w:ind w:left="0" w:right="0"/>
              <w:rPr>
                <w:rFonts w:hint="eastAsia" w:cs="Times New Roman"/>
                <w:lang w:val="en-US" w:eastAsia="zh-CN"/>
              </w:rPr>
            </w:pPr>
          </w:p>
          <w:p w14:paraId="457E7299">
            <w:pPr>
              <w:keepNext w:val="0"/>
              <w:keepLines w:val="0"/>
              <w:suppressLineNumbers w:val="0"/>
              <w:spacing w:before="0" w:beforeAutospacing="0" w:after="0" w:afterAutospacing="0"/>
              <w:ind w:left="0" w:right="0"/>
              <w:rPr>
                <w:rFonts w:hint="eastAsia" w:cs="Times New Roman"/>
                <w:lang w:val="en-US" w:eastAsia="zh-CN"/>
              </w:rPr>
            </w:pPr>
          </w:p>
          <w:p w14:paraId="3A56821F">
            <w:pPr>
              <w:keepNext w:val="0"/>
              <w:keepLines w:val="0"/>
              <w:suppressLineNumbers w:val="0"/>
              <w:spacing w:before="0" w:beforeAutospacing="0" w:after="0" w:afterAutospacing="0"/>
              <w:ind w:left="0" w:right="0"/>
              <w:rPr>
                <w:rFonts w:hint="eastAsia" w:cs="Times New Roman"/>
                <w:lang w:val="en-US" w:eastAsia="zh-CN"/>
              </w:rPr>
            </w:pPr>
          </w:p>
          <w:p w14:paraId="47AC1E00">
            <w:pPr>
              <w:keepNext w:val="0"/>
              <w:keepLines w:val="0"/>
              <w:suppressLineNumbers w:val="0"/>
              <w:spacing w:before="0" w:beforeAutospacing="0" w:after="0" w:afterAutospacing="0"/>
              <w:ind w:left="0" w:right="0"/>
              <w:rPr>
                <w:rFonts w:hint="eastAsia" w:cs="Times New Roman"/>
                <w:lang w:val="en-US" w:eastAsia="zh-CN"/>
              </w:rPr>
            </w:pPr>
          </w:p>
          <w:p w14:paraId="4F245272">
            <w:pPr>
              <w:keepNext w:val="0"/>
              <w:keepLines w:val="0"/>
              <w:suppressLineNumbers w:val="0"/>
              <w:spacing w:before="0" w:beforeAutospacing="0" w:after="0" w:afterAutospacing="0"/>
              <w:ind w:left="0" w:right="0"/>
              <w:rPr>
                <w:rFonts w:hint="eastAsia" w:cs="Times New Roman"/>
                <w:lang w:val="en-US" w:eastAsia="zh-CN"/>
              </w:rPr>
            </w:pPr>
          </w:p>
          <w:p w14:paraId="6441A799">
            <w:pPr>
              <w:keepNext w:val="0"/>
              <w:keepLines w:val="0"/>
              <w:suppressLineNumbers w:val="0"/>
              <w:spacing w:before="0" w:beforeAutospacing="0" w:after="0" w:afterAutospacing="0"/>
              <w:ind w:left="0" w:right="0"/>
              <w:rPr>
                <w:rFonts w:hint="eastAsia" w:ascii="Times New Roman" w:hAnsi="Times New Roman" w:eastAsia="宋体" w:cs="Times New Roman"/>
                <w:lang w:val="en-US" w:eastAsia="zh-CN"/>
              </w:rPr>
            </w:pPr>
          </w:p>
        </w:tc>
      </w:tr>
    </w:tbl>
    <w:p w14:paraId="73E501DC">
      <w:pPr>
        <w:keepNext w:val="0"/>
        <w:keepLines w:val="0"/>
        <w:pageBreakBefore w:val="0"/>
        <w:widowControl w:val="0"/>
        <w:kinsoku/>
        <w:wordWrap/>
        <w:overflowPunct/>
        <w:topLinePunct w:val="0"/>
        <w:autoSpaceDE/>
        <w:autoSpaceDN/>
        <w:bidi w:val="0"/>
        <w:adjustRightInd w:val="0"/>
        <w:snapToGrid w:val="0"/>
        <w:spacing w:line="0" w:lineRule="atLeast"/>
        <w:jc w:val="both"/>
        <w:textAlignment w:val="auto"/>
        <w:rPr>
          <w:rFonts w:hint="default" w:ascii="Times New Roman" w:hAnsi="Times New Roman" w:cs="Times New Roman"/>
          <w:bCs/>
          <w:color w:val="auto"/>
          <w:sz w:val="4"/>
          <w:szCs w:val="4"/>
          <w:highlight w:val="none"/>
        </w:rPr>
      </w:pPr>
    </w:p>
    <w:p w14:paraId="0DC597A8">
      <w:pPr>
        <w:keepNext w:val="0"/>
        <w:keepLines w:val="0"/>
        <w:pageBreakBefore w:val="0"/>
        <w:widowControl w:val="0"/>
        <w:kinsoku/>
        <w:wordWrap/>
        <w:overflowPunct/>
        <w:topLinePunct w:val="0"/>
        <w:autoSpaceDE/>
        <w:autoSpaceDN/>
        <w:bidi w:val="0"/>
        <w:adjustRightInd w:val="0"/>
        <w:snapToGrid w:val="0"/>
        <w:spacing w:line="0" w:lineRule="atLeast"/>
        <w:jc w:val="center"/>
        <w:textAlignment w:val="auto"/>
        <w:rPr>
          <w:rFonts w:hint="default" w:ascii="Times New Roman" w:hAnsi="Times New Roman" w:cs="Times New Roman"/>
          <w:bCs/>
          <w:color w:val="auto"/>
          <w:sz w:val="4"/>
          <w:szCs w:val="4"/>
          <w:highlight w:val="none"/>
        </w:rPr>
        <w:sectPr>
          <w:pgSz w:w="11907" w:h="16840"/>
          <w:pgMar w:top="1417" w:right="1134" w:bottom="1417" w:left="1134"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3A5CA470">
      <w:pPr>
        <w:pStyle w:val="32"/>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17" w:name="_Toc20529"/>
      <w:bookmarkStart w:id="18" w:name="_Toc14205"/>
      <w:bookmarkStart w:id="19" w:name="_Toc15646"/>
      <w:r>
        <w:rPr>
          <w:rFonts w:hint="default" w:ascii="Times New Roman" w:hAnsi="Times New Roman" w:eastAsia="黑体" w:cs="Times New Roman"/>
          <w:snapToGrid w:val="0"/>
          <w:color w:val="auto"/>
          <w:sz w:val="30"/>
          <w:szCs w:val="30"/>
          <w:highlight w:val="none"/>
        </w:rPr>
        <w:t>五、</w:t>
      </w:r>
      <w:bookmarkStart w:id="20" w:name="_Hlk54167917"/>
      <w:r>
        <w:rPr>
          <w:rFonts w:hint="default" w:ascii="Times New Roman" w:hAnsi="Times New Roman" w:eastAsia="黑体" w:cs="Times New Roman"/>
          <w:snapToGrid w:val="0"/>
          <w:color w:val="auto"/>
          <w:sz w:val="30"/>
          <w:szCs w:val="30"/>
          <w:highlight w:val="none"/>
        </w:rPr>
        <w:t>环境保护措施监督检查清单</w:t>
      </w:r>
      <w:bookmarkEnd w:id="17"/>
      <w:bookmarkEnd w:id="18"/>
      <w:bookmarkEnd w:id="20"/>
    </w:p>
    <w:tbl>
      <w:tblPr>
        <w:tblStyle w:val="36"/>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52"/>
        <w:gridCol w:w="700"/>
        <w:gridCol w:w="1057"/>
        <w:gridCol w:w="1444"/>
        <w:gridCol w:w="2242"/>
        <w:gridCol w:w="2"/>
        <w:gridCol w:w="3158"/>
      </w:tblGrid>
      <w:tr w14:paraId="29A94E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2337794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eastAsia="宋体" w:cs="Times New Roman"/>
                <w:b/>
                <w:bCs/>
                <w:color w:val="auto"/>
                <w:sz w:val="24"/>
                <w:szCs w:val="24"/>
                <w:highlight w:val="none"/>
              </w:rPr>
            </w:pPr>
            <w:bookmarkStart w:id="21" w:name="_Toc31301"/>
            <w:r>
              <w:rPr>
                <w:rFonts w:hint="default" w:ascii="Times New Roman" w:hAnsi="Times New Roman" w:eastAsia="宋体" w:cs="Times New Roman"/>
                <w:b/>
                <w:bCs/>
                <w:color w:val="auto"/>
                <w:sz w:val="24"/>
                <w:szCs w:val="24"/>
                <w:highlight w:val="none"/>
              </w:rPr>
              <w:t>内容要素</w:t>
            </w:r>
          </w:p>
        </w:tc>
        <w:tc>
          <w:tcPr>
            <w:tcW w:w="891" w:type="pct"/>
            <w:gridSpan w:val="2"/>
            <w:tcBorders>
              <w:tl2br w:val="nil"/>
              <w:tr2bl w:val="nil"/>
            </w:tcBorders>
            <w:noWrap w:val="0"/>
            <w:vAlign w:val="center"/>
          </w:tcPr>
          <w:p w14:paraId="662B538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排放口</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编号、名称</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/污染源</w:t>
            </w:r>
          </w:p>
        </w:tc>
        <w:tc>
          <w:tcPr>
            <w:tcW w:w="732" w:type="pct"/>
            <w:tcBorders>
              <w:tl2br w:val="nil"/>
              <w:tr2bl w:val="nil"/>
            </w:tcBorders>
            <w:noWrap w:val="0"/>
            <w:vAlign w:val="center"/>
          </w:tcPr>
          <w:p w14:paraId="193591F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w:t>
            </w:r>
          </w:p>
          <w:p w14:paraId="6F71136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w:t>
            </w:r>
          </w:p>
        </w:tc>
        <w:tc>
          <w:tcPr>
            <w:tcW w:w="1137" w:type="pct"/>
            <w:tcBorders>
              <w:tl2br w:val="nil"/>
              <w:tr2bl w:val="nil"/>
            </w:tcBorders>
            <w:noWrap w:val="0"/>
            <w:vAlign w:val="center"/>
          </w:tcPr>
          <w:p w14:paraId="13E4337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环境保护措施</w:t>
            </w:r>
          </w:p>
        </w:tc>
        <w:tc>
          <w:tcPr>
            <w:tcW w:w="1603" w:type="pct"/>
            <w:gridSpan w:val="2"/>
            <w:tcBorders>
              <w:tl2br w:val="nil"/>
              <w:tr2bl w:val="nil"/>
            </w:tcBorders>
            <w:noWrap w:val="0"/>
            <w:vAlign w:val="center"/>
          </w:tcPr>
          <w:p w14:paraId="65CBDDA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执行标准</w:t>
            </w:r>
          </w:p>
        </w:tc>
      </w:tr>
      <w:tr w14:paraId="022847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vMerge w:val="restart"/>
            <w:tcBorders>
              <w:tl2br w:val="nil"/>
              <w:tr2bl w:val="nil"/>
            </w:tcBorders>
            <w:noWrap w:val="0"/>
            <w:vAlign w:val="center"/>
          </w:tcPr>
          <w:p w14:paraId="4673B45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大气环境</w:t>
            </w:r>
          </w:p>
        </w:tc>
        <w:tc>
          <w:tcPr>
            <w:tcW w:w="355" w:type="pct"/>
            <w:tcBorders>
              <w:tl2br w:val="nil"/>
              <w:tr2bl w:val="nil"/>
            </w:tcBorders>
            <w:noWrap w:val="0"/>
            <w:vAlign w:val="center"/>
          </w:tcPr>
          <w:p w14:paraId="16F0005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有</w:t>
            </w:r>
            <w:r>
              <w:rPr>
                <w:rFonts w:hint="default" w:ascii="Times New Roman" w:hAnsi="Times New Roman" w:eastAsia="宋体" w:cs="Times New Roman"/>
                <w:color w:val="auto"/>
                <w:sz w:val="24"/>
                <w:szCs w:val="24"/>
              </w:rPr>
              <w:t>组织</w:t>
            </w:r>
          </w:p>
        </w:tc>
        <w:tc>
          <w:tcPr>
            <w:tcW w:w="536" w:type="pct"/>
            <w:tcBorders>
              <w:tl2br w:val="nil"/>
              <w:tr2bl w:val="nil"/>
            </w:tcBorders>
            <w:noWrap w:val="0"/>
            <w:vAlign w:val="center"/>
          </w:tcPr>
          <w:p w14:paraId="20059FC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w:t>
            </w:r>
          </w:p>
        </w:tc>
        <w:tc>
          <w:tcPr>
            <w:tcW w:w="732" w:type="pct"/>
            <w:tcBorders>
              <w:bottom w:val="single" w:color="auto" w:sz="4" w:space="0"/>
              <w:tl2br w:val="nil"/>
              <w:tr2bl w:val="nil"/>
            </w:tcBorders>
            <w:shd w:val="clear" w:color="auto" w:fill="auto"/>
            <w:noWrap w:val="0"/>
            <w:vAlign w:val="center"/>
          </w:tcPr>
          <w:p w14:paraId="558B61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颗粒物</w:t>
            </w:r>
          </w:p>
        </w:tc>
        <w:tc>
          <w:tcPr>
            <w:tcW w:w="1137" w:type="pct"/>
            <w:tcBorders>
              <w:tl2br w:val="nil"/>
              <w:tr2bl w:val="nil"/>
            </w:tcBorders>
            <w:shd w:val="clear" w:color="auto" w:fill="auto"/>
            <w:noWrap w:val="0"/>
            <w:vAlign w:val="center"/>
          </w:tcPr>
          <w:p w14:paraId="12E5323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经管道送入布袋除尘器处理后，由15m高排气筒有组织排放</w:t>
            </w:r>
          </w:p>
        </w:tc>
        <w:tc>
          <w:tcPr>
            <w:tcW w:w="1603" w:type="pct"/>
            <w:gridSpan w:val="2"/>
            <w:tcBorders>
              <w:bottom w:val="single" w:color="auto" w:sz="4" w:space="0"/>
              <w:tl2br w:val="nil"/>
              <w:tr2bl w:val="nil"/>
            </w:tcBorders>
            <w:noWrap w:val="0"/>
            <w:vAlign w:val="center"/>
          </w:tcPr>
          <w:p w14:paraId="6241B473">
            <w:pPr>
              <w:keepNext w:val="0"/>
              <w:keepLines w:val="0"/>
              <w:pageBreakBefore w:val="0"/>
              <w:widowControl w:val="0"/>
              <w:suppressLineNumbers w:val="0"/>
              <w:kinsoku/>
              <w:wordWrap/>
              <w:overflowPunct/>
              <w:topLinePunct w:val="0"/>
              <w:bidi w:val="0"/>
              <w:spacing w:before="0" w:beforeAutospacing="0" w:after="0" w:afterAutospacing="0"/>
              <w:ind w:left="-38" w:leftChars="-18" w:right="-2" w:rightChars="-1" w:firstLine="26" w:firstLineChars="11"/>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山东省地方标准《区域性大气污染物综合排放标准》（DB37/2376-2019）表1重点控制区标准限值</w:t>
            </w:r>
          </w:p>
        </w:tc>
      </w:tr>
      <w:tr w14:paraId="3C9833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35" w:type="pct"/>
            <w:vMerge w:val="continue"/>
            <w:tcBorders>
              <w:tl2br w:val="nil"/>
              <w:tr2bl w:val="nil"/>
            </w:tcBorders>
            <w:noWrap w:val="0"/>
            <w:vAlign w:val="center"/>
          </w:tcPr>
          <w:p w14:paraId="2AC60A7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tcBorders>
              <w:top w:val="single" w:color="auto" w:sz="4" w:space="0"/>
              <w:tl2br w:val="nil"/>
              <w:tr2bl w:val="nil"/>
            </w:tcBorders>
            <w:noWrap w:val="0"/>
            <w:vAlign w:val="center"/>
          </w:tcPr>
          <w:p w14:paraId="65DCB56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无组织</w:t>
            </w:r>
          </w:p>
        </w:tc>
        <w:tc>
          <w:tcPr>
            <w:tcW w:w="732" w:type="pct"/>
            <w:tcBorders>
              <w:top w:val="single" w:color="auto" w:sz="4" w:space="0"/>
              <w:bottom w:val="single" w:color="auto" w:sz="4" w:space="0"/>
              <w:tl2br w:val="nil"/>
              <w:tr2bl w:val="nil"/>
            </w:tcBorders>
            <w:noWrap w:val="0"/>
            <w:vAlign w:val="center"/>
          </w:tcPr>
          <w:p w14:paraId="529C19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颗粒物</w:t>
            </w:r>
          </w:p>
        </w:tc>
        <w:tc>
          <w:tcPr>
            <w:tcW w:w="1137" w:type="pct"/>
            <w:tcBorders>
              <w:top w:val="single" w:color="auto" w:sz="4" w:space="0"/>
              <w:tl2br w:val="nil"/>
              <w:tr2bl w:val="nil"/>
            </w:tcBorders>
            <w:noWrap w:val="0"/>
            <w:vAlign w:val="center"/>
          </w:tcPr>
          <w:p w14:paraId="5F916247">
            <w:pPr>
              <w:keepNext w:val="0"/>
              <w:keepLines w:val="0"/>
              <w:pageBreakBefore w:val="0"/>
              <w:widowControl w:val="0"/>
              <w:suppressLineNumbers w:val="0"/>
              <w:kinsoku/>
              <w:wordWrap/>
              <w:overflowPunct/>
              <w:topLinePunct w:val="0"/>
              <w:bidi w:val="0"/>
              <w:spacing w:before="0" w:beforeAutospacing="0" w:after="0" w:afterAutospacing="0"/>
              <w:ind w:left="-38" w:leftChars="-18" w:right="-2" w:rightChars="-1" w:firstLine="26" w:firstLineChars="11"/>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厂房阻隔、厂区绿化</w:t>
            </w:r>
          </w:p>
        </w:tc>
        <w:tc>
          <w:tcPr>
            <w:tcW w:w="1603" w:type="pct"/>
            <w:gridSpan w:val="2"/>
            <w:tcBorders>
              <w:top w:val="single" w:color="auto" w:sz="4" w:space="0"/>
              <w:tl2br w:val="nil"/>
              <w:tr2bl w:val="nil"/>
            </w:tcBorders>
            <w:noWrap w:val="0"/>
            <w:vAlign w:val="center"/>
          </w:tcPr>
          <w:p w14:paraId="7624D95F">
            <w:pPr>
              <w:keepNext w:val="0"/>
              <w:keepLines w:val="0"/>
              <w:pageBreakBefore w:val="0"/>
              <w:widowControl w:val="0"/>
              <w:suppressLineNumbers w:val="0"/>
              <w:kinsoku/>
              <w:wordWrap/>
              <w:overflowPunct/>
              <w:topLinePunct w:val="0"/>
              <w:bidi w:val="0"/>
              <w:spacing w:before="0" w:beforeAutospacing="0" w:after="0" w:afterAutospacing="0"/>
              <w:ind w:left="-38" w:leftChars="-18" w:right="-2" w:rightChars="-1" w:firstLine="26" w:firstLineChars="11"/>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GB" w:eastAsia="zh-CN"/>
              </w:rPr>
              <w:t>《大气污染物综合排放标准》 (GB16297-1996)表2中的无组织排放监控浓度限值</w:t>
            </w:r>
          </w:p>
        </w:tc>
      </w:tr>
      <w:tr w14:paraId="143AD4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11A2162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地表水环境</w:t>
            </w:r>
          </w:p>
        </w:tc>
        <w:tc>
          <w:tcPr>
            <w:tcW w:w="891" w:type="pct"/>
            <w:gridSpan w:val="2"/>
            <w:tcBorders>
              <w:tl2br w:val="nil"/>
              <w:tr2bl w:val="nil"/>
            </w:tcBorders>
            <w:noWrap w:val="0"/>
            <w:vAlign w:val="center"/>
          </w:tcPr>
          <w:p w14:paraId="2EAFB98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生活污水</w:t>
            </w:r>
          </w:p>
        </w:tc>
        <w:tc>
          <w:tcPr>
            <w:tcW w:w="732" w:type="pct"/>
            <w:tcBorders>
              <w:tl2br w:val="nil"/>
              <w:tr2bl w:val="nil"/>
            </w:tcBorders>
            <w:noWrap w:val="0"/>
            <w:vAlign w:val="center"/>
          </w:tcPr>
          <w:p w14:paraId="58A3304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COD、氨氮</w:t>
            </w:r>
          </w:p>
        </w:tc>
        <w:tc>
          <w:tcPr>
            <w:tcW w:w="1137" w:type="pct"/>
            <w:tcBorders>
              <w:tl2br w:val="nil"/>
              <w:tr2bl w:val="nil"/>
            </w:tcBorders>
            <w:noWrap w:val="0"/>
            <w:vAlign w:val="center"/>
          </w:tcPr>
          <w:p w14:paraId="790F6445">
            <w:pPr>
              <w:pStyle w:val="76"/>
              <w:keepNext w:val="0"/>
              <w:keepLines w:val="0"/>
              <w:pageBreakBefore w:val="0"/>
              <w:widowControl w:val="0"/>
              <w:suppressLineNumbers w:val="0"/>
              <w:shd w:val="clear" w:color="auto" w:fill="auto"/>
              <w:kinsoku/>
              <w:wordWrap/>
              <w:overflowPunct/>
              <w:topLinePunct w:val="0"/>
              <w:bidi w:val="0"/>
              <w:spacing w:before="0" w:beforeAutospacing="0" w:after="0" w:afterAutospacing="0" w:line="340" w:lineRule="exact"/>
              <w:ind w:left="0" w:right="0" w:firstLine="0"/>
              <w:jc w:val="center"/>
              <w:textAlignment w:val="auto"/>
              <w:rPr>
                <w:rFonts w:hint="default" w:ascii="Times New Roman" w:hAnsi="Times New Roman" w:eastAsia="宋体" w:cs="Times New Roman"/>
                <w:color w:val="auto"/>
                <w:kern w:val="2"/>
                <w:sz w:val="24"/>
                <w:szCs w:val="24"/>
                <w:highlight w:val="none"/>
                <w:lang w:eastAsia="zh-CN"/>
              </w:rPr>
            </w:pPr>
            <w:r>
              <w:rPr>
                <w:rFonts w:hint="eastAsia" w:ascii="Times New Roman" w:hAnsi="Times New Roman" w:eastAsia="宋体" w:cs="Times New Roman"/>
                <w:color w:val="auto"/>
                <w:sz w:val="24"/>
                <w:szCs w:val="24"/>
                <w:highlight w:val="none"/>
                <w:lang w:eastAsia="zh-CN"/>
              </w:rPr>
              <w:t>生活污水经化粪池处理后，由环卫部门定期清运</w:t>
            </w:r>
          </w:p>
        </w:tc>
        <w:tc>
          <w:tcPr>
            <w:tcW w:w="1603" w:type="pct"/>
            <w:gridSpan w:val="2"/>
            <w:tcBorders>
              <w:tl2br w:val="nil"/>
              <w:tr2bl w:val="nil"/>
            </w:tcBorders>
            <w:noWrap w:val="0"/>
            <w:vAlign w:val="center"/>
          </w:tcPr>
          <w:p w14:paraId="6160D8BC">
            <w:pPr>
              <w:pStyle w:val="76"/>
              <w:keepNext w:val="0"/>
              <w:keepLines w:val="0"/>
              <w:pageBreakBefore w:val="0"/>
              <w:widowControl w:val="0"/>
              <w:suppressLineNumbers w:val="0"/>
              <w:shd w:val="clear" w:color="auto" w:fill="auto"/>
              <w:kinsoku/>
              <w:wordWrap/>
              <w:overflowPunct/>
              <w:topLinePunct w:val="0"/>
              <w:bidi w:val="0"/>
              <w:spacing w:before="0" w:beforeAutospacing="0" w:after="0" w:afterAutospacing="0" w:line="340" w:lineRule="exact"/>
              <w:ind w:left="0" w:right="0" w:firstLine="0"/>
              <w:jc w:val="center"/>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w:t>
            </w:r>
          </w:p>
        </w:tc>
      </w:tr>
      <w:tr w14:paraId="4A1C62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79F8644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声环境</w:t>
            </w:r>
          </w:p>
        </w:tc>
        <w:tc>
          <w:tcPr>
            <w:tcW w:w="891" w:type="pct"/>
            <w:gridSpan w:val="2"/>
            <w:tcBorders>
              <w:right w:val="single" w:color="auto" w:sz="4" w:space="0"/>
              <w:tl2br w:val="nil"/>
              <w:tr2bl w:val="nil"/>
            </w:tcBorders>
            <w:noWrap w:val="0"/>
            <w:vAlign w:val="center"/>
          </w:tcPr>
          <w:p w14:paraId="494906C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生产过程中各机械设备</w:t>
            </w:r>
          </w:p>
        </w:tc>
        <w:tc>
          <w:tcPr>
            <w:tcW w:w="732" w:type="pct"/>
            <w:tcBorders>
              <w:left w:val="single" w:color="auto" w:sz="4" w:space="0"/>
              <w:right w:val="single" w:color="auto" w:sz="4" w:space="0"/>
              <w:tl2br w:val="nil"/>
              <w:tr2bl w:val="nil"/>
            </w:tcBorders>
            <w:noWrap w:val="0"/>
            <w:vAlign w:val="center"/>
          </w:tcPr>
          <w:p w14:paraId="7736308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噪声</w:t>
            </w:r>
          </w:p>
        </w:tc>
        <w:tc>
          <w:tcPr>
            <w:tcW w:w="1137" w:type="pct"/>
            <w:tcBorders>
              <w:left w:val="single" w:color="auto" w:sz="4" w:space="0"/>
              <w:right w:val="single" w:color="auto" w:sz="4" w:space="0"/>
              <w:tl2br w:val="nil"/>
              <w:tr2bl w:val="nil"/>
            </w:tcBorders>
            <w:noWrap w:val="0"/>
            <w:vAlign w:val="center"/>
          </w:tcPr>
          <w:p w14:paraId="0ABBD6E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基础减振、建筑隔声</w:t>
            </w:r>
            <w:r>
              <w:rPr>
                <w:rFonts w:hint="default" w:ascii="Times New Roman" w:hAnsi="Times New Roman" w:eastAsia="宋体" w:cs="Times New Roman"/>
                <w:color w:val="auto"/>
                <w:sz w:val="24"/>
                <w:szCs w:val="24"/>
                <w:highlight w:val="none"/>
                <w:lang w:val="en-US" w:eastAsia="zh-CN"/>
              </w:rPr>
              <w:t>等</w:t>
            </w:r>
          </w:p>
        </w:tc>
        <w:tc>
          <w:tcPr>
            <w:tcW w:w="1603" w:type="pct"/>
            <w:gridSpan w:val="2"/>
            <w:tcBorders>
              <w:left w:val="single" w:color="auto" w:sz="4" w:space="0"/>
              <w:tl2br w:val="nil"/>
              <w:tr2bl w:val="nil"/>
            </w:tcBorders>
            <w:noWrap w:val="0"/>
            <w:vAlign w:val="center"/>
          </w:tcPr>
          <w:p w14:paraId="6EFC1DDC">
            <w:pPr>
              <w:keepNext w:val="0"/>
              <w:keepLines w:val="0"/>
              <w:pageBreakBefore w:val="0"/>
              <w:widowControl w:val="0"/>
              <w:suppressLineNumbers w:val="0"/>
              <w:kinsoku/>
              <w:wordWrap/>
              <w:overflowPunct/>
              <w:topLinePunct w:val="0"/>
              <w:bidi w:val="0"/>
              <w:spacing w:before="0" w:beforeAutospacing="0" w:after="0" w:afterAutospacing="0"/>
              <w:ind w:left="-38" w:leftChars="-18" w:right="-2" w:rightChars="-1" w:firstLine="26" w:firstLineChars="11"/>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《工业企业厂界环境噪声排放标准》（GB12348-2008）</w:t>
            </w:r>
            <w:r>
              <w:rPr>
                <w:rFonts w:hint="eastAsia" w:cs="Times New Roman"/>
                <w:color w:val="auto"/>
                <w:sz w:val="24"/>
                <w:szCs w:val="24"/>
                <w:highlight w:val="none"/>
                <w:lang w:val="en-US" w:eastAsia="zh-CN"/>
              </w:rPr>
              <w:t>2类</w:t>
            </w:r>
            <w:r>
              <w:rPr>
                <w:rFonts w:hint="default" w:ascii="Times New Roman" w:hAnsi="Times New Roman" w:eastAsia="宋体" w:cs="Times New Roman"/>
                <w:color w:val="auto"/>
                <w:sz w:val="24"/>
                <w:szCs w:val="24"/>
                <w:highlight w:val="none"/>
                <w:lang w:val="en-US" w:eastAsia="zh-CN"/>
              </w:rPr>
              <w:t>标准</w:t>
            </w:r>
          </w:p>
        </w:tc>
      </w:tr>
      <w:tr w14:paraId="25CB87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012BE60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电磁辐射</w:t>
            </w:r>
          </w:p>
        </w:tc>
        <w:tc>
          <w:tcPr>
            <w:tcW w:w="4364" w:type="pct"/>
            <w:gridSpan w:val="6"/>
            <w:tcBorders>
              <w:tl2br w:val="nil"/>
              <w:tr2bl w:val="nil"/>
            </w:tcBorders>
            <w:noWrap w:val="0"/>
            <w:vAlign w:val="center"/>
          </w:tcPr>
          <w:p w14:paraId="6EFC62E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项目不涉及电磁辐射影响</w:t>
            </w:r>
          </w:p>
        </w:tc>
      </w:tr>
      <w:tr w14:paraId="75AD20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vMerge w:val="restart"/>
            <w:tcBorders>
              <w:tl2br w:val="nil"/>
              <w:tr2bl w:val="nil"/>
            </w:tcBorders>
            <w:noWrap w:val="0"/>
            <w:vAlign w:val="center"/>
          </w:tcPr>
          <w:p w14:paraId="2A37547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固体废物</w:t>
            </w:r>
          </w:p>
        </w:tc>
        <w:tc>
          <w:tcPr>
            <w:tcW w:w="891" w:type="pct"/>
            <w:gridSpan w:val="2"/>
            <w:tcBorders>
              <w:right w:val="single" w:color="auto" w:sz="4" w:space="0"/>
              <w:tl2br w:val="nil"/>
              <w:tr2bl w:val="nil"/>
            </w:tcBorders>
            <w:noWrap w:val="0"/>
            <w:vAlign w:val="center"/>
          </w:tcPr>
          <w:p w14:paraId="3DDB3F5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职工生活</w:t>
            </w:r>
          </w:p>
        </w:tc>
        <w:tc>
          <w:tcPr>
            <w:tcW w:w="732" w:type="pct"/>
            <w:tcBorders>
              <w:left w:val="single" w:color="auto" w:sz="4" w:space="0"/>
              <w:right w:val="single" w:color="auto" w:sz="4" w:space="0"/>
              <w:tl2br w:val="nil"/>
              <w:tr2bl w:val="nil"/>
            </w:tcBorders>
            <w:noWrap w:val="0"/>
            <w:vAlign w:val="center"/>
          </w:tcPr>
          <w:p w14:paraId="527482D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生活垃圾</w:t>
            </w:r>
          </w:p>
        </w:tc>
        <w:tc>
          <w:tcPr>
            <w:tcW w:w="1138" w:type="pct"/>
            <w:gridSpan w:val="2"/>
            <w:tcBorders>
              <w:left w:val="single" w:color="auto" w:sz="4" w:space="0"/>
              <w:right w:val="single" w:color="auto" w:sz="4" w:space="0"/>
              <w:tl2br w:val="nil"/>
              <w:tr2bl w:val="nil"/>
            </w:tcBorders>
            <w:noWrap w:val="0"/>
            <w:vAlign w:val="center"/>
          </w:tcPr>
          <w:p w14:paraId="55FB14C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环卫部门定期清运</w:t>
            </w:r>
          </w:p>
        </w:tc>
        <w:tc>
          <w:tcPr>
            <w:tcW w:w="1602" w:type="pct"/>
            <w:tcBorders>
              <w:left w:val="single" w:color="auto" w:sz="4" w:space="0"/>
              <w:tl2br w:val="nil"/>
              <w:tr2bl w:val="nil"/>
            </w:tcBorders>
            <w:noWrap w:val="0"/>
            <w:vAlign w:val="center"/>
          </w:tcPr>
          <w:p w14:paraId="2F24017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w:t>
            </w:r>
          </w:p>
        </w:tc>
      </w:tr>
      <w:tr w14:paraId="2BEBCB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vMerge w:val="continue"/>
            <w:tcBorders>
              <w:tl2br w:val="nil"/>
              <w:tr2bl w:val="nil"/>
            </w:tcBorders>
            <w:noWrap w:val="0"/>
            <w:vAlign w:val="center"/>
          </w:tcPr>
          <w:p w14:paraId="6AD0C3F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tcBorders>
              <w:right w:val="single" w:color="auto" w:sz="4" w:space="0"/>
              <w:tl2br w:val="nil"/>
              <w:tr2bl w:val="nil"/>
            </w:tcBorders>
            <w:noWrap w:val="0"/>
            <w:vAlign w:val="center"/>
          </w:tcPr>
          <w:p w14:paraId="58D8423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w:t>
            </w:r>
          </w:p>
        </w:tc>
        <w:tc>
          <w:tcPr>
            <w:tcW w:w="732" w:type="pct"/>
            <w:tcBorders>
              <w:left w:val="single" w:color="auto" w:sz="4" w:space="0"/>
              <w:right w:val="single" w:color="auto" w:sz="4" w:space="0"/>
              <w:tl2br w:val="nil"/>
              <w:tr2bl w:val="nil"/>
            </w:tcBorders>
            <w:shd w:val="clear" w:color="auto" w:fill="auto"/>
            <w:noWrap w:val="0"/>
            <w:vAlign w:val="center"/>
          </w:tcPr>
          <w:p w14:paraId="7BB2077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布袋除尘器收集粉尘</w:t>
            </w:r>
          </w:p>
        </w:tc>
        <w:tc>
          <w:tcPr>
            <w:tcW w:w="1138" w:type="pct"/>
            <w:gridSpan w:val="2"/>
            <w:tcBorders>
              <w:left w:val="single" w:color="auto" w:sz="4" w:space="0"/>
              <w:right w:val="single" w:color="auto" w:sz="4" w:space="0"/>
              <w:tl2br w:val="nil"/>
              <w:tr2bl w:val="nil"/>
            </w:tcBorders>
            <w:shd w:val="clear" w:color="auto" w:fill="auto"/>
            <w:noWrap w:val="0"/>
            <w:vAlign w:val="center"/>
          </w:tcPr>
          <w:p w14:paraId="31C18D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集中收集，定期回用</w:t>
            </w:r>
          </w:p>
        </w:tc>
        <w:tc>
          <w:tcPr>
            <w:tcW w:w="1602" w:type="pct"/>
            <w:vMerge w:val="restart"/>
            <w:tcBorders>
              <w:left w:val="single" w:color="auto" w:sz="4" w:space="0"/>
              <w:tl2br w:val="nil"/>
              <w:tr2bl w:val="nil"/>
            </w:tcBorders>
            <w:noWrap w:val="0"/>
            <w:vAlign w:val="center"/>
          </w:tcPr>
          <w:p w14:paraId="423CF08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一般工业固体废物贮存参照《中华人民共和国固体废物污染环境防治法》的要求妥善处理，贮存过程应满足相应防渗漏、防雨淋、防扬尘等环境保护要求。</w:t>
            </w:r>
          </w:p>
        </w:tc>
      </w:tr>
      <w:tr w14:paraId="196C6F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7" w:hRule="atLeast"/>
          <w:jc w:val="center"/>
        </w:trPr>
        <w:tc>
          <w:tcPr>
            <w:tcW w:w="635" w:type="pct"/>
            <w:vMerge w:val="continue"/>
            <w:tcBorders>
              <w:tl2br w:val="nil"/>
              <w:tr2bl w:val="nil"/>
            </w:tcBorders>
            <w:noWrap w:val="0"/>
            <w:vAlign w:val="center"/>
          </w:tcPr>
          <w:p w14:paraId="5F35B3E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vMerge w:val="restart"/>
            <w:tcBorders>
              <w:right w:val="single" w:color="auto" w:sz="4" w:space="0"/>
              <w:tl2br w:val="nil"/>
              <w:tr2bl w:val="nil"/>
            </w:tcBorders>
            <w:noWrap w:val="0"/>
            <w:vAlign w:val="center"/>
          </w:tcPr>
          <w:p w14:paraId="0B00E18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de-DE"/>
              </w:rPr>
              <w:t>生产过程</w:t>
            </w:r>
          </w:p>
        </w:tc>
        <w:tc>
          <w:tcPr>
            <w:tcW w:w="732" w:type="pct"/>
            <w:tcBorders>
              <w:left w:val="single" w:color="auto" w:sz="4" w:space="0"/>
              <w:right w:val="single" w:color="auto" w:sz="4" w:space="0"/>
              <w:tl2br w:val="nil"/>
              <w:tr2bl w:val="nil"/>
            </w:tcBorders>
            <w:noWrap w:val="0"/>
            <w:vAlign w:val="center"/>
          </w:tcPr>
          <w:p w14:paraId="658C46D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磁选杂质</w:t>
            </w:r>
          </w:p>
        </w:tc>
        <w:tc>
          <w:tcPr>
            <w:tcW w:w="1138" w:type="pct"/>
            <w:gridSpan w:val="2"/>
            <w:vMerge w:val="restart"/>
            <w:tcBorders>
              <w:left w:val="single" w:color="auto" w:sz="4" w:space="0"/>
              <w:right w:val="single" w:color="auto" w:sz="4" w:space="0"/>
              <w:tl2br w:val="nil"/>
              <w:tr2bl w:val="nil"/>
            </w:tcBorders>
            <w:noWrap w:val="0"/>
            <w:vAlign w:val="center"/>
          </w:tcPr>
          <w:p w14:paraId="3A67724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lang w:val="en-US" w:eastAsia="zh-CN" w:bidi="ar-SA"/>
              </w:rPr>
              <w:t>收集后外售给有处置能力和资质单位处置</w:t>
            </w:r>
          </w:p>
        </w:tc>
        <w:tc>
          <w:tcPr>
            <w:tcW w:w="1602" w:type="pct"/>
            <w:vMerge w:val="continue"/>
            <w:tcBorders>
              <w:left w:val="single" w:color="auto" w:sz="4" w:space="0"/>
              <w:tl2br w:val="nil"/>
              <w:tr2bl w:val="nil"/>
            </w:tcBorders>
            <w:noWrap w:val="0"/>
            <w:vAlign w:val="center"/>
          </w:tcPr>
          <w:p w14:paraId="15E387C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p>
        </w:tc>
      </w:tr>
      <w:tr w14:paraId="404FC5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635" w:type="pct"/>
            <w:vMerge w:val="continue"/>
            <w:tcBorders>
              <w:tl2br w:val="nil"/>
              <w:tr2bl w:val="nil"/>
            </w:tcBorders>
            <w:noWrap w:val="0"/>
            <w:vAlign w:val="center"/>
          </w:tcPr>
          <w:p w14:paraId="3141382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vMerge w:val="continue"/>
            <w:tcBorders>
              <w:bottom w:val="single" w:color="auto" w:sz="4" w:space="0"/>
              <w:right w:val="single" w:color="auto" w:sz="4" w:space="0"/>
              <w:tl2br w:val="nil"/>
              <w:tr2bl w:val="nil"/>
            </w:tcBorders>
            <w:noWrap w:val="0"/>
            <w:vAlign w:val="center"/>
          </w:tcPr>
          <w:p w14:paraId="77403B3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eastAsia="zh-CN"/>
              </w:rPr>
            </w:pPr>
          </w:p>
        </w:tc>
        <w:tc>
          <w:tcPr>
            <w:tcW w:w="732" w:type="pct"/>
            <w:tcBorders>
              <w:left w:val="single" w:color="auto" w:sz="4" w:space="0"/>
              <w:right w:val="single" w:color="auto" w:sz="4" w:space="0"/>
              <w:tl2br w:val="nil"/>
              <w:tr2bl w:val="nil"/>
            </w:tcBorders>
            <w:shd w:val="clear" w:color="auto" w:fill="auto"/>
            <w:noWrap w:val="0"/>
            <w:vAlign w:val="center"/>
          </w:tcPr>
          <w:p w14:paraId="717054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废包装袋</w:t>
            </w:r>
          </w:p>
        </w:tc>
        <w:tc>
          <w:tcPr>
            <w:tcW w:w="1138" w:type="pct"/>
            <w:gridSpan w:val="2"/>
            <w:vMerge w:val="continue"/>
            <w:tcBorders>
              <w:left w:val="single" w:color="auto" w:sz="4" w:space="0"/>
              <w:right w:val="single" w:color="auto" w:sz="4" w:space="0"/>
              <w:tl2br w:val="nil"/>
              <w:tr2bl w:val="nil"/>
            </w:tcBorders>
            <w:noWrap w:val="0"/>
            <w:vAlign w:val="center"/>
          </w:tcPr>
          <w:p w14:paraId="1528DE2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p>
        </w:tc>
        <w:tc>
          <w:tcPr>
            <w:tcW w:w="1602" w:type="pct"/>
            <w:vMerge w:val="continue"/>
            <w:tcBorders>
              <w:left w:val="single" w:color="auto" w:sz="4" w:space="0"/>
              <w:tl2br w:val="nil"/>
              <w:tr2bl w:val="nil"/>
            </w:tcBorders>
            <w:noWrap w:val="0"/>
            <w:vAlign w:val="center"/>
          </w:tcPr>
          <w:p w14:paraId="4C2C43CF">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lang w:eastAsia="zh-CN"/>
              </w:rPr>
            </w:pPr>
          </w:p>
        </w:tc>
      </w:tr>
      <w:tr w14:paraId="22C725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5" w:hRule="atLeast"/>
          <w:jc w:val="center"/>
        </w:trPr>
        <w:tc>
          <w:tcPr>
            <w:tcW w:w="635" w:type="pct"/>
            <w:vMerge w:val="continue"/>
            <w:tcBorders>
              <w:tl2br w:val="nil"/>
              <w:tr2bl w:val="nil"/>
            </w:tcBorders>
            <w:noWrap w:val="0"/>
            <w:vAlign w:val="center"/>
          </w:tcPr>
          <w:p w14:paraId="1BDB550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tcBorders>
              <w:right w:val="single" w:color="auto" w:sz="4" w:space="0"/>
              <w:tl2br w:val="nil"/>
              <w:tr2bl w:val="nil"/>
            </w:tcBorders>
            <w:noWrap w:val="0"/>
            <w:vAlign w:val="center"/>
          </w:tcPr>
          <w:p w14:paraId="2379612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4"/>
                <w:szCs w:val="24"/>
                <w:highlight w:val="none"/>
                <w:lang w:val="de-DE" w:eastAsia="zh-CN" w:bidi="ar-SA"/>
              </w:rPr>
            </w:pPr>
            <w:r>
              <w:rPr>
                <w:rFonts w:hint="default" w:ascii="Times New Roman" w:hAnsi="Times New Roman" w:eastAsia="宋体" w:cs="Times New Roman"/>
                <w:color w:val="auto"/>
                <w:sz w:val="24"/>
                <w:szCs w:val="24"/>
                <w:highlight w:val="none"/>
                <w:lang w:val="de-DE"/>
              </w:rPr>
              <w:t>环保设施</w:t>
            </w:r>
          </w:p>
        </w:tc>
        <w:tc>
          <w:tcPr>
            <w:tcW w:w="732" w:type="pct"/>
            <w:tcBorders>
              <w:left w:val="single" w:color="auto" w:sz="4" w:space="0"/>
              <w:right w:val="single" w:color="auto" w:sz="4" w:space="0"/>
              <w:tl2br w:val="nil"/>
              <w:tr2bl w:val="nil"/>
            </w:tcBorders>
            <w:shd w:val="clear" w:color="auto" w:fill="auto"/>
            <w:noWrap w:val="0"/>
            <w:vAlign w:val="center"/>
          </w:tcPr>
          <w:p w14:paraId="66589C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废布袋</w:t>
            </w:r>
          </w:p>
        </w:tc>
        <w:tc>
          <w:tcPr>
            <w:tcW w:w="1138" w:type="pct"/>
            <w:gridSpan w:val="2"/>
            <w:vMerge w:val="continue"/>
            <w:tcBorders>
              <w:left w:val="single" w:color="auto" w:sz="4" w:space="0"/>
              <w:right w:val="single" w:color="auto" w:sz="4" w:space="0"/>
              <w:tl2br w:val="nil"/>
              <w:tr2bl w:val="nil"/>
            </w:tcBorders>
            <w:noWrap w:val="0"/>
            <w:vAlign w:val="center"/>
          </w:tcPr>
          <w:p w14:paraId="69109A0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4"/>
                <w:szCs w:val="24"/>
                <w:lang w:val="en-US" w:eastAsia="zh-CN" w:bidi="ar-SA"/>
              </w:rPr>
            </w:pPr>
          </w:p>
        </w:tc>
        <w:tc>
          <w:tcPr>
            <w:tcW w:w="1602" w:type="pct"/>
            <w:vMerge w:val="continue"/>
            <w:tcBorders>
              <w:left w:val="single" w:color="auto" w:sz="4" w:space="0"/>
              <w:tl2br w:val="nil"/>
              <w:tr2bl w:val="nil"/>
            </w:tcBorders>
            <w:noWrap w:val="0"/>
            <w:vAlign w:val="center"/>
          </w:tcPr>
          <w:p w14:paraId="51E2F85E">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lang w:eastAsia="zh-CN"/>
              </w:rPr>
            </w:pPr>
          </w:p>
        </w:tc>
      </w:tr>
      <w:tr w14:paraId="54A1F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vMerge w:val="continue"/>
            <w:tcBorders>
              <w:tl2br w:val="nil"/>
              <w:tr2bl w:val="nil"/>
            </w:tcBorders>
            <w:noWrap w:val="0"/>
            <w:vAlign w:val="center"/>
          </w:tcPr>
          <w:p w14:paraId="0D2BA23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vMerge w:val="restart"/>
            <w:tcBorders>
              <w:right w:val="single" w:color="auto" w:sz="4" w:space="0"/>
              <w:tl2br w:val="nil"/>
              <w:tr2bl w:val="nil"/>
            </w:tcBorders>
            <w:shd w:val="clear" w:color="auto" w:fill="auto"/>
            <w:noWrap w:val="0"/>
            <w:vAlign w:val="center"/>
          </w:tcPr>
          <w:p w14:paraId="4E90E63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设备维护</w:t>
            </w:r>
          </w:p>
        </w:tc>
        <w:tc>
          <w:tcPr>
            <w:tcW w:w="732" w:type="pct"/>
            <w:tcBorders>
              <w:left w:val="single" w:color="auto" w:sz="4" w:space="0"/>
              <w:right w:val="single" w:color="auto" w:sz="4" w:space="0"/>
              <w:tl2br w:val="nil"/>
              <w:tr2bl w:val="nil"/>
            </w:tcBorders>
            <w:shd w:val="clear" w:color="auto" w:fill="auto"/>
            <w:noWrap w:val="0"/>
            <w:vAlign w:val="center"/>
          </w:tcPr>
          <w:p w14:paraId="1DD57E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废机油</w:t>
            </w:r>
          </w:p>
        </w:tc>
        <w:tc>
          <w:tcPr>
            <w:tcW w:w="1138" w:type="pct"/>
            <w:gridSpan w:val="2"/>
            <w:vMerge w:val="restart"/>
            <w:tcBorders>
              <w:left w:val="single" w:color="auto" w:sz="4" w:space="0"/>
              <w:right w:val="single" w:color="auto" w:sz="4" w:space="0"/>
              <w:tl2br w:val="nil"/>
              <w:tr2bl w:val="nil"/>
            </w:tcBorders>
            <w:noWrap w:val="0"/>
            <w:vAlign w:val="center"/>
          </w:tcPr>
          <w:p w14:paraId="7118D61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暂存危废间，委托有资质单位进行处理</w:t>
            </w:r>
          </w:p>
        </w:tc>
        <w:tc>
          <w:tcPr>
            <w:tcW w:w="1602" w:type="pct"/>
            <w:vMerge w:val="restart"/>
            <w:tcBorders>
              <w:left w:val="single" w:color="auto" w:sz="4" w:space="0"/>
              <w:tl2br w:val="nil"/>
              <w:tr2bl w:val="nil"/>
            </w:tcBorders>
            <w:noWrap w:val="0"/>
            <w:vAlign w:val="center"/>
          </w:tcPr>
          <w:p w14:paraId="0817047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《危险废物贮存污染控制标准》（GB18597-2023）</w:t>
            </w:r>
          </w:p>
        </w:tc>
      </w:tr>
      <w:tr w14:paraId="417DFE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vMerge w:val="continue"/>
            <w:tcBorders>
              <w:tl2br w:val="nil"/>
              <w:tr2bl w:val="nil"/>
            </w:tcBorders>
            <w:noWrap w:val="0"/>
            <w:vAlign w:val="center"/>
          </w:tcPr>
          <w:p w14:paraId="158E48F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vMerge w:val="continue"/>
            <w:tcBorders>
              <w:right w:val="single" w:color="auto" w:sz="4" w:space="0"/>
              <w:tl2br w:val="nil"/>
              <w:tr2bl w:val="nil"/>
            </w:tcBorders>
            <w:noWrap w:val="0"/>
            <w:vAlign w:val="center"/>
          </w:tcPr>
          <w:p w14:paraId="12319D6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4"/>
                <w:szCs w:val="24"/>
                <w:highlight w:val="none"/>
                <w:lang w:val="de-DE" w:eastAsia="zh-CN" w:bidi="ar-SA"/>
              </w:rPr>
            </w:pPr>
          </w:p>
        </w:tc>
        <w:tc>
          <w:tcPr>
            <w:tcW w:w="732" w:type="pct"/>
            <w:tcBorders>
              <w:left w:val="single" w:color="auto" w:sz="4" w:space="0"/>
              <w:right w:val="single" w:color="auto" w:sz="4" w:space="0"/>
              <w:tl2br w:val="nil"/>
              <w:tr2bl w:val="nil"/>
            </w:tcBorders>
            <w:shd w:val="clear" w:color="auto" w:fill="auto"/>
            <w:noWrap w:val="0"/>
            <w:vAlign w:val="center"/>
          </w:tcPr>
          <w:p w14:paraId="4FE8EE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含油废抹布</w:t>
            </w:r>
          </w:p>
        </w:tc>
        <w:tc>
          <w:tcPr>
            <w:tcW w:w="1138" w:type="pct"/>
            <w:gridSpan w:val="2"/>
            <w:vMerge w:val="continue"/>
            <w:tcBorders>
              <w:left w:val="single" w:color="auto" w:sz="4" w:space="0"/>
              <w:right w:val="single" w:color="auto" w:sz="4" w:space="0"/>
              <w:tl2br w:val="nil"/>
              <w:tr2bl w:val="nil"/>
            </w:tcBorders>
            <w:noWrap w:val="0"/>
            <w:vAlign w:val="center"/>
          </w:tcPr>
          <w:p w14:paraId="096AE06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p>
        </w:tc>
        <w:tc>
          <w:tcPr>
            <w:tcW w:w="1602" w:type="pct"/>
            <w:vMerge w:val="continue"/>
            <w:tcBorders>
              <w:left w:val="single" w:color="auto" w:sz="4" w:space="0"/>
              <w:tl2br w:val="nil"/>
              <w:tr2bl w:val="nil"/>
            </w:tcBorders>
            <w:noWrap w:val="0"/>
            <w:vAlign w:val="center"/>
          </w:tcPr>
          <w:p w14:paraId="758FBD4B">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zh-CN" w:eastAsia="zh-CN"/>
              </w:rPr>
            </w:pPr>
          </w:p>
        </w:tc>
      </w:tr>
      <w:tr w14:paraId="125AEE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vMerge w:val="continue"/>
            <w:tcBorders>
              <w:tl2br w:val="nil"/>
              <w:tr2bl w:val="nil"/>
            </w:tcBorders>
            <w:noWrap w:val="0"/>
            <w:vAlign w:val="center"/>
          </w:tcPr>
          <w:p w14:paraId="261730E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p>
        </w:tc>
        <w:tc>
          <w:tcPr>
            <w:tcW w:w="891" w:type="pct"/>
            <w:gridSpan w:val="2"/>
            <w:vMerge w:val="continue"/>
            <w:tcBorders>
              <w:right w:val="single" w:color="auto" w:sz="4" w:space="0"/>
              <w:tl2br w:val="nil"/>
              <w:tr2bl w:val="nil"/>
            </w:tcBorders>
            <w:noWrap w:val="0"/>
            <w:vAlign w:val="center"/>
          </w:tcPr>
          <w:p w14:paraId="307026A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p>
        </w:tc>
        <w:tc>
          <w:tcPr>
            <w:tcW w:w="732" w:type="pct"/>
            <w:tcBorders>
              <w:top w:val="single" w:color="auto" w:sz="4" w:space="0"/>
              <w:left w:val="single" w:color="auto" w:sz="4" w:space="0"/>
              <w:right w:val="single" w:color="auto" w:sz="4" w:space="0"/>
              <w:tl2br w:val="nil"/>
              <w:tr2bl w:val="nil"/>
            </w:tcBorders>
            <w:shd w:val="clear" w:color="auto" w:fill="auto"/>
            <w:noWrap w:val="0"/>
            <w:vAlign w:val="center"/>
          </w:tcPr>
          <w:p w14:paraId="2E6D3E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废机油桶</w:t>
            </w:r>
          </w:p>
        </w:tc>
        <w:tc>
          <w:tcPr>
            <w:tcW w:w="1138" w:type="pct"/>
            <w:gridSpan w:val="2"/>
            <w:vMerge w:val="continue"/>
            <w:tcBorders>
              <w:left w:val="single" w:color="auto" w:sz="4" w:space="0"/>
              <w:right w:val="single" w:color="auto" w:sz="4" w:space="0"/>
              <w:tl2br w:val="nil"/>
              <w:tr2bl w:val="nil"/>
            </w:tcBorders>
            <w:noWrap w:val="0"/>
            <w:vAlign w:val="center"/>
          </w:tcPr>
          <w:p w14:paraId="75F510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p>
        </w:tc>
        <w:tc>
          <w:tcPr>
            <w:tcW w:w="1602" w:type="pct"/>
            <w:vMerge w:val="continue"/>
            <w:tcBorders>
              <w:left w:val="single" w:color="auto" w:sz="4" w:space="0"/>
              <w:tl2br w:val="nil"/>
              <w:tr2bl w:val="nil"/>
            </w:tcBorders>
            <w:noWrap w:val="0"/>
            <w:vAlign w:val="center"/>
          </w:tcPr>
          <w:p w14:paraId="044AE721">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eastAsia="宋体" w:cs="Times New Roman"/>
                <w:color w:val="auto"/>
                <w:sz w:val="24"/>
                <w:szCs w:val="24"/>
                <w:highlight w:val="none"/>
                <w:lang w:eastAsia="zh-CN"/>
              </w:rPr>
            </w:pPr>
          </w:p>
        </w:tc>
      </w:tr>
      <w:tr w14:paraId="2178A1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42502A9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土壤及地下水污染防治措施</w:t>
            </w:r>
          </w:p>
        </w:tc>
        <w:tc>
          <w:tcPr>
            <w:tcW w:w="4364" w:type="pct"/>
            <w:gridSpan w:val="6"/>
            <w:tcBorders>
              <w:tl2br w:val="nil"/>
              <w:tr2bl w:val="nil"/>
            </w:tcBorders>
            <w:noWrap w:val="0"/>
            <w:vAlign w:val="center"/>
          </w:tcPr>
          <w:p w14:paraId="0324980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厂房等做防渗措施</w:t>
            </w:r>
          </w:p>
        </w:tc>
      </w:tr>
      <w:tr w14:paraId="4982DF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70E3698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生态保护措施</w:t>
            </w:r>
          </w:p>
        </w:tc>
        <w:tc>
          <w:tcPr>
            <w:tcW w:w="4364" w:type="pct"/>
            <w:gridSpan w:val="6"/>
            <w:tcBorders>
              <w:tl2br w:val="nil"/>
              <w:tr2bl w:val="nil"/>
            </w:tcBorders>
            <w:noWrap w:val="0"/>
            <w:vAlign w:val="center"/>
          </w:tcPr>
          <w:p w14:paraId="46F5AE4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项目不涉及生态环境影响</w:t>
            </w:r>
          </w:p>
        </w:tc>
      </w:tr>
      <w:tr w14:paraId="1C4516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5EC1BC7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环境风险防范措施</w:t>
            </w:r>
          </w:p>
        </w:tc>
        <w:tc>
          <w:tcPr>
            <w:tcW w:w="4364" w:type="pct"/>
            <w:gridSpan w:val="6"/>
            <w:tcBorders>
              <w:tl2br w:val="nil"/>
              <w:tr2bl w:val="nil"/>
            </w:tcBorders>
            <w:noWrap w:val="0"/>
            <w:vAlign w:val="center"/>
          </w:tcPr>
          <w:p w14:paraId="6057D29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做好职工培训，厂内定期巡检，重点防范火灾事故发生。</w:t>
            </w:r>
          </w:p>
        </w:tc>
      </w:tr>
      <w:tr w14:paraId="671A3C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35" w:type="pct"/>
            <w:tcBorders>
              <w:tl2br w:val="nil"/>
              <w:tr2bl w:val="nil"/>
            </w:tcBorders>
            <w:noWrap w:val="0"/>
            <w:vAlign w:val="center"/>
          </w:tcPr>
          <w:p w14:paraId="0C9BB37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其他环境</w:t>
            </w:r>
          </w:p>
          <w:p w14:paraId="69426C5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管理要求</w:t>
            </w:r>
          </w:p>
        </w:tc>
        <w:tc>
          <w:tcPr>
            <w:tcW w:w="4364" w:type="pct"/>
            <w:gridSpan w:val="6"/>
            <w:tcBorders>
              <w:tl2br w:val="nil"/>
              <w:tr2bl w:val="nil"/>
            </w:tcBorders>
            <w:noWrap w:val="0"/>
            <w:vAlign w:val="center"/>
          </w:tcPr>
          <w:p w14:paraId="3C8E3F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1、环境保护管理体系</w:t>
            </w:r>
          </w:p>
          <w:p w14:paraId="2354EC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为做好环境管理工作，公司应建立环境管理体系，将环境管理工作自上而下的贯穿到公司的生产管理中。</w:t>
            </w:r>
          </w:p>
          <w:p w14:paraId="03B611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2、环境管理规章制度</w:t>
            </w:r>
          </w:p>
          <w:p w14:paraId="534BEF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建立和完善环境管理制度，是公司环境管理体系的重要组成部分，需建立的环境管理制度。</w:t>
            </w:r>
          </w:p>
          <w:p w14:paraId="08355B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3、设置环境保护标识</w:t>
            </w:r>
          </w:p>
          <w:p w14:paraId="2400BA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企业应制定环境管理文件及实施细则，按照《排污口规范化整治技术要求（试行）》、《关于开展排放口规范化整治工作的通知》、《固定污染源废气监测点位设置技术规范》（DB37/T3535-2019）等文件中有关规定设置与管理废气、废水排放口。同时废气排放口、噪声排放源、固体废物贮存（处置）场图形符号分别为提示图形符号和警告图形符号两种，图形符号的设置按GB15562.1-1995 、GB15562.2-1995</w:t>
            </w:r>
            <w:r>
              <w:rPr>
                <w:rFonts w:hint="default" w:ascii="Times New Roman" w:hAnsi="Times New Roman" w:eastAsia="宋体" w:cs="Times New Roman"/>
                <w:color w:val="auto"/>
                <w:sz w:val="24"/>
                <w:szCs w:val="24"/>
                <w:highlight w:val="none"/>
                <w:lang w:val="en-US" w:eastAsia="zh-CN"/>
              </w:rPr>
              <w:t>及修改单</w:t>
            </w:r>
            <w:r>
              <w:rPr>
                <w:rFonts w:hint="default" w:ascii="Times New Roman" w:hAnsi="Times New Roman" w:eastAsia="宋体" w:cs="Times New Roman"/>
                <w:color w:val="auto"/>
                <w:sz w:val="24"/>
                <w:szCs w:val="24"/>
                <w:highlight w:val="none"/>
              </w:rPr>
              <w:t>执行。</w:t>
            </w:r>
          </w:p>
          <w:p w14:paraId="56B20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4、建设项目竣工环境保护验收</w:t>
            </w:r>
          </w:p>
          <w:p w14:paraId="190299BC">
            <w:pPr>
              <w:keepNext w:val="0"/>
              <w:keepLines w:val="0"/>
              <w:pageBreakBefore w:val="0"/>
              <w:widowControl w:val="0"/>
              <w:suppressLineNumbers w:val="0"/>
              <w:kinsoku/>
              <w:wordWrap/>
              <w:overflowPunct/>
              <w:topLinePunct w:val="0"/>
              <w:autoSpaceDE/>
              <w:autoSpaceDN/>
              <w:bidi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根据《建设项目环境保护管理条例》要求，编制环境影响报告表的建设项目竣工后，建设单位应当按照国务院环境保护行政主管部门规定的标准和程序，对配套建设的环境保护设施进行验收，编制验收报告。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三同时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验收清单见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四、主要环境影响和保护措施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八、三同时竣工验收一览表</w:t>
            </w:r>
            <w:r>
              <w:rPr>
                <w:rFonts w:hint="default" w:ascii="Times New Roman" w:hAnsi="Times New Roman" w:eastAsia="宋体" w:cs="Times New Roman"/>
                <w:color w:val="auto"/>
                <w:sz w:val="24"/>
                <w:szCs w:val="24"/>
                <w:highlight w:val="none"/>
                <w:lang w:val="en-US" w:eastAsia="zh-CN"/>
              </w:rPr>
              <w:t>”。</w:t>
            </w:r>
          </w:p>
          <w:p w14:paraId="41C249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5、排污许可登记</w:t>
            </w:r>
          </w:p>
          <w:p w14:paraId="251E86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按照《排污许可管理条例》、《山东省生态环境厅关于加强排污许可管理工作的通知》（鲁环函〔2020〕14号）和《固定污染源排污许可分类管理名录》（2019年版）要求，企业应当在本项目投入生产或使用并产生实际排污行为之前完成排污许可登记管理申报。</w:t>
            </w:r>
          </w:p>
          <w:p w14:paraId="1D59EF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p>
          <w:p w14:paraId="717FCA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p>
          <w:p w14:paraId="289D64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default" w:ascii="Times New Roman" w:hAnsi="Times New Roman" w:eastAsia="宋体" w:cs="Times New Roman"/>
                <w:color w:val="auto"/>
                <w:sz w:val="24"/>
                <w:szCs w:val="24"/>
                <w:highlight w:val="none"/>
              </w:rPr>
            </w:pPr>
          </w:p>
          <w:p w14:paraId="683DAF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1CFA14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1261F1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51C8B9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7E0D46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02565C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70EAF3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3AF6DC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11AADC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47AE04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0B91A5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645C80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39F426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cs="Times New Roman"/>
                <w:color w:val="auto"/>
                <w:sz w:val="24"/>
                <w:szCs w:val="24"/>
                <w:highlight w:val="none"/>
                <w:lang w:val="en-US" w:eastAsia="zh-CN"/>
              </w:rPr>
            </w:pPr>
          </w:p>
          <w:p w14:paraId="45CA19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 </w:t>
            </w:r>
          </w:p>
        </w:tc>
      </w:tr>
      <w:bookmarkEnd w:id="21"/>
    </w:tbl>
    <w:p w14:paraId="328136F1">
      <w:pPr>
        <w:pStyle w:val="32"/>
        <w:keepNext w:val="0"/>
        <w:keepLines w:val="0"/>
        <w:pageBreakBefore w:val="0"/>
        <w:widowControl/>
        <w:kinsoku/>
        <w:wordWrap/>
        <w:overflowPunct/>
        <w:topLinePunct w:val="0"/>
        <w:autoSpaceDE/>
        <w:autoSpaceDN/>
        <w:bidi w:val="0"/>
        <w:adjustRightInd w:val="0"/>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22" w:name="_Toc4561"/>
      <w:bookmarkStart w:id="23" w:name="_Toc24179"/>
      <w:r>
        <w:rPr>
          <w:rFonts w:hint="default" w:ascii="Times New Roman" w:hAnsi="Times New Roman" w:eastAsia="黑体" w:cs="Times New Roman"/>
          <w:snapToGrid w:val="0"/>
          <w:color w:val="auto"/>
          <w:sz w:val="30"/>
          <w:szCs w:val="30"/>
          <w:highlight w:val="none"/>
        </w:rPr>
        <w:t>六、结论</w:t>
      </w:r>
      <w:bookmarkEnd w:id="19"/>
      <w:bookmarkEnd w:id="22"/>
      <w:bookmarkEnd w:id="23"/>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458377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1" w:hRule="atLeast"/>
          <w:jc w:val="center"/>
        </w:trPr>
        <w:tc>
          <w:tcPr>
            <w:tcW w:w="8865" w:type="dxa"/>
            <w:noWrap w:val="0"/>
            <w:vAlign w:val="center"/>
          </w:tcPr>
          <w:p w14:paraId="6F1D846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1449F8FC">
            <w:pPr>
              <w:pStyle w:val="2"/>
              <w:keepNext w:val="0"/>
              <w:keepLines w:val="0"/>
              <w:suppressLineNumbers w:val="0"/>
              <w:spacing w:before="0" w:beforeAutospacing="0" w:afterAutospacing="0"/>
              <w:ind w:right="0"/>
              <w:rPr>
                <w:rFonts w:hint="default" w:ascii="Times New Roman" w:hAnsi="Times New Roman" w:cs="Times New Roman"/>
                <w:color w:val="auto"/>
              </w:rPr>
            </w:pPr>
          </w:p>
          <w:p w14:paraId="150D3EC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7F77FA5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03C6755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027918C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712CDB9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65679EA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5BA6A1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4CCE870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p>
          <w:p w14:paraId="397D503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0"/>
                <w:sz w:val="24"/>
                <w:highlight w:val="none"/>
              </w:rPr>
            </w:pPr>
            <w:r>
              <w:rPr>
                <w:rFonts w:hint="default" w:ascii="Times New Roman" w:hAnsi="Times New Roman" w:cs="Times New Roman"/>
                <w:bCs/>
                <w:color w:val="auto"/>
                <w:sz w:val="24"/>
                <w:highlight w:val="none"/>
              </w:rPr>
              <w:t>本项目建设符合国家产业</w:t>
            </w:r>
            <w:r>
              <w:rPr>
                <w:rFonts w:hint="default" w:ascii="Times New Roman" w:hAnsi="Times New Roman" w:eastAsia="宋体" w:cs="Times New Roman"/>
                <w:color w:val="auto"/>
                <w:sz w:val="24"/>
                <w:szCs w:val="32"/>
                <w:highlight w:val="none"/>
              </w:rPr>
              <w:t>政策；符合淄川区总体规划，选址合理。本项目拟采取的污染防治、风险防控措施和本报告建议及要求的对策经济技术可行，在治污设施连续、稳定运行，风险防控措施严格落实的前提下，项目建设及运行对区域环</w:t>
            </w:r>
            <w:r>
              <w:rPr>
                <w:rFonts w:hint="default" w:ascii="Times New Roman" w:hAnsi="Times New Roman" w:cs="Times New Roman"/>
                <w:bCs/>
                <w:color w:val="auto"/>
                <w:sz w:val="24"/>
                <w:highlight w:val="none"/>
              </w:rPr>
              <w:t>境质量影响较小。在落实本报告所提出的各项污染防治和风险防控措施后，本项目从环境保护角度分析是可行的</w:t>
            </w:r>
            <w:r>
              <w:rPr>
                <w:rFonts w:hint="default" w:ascii="Times New Roman" w:hAnsi="Times New Roman" w:cs="Times New Roman"/>
                <w:bCs/>
                <w:color w:val="auto"/>
                <w:kern w:val="0"/>
                <w:sz w:val="24"/>
                <w:highlight w:val="none"/>
              </w:rPr>
              <w:t>。</w:t>
            </w:r>
          </w:p>
          <w:p w14:paraId="5734A58A">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0AB4FD46">
            <w:pPr>
              <w:keepNext w:val="0"/>
              <w:keepLines w:val="0"/>
              <w:suppressLineNumbers w:val="0"/>
              <w:spacing w:before="0" w:beforeAutospacing="0" w:after="0" w:afterAutospacing="0"/>
              <w:ind w:left="0" w:right="0"/>
              <w:rPr>
                <w:rFonts w:hint="default" w:ascii="Times New Roman" w:hAnsi="Times New Roman" w:cs="Times New Roman"/>
                <w:bCs/>
                <w:color w:val="auto"/>
                <w:kern w:val="0"/>
                <w:sz w:val="24"/>
                <w:highlight w:val="none"/>
              </w:rPr>
            </w:pPr>
          </w:p>
          <w:p w14:paraId="21DA9578">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09A78D11">
            <w:pPr>
              <w:keepNext w:val="0"/>
              <w:keepLines w:val="0"/>
              <w:suppressLineNumbers w:val="0"/>
              <w:spacing w:before="0" w:beforeAutospacing="0" w:after="0" w:afterAutospacing="0"/>
              <w:ind w:left="0" w:right="0"/>
              <w:rPr>
                <w:rFonts w:hint="default" w:ascii="Times New Roman" w:hAnsi="Times New Roman" w:cs="Times New Roman"/>
                <w:bCs/>
                <w:color w:val="auto"/>
                <w:kern w:val="0"/>
                <w:sz w:val="24"/>
                <w:highlight w:val="none"/>
              </w:rPr>
            </w:pPr>
          </w:p>
          <w:p w14:paraId="35723C5A">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4CEFBA7E">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52DCC1F4">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585FAE80">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5757D96F">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2625F7E5">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5DAA3CEB">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41631F60">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1F180716">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21525A5D">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27E1165E">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4CEDCEA3">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26F4F973">
            <w:pPr>
              <w:pStyle w:val="2"/>
              <w:keepNext w:val="0"/>
              <w:keepLines w:val="0"/>
              <w:suppressLineNumbers w:val="0"/>
              <w:spacing w:before="0" w:beforeAutospacing="0" w:afterAutospacing="0"/>
              <w:ind w:right="0"/>
              <w:rPr>
                <w:rFonts w:hint="default" w:ascii="Times New Roman" w:hAnsi="Times New Roman" w:cs="Times New Roman"/>
                <w:bCs/>
                <w:color w:val="auto"/>
                <w:kern w:val="0"/>
                <w:sz w:val="24"/>
                <w:highlight w:val="none"/>
              </w:rPr>
            </w:pPr>
          </w:p>
          <w:p w14:paraId="491837B7">
            <w:pPr>
              <w:pStyle w:val="2"/>
              <w:keepNext w:val="0"/>
              <w:keepLines w:val="0"/>
              <w:suppressLineNumbers w:val="0"/>
              <w:spacing w:before="0" w:beforeAutospacing="0" w:afterAutospacing="0"/>
              <w:ind w:right="0"/>
              <w:rPr>
                <w:rFonts w:hint="default" w:ascii="Times New Roman" w:hAnsi="Times New Roman" w:cs="Times New Roman"/>
                <w:color w:val="auto"/>
              </w:rPr>
            </w:pPr>
          </w:p>
        </w:tc>
      </w:tr>
    </w:tbl>
    <w:p w14:paraId="339006BD">
      <w:pPr>
        <w:rPr>
          <w:rFonts w:hint="default" w:ascii="Times New Roman" w:hAnsi="Times New Roman" w:cs="Times New Roman"/>
          <w:color w:val="auto"/>
          <w:highlight w:val="none"/>
        </w:rPr>
        <w:sectPr>
          <w:pgSz w:w="11906" w:h="16838"/>
          <w:pgMar w:top="1417" w:right="1134" w:bottom="1417" w:left="1134"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15ECC841">
      <w:pPr>
        <w:rPr>
          <w:rFonts w:hint="default" w:ascii="Times New Roman" w:hAnsi="Times New Roman" w:cs="Times New Roman"/>
          <w:color w:val="auto"/>
          <w:highlight w:val="none"/>
        </w:rPr>
        <w:sectPr>
          <w:type w:val="continuous"/>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17C713D9">
      <w:pPr>
        <w:pStyle w:val="3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tLeast"/>
        <w:textAlignment w:val="auto"/>
        <w:outlineLvl w:val="0"/>
        <w:rPr>
          <w:rFonts w:hint="default" w:ascii="Times New Roman" w:hAnsi="Times New Roman" w:eastAsia="黑体" w:cs="Times New Roman"/>
          <w:snapToGrid w:val="0"/>
          <w:color w:val="auto"/>
          <w:sz w:val="30"/>
          <w:szCs w:val="30"/>
          <w:highlight w:val="none"/>
        </w:rPr>
      </w:pPr>
      <w:bookmarkStart w:id="24" w:name="_Toc32000"/>
      <w:bookmarkStart w:id="25" w:name="_Toc31740"/>
      <w:bookmarkStart w:id="26" w:name="_Toc14495"/>
      <w:r>
        <w:rPr>
          <w:rFonts w:hint="default" w:ascii="Times New Roman" w:hAnsi="Times New Roman" w:eastAsia="黑体" w:cs="Times New Roman"/>
          <w:snapToGrid w:val="0"/>
          <w:color w:val="auto"/>
          <w:sz w:val="30"/>
          <w:szCs w:val="30"/>
          <w:highlight w:val="none"/>
        </w:rPr>
        <w:t>附表</w:t>
      </w:r>
      <w:bookmarkEnd w:id="24"/>
      <w:bookmarkEnd w:id="25"/>
      <w:bookmarkEnd w:id="26"/>
    </w:p>
    <w:p w14:paraId="281B840C">
      <w:pPr>
        <w:pStyle w:val="32"/>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highlight w:val="none"/>
        </w:rPr>
      </w:pPr>
      <w:bookmarkStart w:id="27" w:name="_Toc32114"/>
      <w:bookmarkStart w:id="28" w:name="_Toc17950"/>
      <w:bookmarkStart w:id="29" w:name="_Toc29459"/>
      <w:r>
        <w:rPr>
          <w:rFonts w:hint="default" w:ascii="Times New Roman" w:hAnsi="Times New Roman" w:eastAsia="方正小标宋_GBK" w:cs="Times New Roman"/>
          <w:snapToGrid w:val="0"/>
          <w:color w:val="auto"/>
          <w:sz w:val="38"/>
          <w:szCs w:val="38"/>
          <w:highlight w:val="none"/>
        </w:rPr>
        <w:t>建设项目污染物排放量汇总表</w:t>
      </w:r>
      <w:bookmarkEnd w:id="27"/>
      <w:bookmarkEnd w:id="28"/>
      <w:bookmarkEnd w:id="29"/>
    </w:p>
    <w:tbl>
      <w:tblPr>
        <w:tblStyle w:val="36"/>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2"/>
        <w:gridCol w:w="1607"/>
        <w:gridCol w:w="1734"/>
        <w:gridCol w:w="1252"/>
        <w:gridCol w:w="1662"/>
        <w:gridCol w:w="1525"/>
        <w:gridCol w:w="1586"/>
        <w:gridCol w:w="1603"/>
        <w:gridCol w:w="1261"/>
      </w:tblGrid>
      <w:tr w14:paraId="75BBAB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tcBorders>
              <w:tl2br w:val="nil"/>
              <w:tr2bl w:val="nil"/>
            </w:tcBorders>
            <w:noWrap w:val="0"/>
            <w:tcMar>
              <w:left w:w="28" w:type="dxa"/>
              <w:right w:w="28" w:type="dxa"/>
            </w:tcMar>
            <w:vAlign w:val="center"/>
            <mc:AlternateContent>
              <mc:Choice Requires="wpsCustomData">
                <wpsCustomData:diagonals>
                  <wpsCustomData:diagonal from="10000" to="30000">
                    <wpsCustomData:border w:val="single" w:color="auto" w:sz="2" w:space="0"/>
                  </wpsCustomData:diagonal>
                </wpsCustomData:diagonals>
              </mc:Choice>
            </mc:AlternateContent>
          </w:tcPr>
          <w:p w14:paraId="6AFE1612">
            <w:pPr>
              <w:pStyle w:val="63"/>
              <w:keepNext w:val="0"/>
              <w:keepLines w:val="0"/>
              <w:suppressLineNumbers w:val="0"/>
              <w:snapToGrid w:val="0"/>
              <w:spacing w:before="0" w:beforeLines="0" w:beforeAutospacing="0" w:after="0" w:afterLines="0" w:afterAutospacing="0" w:line="240" w:lineRule="auto"/>
              <w:ind w:left="0" w:right="0"/>
              <w:jc w:val="left"/>
              <mc:AlternateContent>
                <mc:Choice Requires="wpsCustomData">
                  <wpsCustomData:diagonalParaType/>
                </mc:Choice>
              </mc:AlternateContent>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分类</w:t>
            </w:r>
          </w:p>
          <w:p w14:paraId="4B05EDFD">
            <w:pPr>
              <w:pStyle w:val="63"/>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项目</w:t>
            </w:r>
          </w:p>
        </w:tc>
        <w:tc>
          <w:tcPr>
            <w:tcW w:w="1607" w:type="dxa"/>
            <w:tcBorders>
              <w:tl2br w:val="nil"/>
              <w:tr2bl w:val="nil"/>
            </w:tcBorders>
            <w:noWrap w:val="0"/>
            <w:tcMar>
              <w:left w:w="28" w:type="dxa"/>
              <w:right w:w="28" w:type="dxa"/>
            </w:tcMar>
            <w:vAlign w:val="center"/>
          </w:tcPr>
          <w:p w14:paraId="6038AAF9">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污染物名称</w:t>
            </w:r>
          </w:p>
        </w:tc>
        <w:tc>
          <w:tcPr>
            <w:tcW w:w="1734" w:type="dxa"/>
            <w:tcBorders>
              <w:tl2br w:val="nil"/>
              <w:tr2bl w:val="nil"/>
            </w:tcBorders>
            <w:noWrap w:val="0"/>
            <w:tcMar>
              <w:left w:w="28" w:type="dxa"/>
              <w:right w:w="28" w:type="dxa"/>
            </w:tcMar>
            <w:vAlign w:val="center"/>
          </w:tcPr>
          <w:p w14:paraId="2D6E25CA">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现有工程</w:t>
            </w:r>
          </w:p>
          <w:p w14:paraId="36D42190">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排放量（固体废物产生量）</w:t>
            </w: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1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color w:val="auto"/>
                <w:kern w:val="2"/>
                <w:sz w:val="21"/>
                <w:szCs w:val="21"/>
                <w:highlight w:val="none"/>
              </w:rPr>
              <w:t>①</w:t>
            </w:r>
            <w:r>
              <w:rPr>
                <w:rFonts w:hint="default" w:ascii="Times New Roman" w:hAnsi="Times New Roman" w:cs="Times New Roman"/>
                <w:snapToGrid w:val="0"/>
                <w:color w:val="auto"/>
                <w:spacing w:val="-6"/>
                <w:kern w:val="21"/>
                <w:sz w:val="21"/>
                <w:szCs w:val="21"/>
                <w:highlight w:val="none"/>
              </w:rPr>
              <w:fldChar w:fldCharType="end"/>
            </w:r>
          </w:p>
        </w:tc>
        <w:tc>
          <w:tcPr>
            <w:tcW w:w="1252" w:type="dxa"/>
            <w:tcBorders>
              <w:tl2br w:val="nil"/>
              <w:tr2bl w:val="nil"/>
            </w:tcBorders>
            <w:noWrap w:val="0"/>
            <w:tcMar>
              <w:left w:w="28" w:type="dxa"/>
              <w:right w:w="28" w:type="dxa"/>
            </w:tcMar>
            <w:vAlign w:val="center"/>
          </w:tcPr>
          <w:p w14:paraId="1172C8E6">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现有工程</w:t>
            </w:r>
          </w:p>
          <w:p w14:paraId="3AABE37C">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许可排放量</w:t>
            </w:r>
          </w:p>
          <w:p w14:paraId="4160D9DF">
            <w:pPr>
              <w:pStyle w:val="63"/>
              <w:keepNext w:val="0"/>
              <w:keepLines w:val="0"/>
              <w:suppressLineNumbers w:val="0"/>
              <w:spacing w:before="0" w:beforeLines="0" w:beforeAutospacing="0" w:after="0" w:afterLines="0" w:afterAutospacing="0"/>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2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snapToGrid w:val="0"/>
                <w:color w:val="auto"/>
                <w:spacing w:val="-6"/>
                <w:kern w:val="21"/>
                <w:sz w:val="21"/>
                <w:szCs w:val="21"/>
                <w:highlight w:val="none"/>
              </w:rPr>
              <w:t>②</w:t>
            </w:r>
            <w:r>
              <w:rPr>
                <w:rFonts w:hint="default" w:ascii="Times New Roman" w:hAnsi="Times New Roman" w:cs="Times New Roman"/>
                <w:snapToGrid w:val="0"/>
                <w:color w:val="auto"/>
                <w:spacing w:val="-6"/>
                <w:kern w:val="21"/>
                <w:sz w:val="21"/>
                <w:szCs w:val="21"/>
                <w:highlight w:val="none"/>
              </w:rPr>
              <w:fldChar w:fldCharType="end"/>
            </w:r>
          </w:p>
        </w:tc>
        <w:tc>
          <w:tcPr>
            <w:tcW w:w="1662" w:type="dxa"/>
            <w:tcBorders>
              <w:tl2br w:val="nil"/>
              <w:tr2bl w:val="nil"/>
            </w:tcBorders>
            <w:noWrap w:val="0"/>
            <w:tcMar>
              <w:left w:w="28" w:type="dxa"/>
              <w:right w:w="28" w:type="dxa"/>
            </w:tcMar>
            <w:vAlign w:val="center"/>
          </w:tcPr>
          <w:p w14:paraId="099AD725">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在建工程</w:t>
            </w:r>
          </w:p>
          <w:p w14:paraId="553D2F21">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排放量（固体废物产生量）</w:t>
            </w: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3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color w:val="auto"/>
                <w:kern w:val="2"/>
                <w:sz w:val="21"/>
                <w:szCs w:val="21"/>
                <w:highlight w:val="none"/>
              </w:rPr>
              <w:t>③</w:t>
            </w:r>
            <w:r>
              <w:rPr>
                <w:rFonts w:hint="default" w:ascii="Times New Roman" w:hAnsi="Times New Roman" w:cs="Times New Roman"/>
                <w:snapToGrid w:val="0"/>
                <w:color w:val="auto"/>
                <w:spacing w:val="-6"/>
                <w:kern w:val="21"/>
                <w:sz w:val="21"/>
                <w:szCs w:val="21"/>
                <w:highlight w:val="none"/>
              </w:rPr>
              <w:fldChar w:fldCharType="end"/>
            </w:r>
          </w:p>
        </w:tc>
        <w:tc>
          <w:tcPr>
            <w:tcW w:w="1525" w:type="dxa"/>
            <w:tcBorders>
              <w:tl2br w:val="nil"/>
              <w:tr2bl w:val="nil"/>
            </w:tcBorders>
            <w:noWrap w:val="0"/>
            <w:tcMar>
              <w:left w:w="28" w:type="dxa"/>
              <w:right w:w="28" w:type="dxa"/>
            </w:tcMar>
            <w:vAlign w:val="center"/>
          </w:tcPr>
          <w:p w14:paraId="35FEC056">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本项目</w:t>
            </w:r>
          </w:p>
          <w:p w14:paraId="3672379E">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排放量（固体废物产生量）</w:t>
            </w: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4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color w:val="auto"/>
                <w:kern w:val="2"/>
                <w:sz w:val="21"/>
                <w:szCs w:val="21"/>
                <w:highlight w:val="none"/>
              </w:rPr>
              <w:t>④</w:t>
            </w:r>
            <w:r>
              <w:rPr>
                <w:rFonts w:hint="default" w:ascii="Times New Roman" w:hAnsi="Times New Roman" w:cs="Times New Roman"/>
                <w:snapToGrid w:val="0"/>
                <w:color w:val="auto"/>
                <w:spacing w:val="-6"/>
                <w:kern w:val="21"/>
                <w:sz w:val="21"/>
                <w:szCs w:val="21"/>
                <w:highlight w:val="none"/>
              </w:rPr>
              <w:fldChar w:fldCharType="end"/>
            </w:r>
          </w:p>
        </w:tc>
        <w:tc>
          <w:tcPr>
            <w:tcW w:w="1586" w:type="dxa"/>
            <w:tcBorders>
              <w:tl2br w:val="nil"/>
              <w:tr2bl w:val="nil"/>
            </w:tcBorders>
            <w:noWrap w:val="0"/>
            <w:tcMar>
              <w:left w:w="28" w:type="dxa"/>
              <w:right w:w="28" w:type="dxa"/>
            </w:tcMar>
            <w:vAlign w:val="center"/>
          </w:tcPr>
          <w:p w14:paraId="6A691DAC">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16"/>
                <w:kern w:val="21"/>
                <w:sz w:val="21"/>
                <w:szCs w:val="21"/>
                <w:highlight w:val="none"/>
              </w:rPr>
            </w:pPr>
            <w:r>
              <w:rPr>
                <w:rFonts w:hint="default" w:ascii="Times New Roman" w:hAnsi="Times New Roman" w:cs="Times New Roman"/>
                <w:snapToGrid w:val="0"/>
                <w:color w:val="auto"/>
                <w:spacing w:val="-16"/>
                <w:kern w:val="21"/>
                <w:sz w:val="21"/>
                <w:szCs w:val="21"/>
                <w:highlight w:val="none"/>
              </w:rPr>
              <w:t>以新带老削减量</w:t>
            </w:r>
          </w:p>
          <w:p w14:paraId="6F37D997">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16"/>
                <w:kern w:val="21"/>
                <w:sz w:val="21"/>
                <w:szCs w:val="21"/>
                <w:highlight w:val="none"/>
              </w:rPr>
            </w:pPr>
            <w:r>
              <w:rPr>
                <w:rFonts w:hint="default" w:ascii="Times New Roman" w:hAnsi="Times New Roman" w:cs="Times New Roman"/>
                <w:snapToGrid w:val="0"/>
                <w:color w:val="auto"/>
                <w:spacing w:val="-16"/>
                <w:kern w:val="21"/>
                <w:sz w:val="21"/>
                <w:szCs w:val="21"/>
                <w:highlight w:val="none"/>
              </w:rPr>
              <w:t>（新建项目不填）</w:t>
            </w:r>
            <w:r>
              <w:rPr>
                <w:rFonts w:hint="default" w:ascii="Times New Roman" w:hAnsi="Times New Roman" w:cs="Times New Roman"/>
                <w:snapToGrid w:val="0"/>
                <w:color w:val="auto"/>
                <w:spacing w:val="-16"/>
                <w:kern w:val="21"/>
                <w:sz w:val="21"/>
                <w:szCs w:val="21"/>
                <w:highlight w:val="none"/>
              </w:rPr>
              <w:fldChar w:fldCharType="begin"/>
            </w:r>
            <w:r>
              <w:rPr>
                <w:rFonts w:hint="default" w:ascii="Times New Roman" w:hAnsi="Times New Roman" w:cs="Times New Roman"/>
                <w:snapToGrid w:val="0"/>
                <w:color w:val="auto"/>
                <w:spacing w:val="-16"/>
                <w:kern w:val="21"/>
                <w:sz w:val="21"/>
                <w:szCs w:val="21"/>
                <w:highlight w:val="none"/>
              </w:rPr>
              <w:instrText xml:space="preserve"> = 5 \* GB3 \* MERGEFORMAT </w:instrText>
            </w:r>
            <w:r>
              <w:rPr>
                <w:rFonts w:hint="default" w:ascii="Times New Roman" w:hAnsi="Times New Roman" w:cs="Times New Roman"/>
                <w:snapToGrid w:val="0"/>
                <w:color w:val="auto"/>
                <w:spacing w:val="-16"/>
                <w:kern w:val="21"/>
                <w:sz w:val="21"/>
                <w:szCs w:val="21"/>
                <w:highlight w:val="none"/>
              </w:rPr>
              <w:fldChar w:fldCharType="separate"/>
            </w:r>
            <w:r>
              <w:rPr>
                <w:rFonts w:hint="default" w:ascii="Times New Roman" w:hAnsi="Times New Roman" w:cs="Times New Roman"/>
                <w:color w:val="auto"/>
                <w:kern w:val="2"/>
                <w:sz w:val="21"/>
                <w:szCs w:val="21"/>
                <w:highlight w:val="none"/>
              </w:rPr>
              <w:t>⑤</w:t>
            </w:r>
            <w:r>
              <w:rPr>
                <w:rFonts w:hint="default" w:ascii="Times New Roman" w:hAnsi="Times New Roman" w:cs="Times New Roman"/>
                <w:snapToGrid w:val="0"/>
                <w:color w:val="auto"/>
                <w:spacing w:val="-16"/>
                <w:kern w:val="21"/>
                <w:sz w:val="21"/>
                <w:szCs w:val="21"/>
                <w:highlight w:val="none"/>
              </w:rPr>
              <w:fldChar w:fldCharType="end"/>
            </w:r>
          </w:p>
        </w:tc>
        <w:tc>
          <w:tcPr>
            <w:tcW w:w="1603" w:type="dxa"/>
            <w:tcBorders>
              <w:tl2br w:val="nil"/>
              <w:tr2bl w:val="nil"/>
            </w:tcBorders>
            <w:noWrap w:val="0"/>
            <w:tcMar>
              <w:left w:w="28" w:type="dxa"/>
              <w:right w:w="28" w:type="dxa"/>
            </w:tcMar>
            <w:vAlign w:val="center"/>
          </w:tcPr>
          <w:p w14:paraId="0E68A5A6">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16"/>
                <w:kern w:val="21"/>
                <w:sz w:val="21"/>
                <w:szCs w:val="21"/>
                <w:highlight w:val="none"/>
              </w:rPr>
            </w:pPr>
            <w:r>
              <w:rPr>
                <w:rFonts w:hint="default" w:ascii="Times New Roman" w:hAnsi="Times New Roman" w:cs="Times New Roman"/>
                <w:snapToGrid w:val="0"/>
                <w:color w:val="auto"/>
                <w:spacing w:val="-16"/>
                <w:kern w:val="21"/>
                <w:sz w:val="21"/>
                <w:szCs w:val="21"/>
                <w:highlight w:val="none"/>
              </w:rPr>
              <w:t>本项目建成后</w:t>
            </w:r>
          </w:p>
          <w:p w14:paraId="40AF5382">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16"/>
                <w:kern w:val="21"/>
                <w:sz w:val="21"/>
                <w:szCs w:val="21"/>
                <w:highlight w:val="none"/>
              </w:rPr>
            </w:pPr>
            <w:r>
              <w:rPr>
                <w:rFonts w:hint="default" w:ascii="Times New Roman" w:hAnsi="Times New Roman" w:cs="Times New Roman"/>
                <w:snapToGrid w:val="0"/>
                <w:color w:val="auto"/>
                <w:spacing w:val="-16"/>
                <w:kern w:val="21"/>
                <w:sz w:val="21"/>
                <w:szCs w:val="21"/>
                <w:highlight w:val="none"/>
              </w:rPr>
              <w:t>全厂排放量（固体废物产生量）</w:t>
            </w:r>
            <w:r>
              <w:rPr>
                <w:rFonts w:hint="default" w:ascii="Times New Roman" w:hAnsi="Times New Roman" w:cs="Times New Roman"/>
                <w:snapToGrid w:val="0"/>
                <w:color w:val="auto"/>
                <w:spacing w:val="-16"/>
                <w:kern w:val="21"/>
                <w:sz w:val="21"/>
                <w:szCs w:val="21"/>
                <w:highlight w:val="none"/>
              </w:rPr>
              <w:fldChar w:fldCharType="begin"/>
            </w:r>
            <w:r>
              <w:rPr>
                <w:rFonts w:hint="default" w:ascii="Times New Roman" w:hAnsi="Times New Roman" w:cs="Times New Roman"/>
                <w:snapToGrid w:val="0"/>
                <w:color w:val="auto"/>
                <w:spacing w:val="-16"/>
                <w:kern w:val="21"/>
                <w:sz w:val="21"/>
                <w:szCs w:val="21"/>
                <w:highlight w:val="none"/>
              </w:rPr>
              <w:instrText xml:space="preserve"> = 6 \* GB3 \* MERGEFORMAT </w:instrText>
            </w:r>
            <w:r>
              <w:rPr>
                <w:rFonts w:hint="default" w:ascii="Times New Roman" w:hAnsi="Times New Roman" w:cs="Times New Roman"/>
                <w:snapToGrid w:val="0"/>
                <w:color w:val="auto"/>
                <w:spacing w:val="-16"/>
                <w:kern w:val="21"/>
                <w:sz w:val="21"/>
                <w:szCs w:val="21"/>
                <w:highlight w:val="none"/>
              </w:rPr>
              <w:fldChar w:fldCharType="separate"/>
            </w:r>
            <w:r>
              <w:rPr>
                <w:rFonts w:hint="default" w:ascii="Times New Roman" w:hAnsi="Times New Roman" w:cs="Times New Roman"/>
                <w:color w:val="auto"/>
                <w:kern w:val="2"/>
                <w:sz w:val="21"/>
                <w:szCs w:val="21"/>
                <w:highlight w:val="none"/>
              </w:rPr>
              <w:t>⑥</w:t>
            </w:r>
            <w:r>
              <w:rPr>
                <w:rFonts w:hint="default" w:ascii="Times New Roman" w:hAnsi="Times New Roman" w:cs="Times New Roman"/>
                <w:snapToGrid w:val="0"/>
                <w:color w:val="auto"/>
                <w:spacing w:val="-16"/>
                <w:kern w:val="21"/>
                <w:sz w:val="21"/>
                <w:szCs w:val="21"/>
                <w:highlight w:val="none"/>
              </w:rPr>
              <w:fldChar w:fldCharType="end"/>
            </w:r>
          </w:p>
        </w:tc>
        <w:tc>
          <w:tcPr>
            <w:tcW w:w="1261" w:type="dxa"/>
            <w:tcBorders>
              <w:tl2br w:val="nil"/>
              <w:tr2bl w:val="nil"/>
            </w:tcBorders>
            <w:noWrap w:val="0"/>
            <w:tcMar>
              <w:left w:w="28" w:type="dxa"/>
              <w:right w:w="28" w:type="dxa"/>
            </w:tcMar>
            <w:vAlign w:val="center"/>
          </w:tcPr>
          <w:p w14:paraId="06D4ED95">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t>变化量</w:t>
            </w:r>
          </w:p>
          <w:p w14:paraId="5EC95BAD">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spacing w:val="-6"/>
                <w:kern w:val="21"/>
                <w:sz w:val="21"/>
                <w:szCs w:val="21"/>
                <w:highlight w:val="none"/>
              </w:rPr>
            </w:pPr>
            <w:r>
              <w:rPr>
                <w:rFonts w:hint="default" w:ascii="Times New Roman" w:hAnsi="Times New Roman" w:cs="Times New Roman"/>
                <w:snapToGrid w:val="0"/>
                <w:color w:val="auto"/>
                <w:spacing w:val="-6"/>
                <w:kern w:val="21"/>
                <w:sz w:val="21"/>
                <w:szCs w:val="21"/>
                <w:highlight w:val="none"/>
              </w:rPr>
              <w:fldChar w:fldCharType="begin"/>
            </w:r>
            <w:r>
              <w:rPr>
                <w:rFonts w:hint="default" w:ascii="Times New Roman" w:hAnsi="Times New Roman" w:cs="Times New Roman"/>
                <w:snapToGrid w:val="0"/>
                <w:color w:val="auto"/>
                <w:spacing w:val="-6"/>
                <w:kern w:val="21"/>
                <w:sz w:val="21"/>
                <w:szCs w:val="21"/>
                <w:highlight w:val="none"/>
              </w:rPr>
              <w:instrText xml:space="preserve"> = 7 \* GB3 \* MERGEFORMAT </w:instrText>
            </w:r>
            <w:r>
              <w:rPr>
                <w:rFonts w:hint="default" w:ascii="Times New Roman" w:hAnsi="Times New Roman" w:cs="Times New Roman"/>
                <w:snapToGrid w:val="0"/>
                <w:color w:val="auto"/>
                <w:spacing w:val="-6"/>
                <w:kern w:val="21"/>
                <w:sz w:val="21"/>
                <w:szCs w:val="21"/>
                <w:highlight w:val="none"/>
              </w:rPr>
              <w:fldChar w:fldCharType="separate"/>
            </w:r>
            <w:r>
              <w:rPr>
                <w:rFonts w:hint="default" w:ascii="Times New Roman" w:hAnsi="Times New Roman" w:cs="Times New Roman"/>
                <w:color w:val="auto"/>
                <w:kern w:val="2"/>
                <w:sz w:val="21"/>
                <w:szCs w:val="21"/>
                <w:highlight w:val="none"/>
              </w:rPr>
              <w:t>⑦</w:t>
            </w:r>
            <w:r>
              <w:rPr>
                <w:rFonts w:hint="default" w:ascii="Times New Roman" w:hAnsi="Times New Roman" w:cs="Times New Roman"/>
                <w:snapToGrid w:val="0"/>
                <w:color w:val="auto"/>
                <w:spacing w:val="-6"/>
                <w:kern w:val="21"/>
                <w:sz w:val="21"/>
                <w:szCs w:val="21"/>
                <w:highlight w:val="none"/>
              </w:rPr>
              <w:fldChar w:fldCharType="end"/>
            </w:r>
          </w:p>
        </w:tc>
      </w:tr>
      <w:tr w14:paraId="52B44D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restart"/>
            <w:tcBorders>
              <w:tl2br w:val="nil"/>
              <w:tr2bl w:val="nil"/>
            </w:tcBorders>
            <w:noWrap w:val="0"/>
            <w:vAlign w:val="center"/>
          </w:tcPr>
          <w:p w14:paraId="082D41A3">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废气</w:t>
            </w:r>
          </w:p>
        </w:tc>
        <w:tc>
          <w:tcPr>
            <w:tcW w:w="1607" w:type="dxa"/>
            <w:tcBorders>
              <w:tl2br w:val="nil"/>
              <w:tr2bl w:val="nil"/>
            </w:tcBorders>
            <w:noWrap w:val="0"/>
            <w:vAlign w:val="center"/>
          </w:tcPr>
          <w:p w14:paraId="6CC8F0D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1734" w:type="dxa"/>
            <w:tcBorders>
              <w:tl2br w:val="nil"/>
              <w:tr2bl w:val="nil"/>
            </w:tcBorders>
            <w:noWrap w:val="0"/>
            <w:vAlign w:val="center"/>
          </w:tcPr>
          <w:p w14:paraId="1FE1CE2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52" w:type="dxa"/>
            <w:tcBorders>
              <w:tl2br w:val="nil"/>
              <w:tr2bl w:val="nil"/>
            </w:tcBorders>
            <w:noWrap w:val="0"/>
            <w:vAlign w:val="center"/>
          </w:tcPr>
          <w:p w14:paraId="44D6532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662" w:type="dxa"/>
            <w:tcBorders>
              <w:tl2br w:val="nil"/>
              <w:tr2bl w:val="nil"/>
            </w:tcBorders>
            <w:noWrap w:val="0"/>
            <w:vAlign w:val="center"/>
          </w:tcPr>
          <w:p w14:paraId="730943B1">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25" w:type="dxa"/>
            <w:tcBorders>
              <w:tl2br w:val="nil"/>
              <w:tr2bl w:val="nil"/>
            </w:tcBorders>
            <w:noWrap w:val="0"/>
            <w:vAlign w:val="center"/>
          </w:tcPr>
          <w:p w14:paraId="5AF97F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0.62</w:t>
            </w:r>
            <w:r>
              <w:rPr>
                <w:rFonts w:hint="default" w:ascii="Times New Roman" w:hAnsi="Times New Roman" w:eastAsia="宋体" w:cs="Times New Roman"/>
                <w:color w:val="auto"/>
                <w:sz w:val="21"/>
                <w:szCs w:val="21"/>
                <w:highlight w:val="none"/>
                <w:lang w:val="en-US" w:eastAsia="zh-CN"/>
              </w:rPr>
              <w:t>t/a</w:t>
            </w:r>
          </w:p>
        </w:tc>
        <w:tc>
          <w:tcPr>
            <w:tcW w:w="1586" w:type="dxa"/>
            <w:tcBorders>
              <w:tl2br w:val="nil"/>
              <w:tr2bl w:val="nil"/>
            </w:tcBorders>
            <w:noWrap w:val="0"/>
            <w:vAlign w:val="center"/>
          </w:tcPr>
          <w:p w14:paraId="12E0D8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603" w:type="dxa"/>
            <w:tcBorders>
              <w:tl2br w:val="nil"/>
              <w:tr2bl w:val="nil"/>
            </w:tcBorders>
            <w:noWrap w:val="0"/>
            <w:vAlign w:val="center"/>
          </w:tcPr>
          <w:p w14:paraId="27C4EF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0.62</w:t>
            </w:r>
            <w:r>
              <w:rPr>
                <w:rFonts w:hint="default" w:ascii="Times New Roman" w:hAnsi="Times New Roman" w:eastAsia="宋体" w:cs="Times New Roman"/>
                <w:color w:val="auto"/>
                <w:sz w:val="21"/>
                <w:szCs w:val="21"/>
                <w:highlight w:val="none"/>
                <w:lang w:val="en-US" w:eastAsia="zh-CN"/>
              </w:rPr>
              <w:t>t/a</w:t>
            </w:r>
          </w:p>
        </w:tc>
        <w:tc>
          <w:tcPr>
            <w:tcW w:w="1261" w:type="dxa"/>
            <w:tcBorders>
              <w:tl2br w:val="nil"/>
              <w:tr2bl w:val="nil"/>
            </w:tcBorders>
            <w:noWrap w:val="0"/>
            <w:vAlign w:val="center"/>
          </w:tcPr>
          <w:p w14:paraId="768924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+0.62</w:t>
            </w:r>
            <w:r>
              <w:rPr>
                <w:rFonts w:hint="default" w:ascii="Times New Roman" w:hAnsi="Times New Roman" w:eastAsia="宋体" w:cs="Times New Roman"/>
                <w:color w:val="auto"/>
                <w:sz w:val="21"/>
                <w:szCs w:val="21"/>
                <w:highlight w:val="none"/>
                <w:lang w:val="en-US" w:eastAsia="zh-CN"/>
              </w:rPr>
              <w:t>t/a</w:t>
            </w:r>
          </w:p>
        </w:tc>
      </w:tr>
      <w:tr w14:paraId="591510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311C8F65">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607" w:type="dxa"/>
            <w:tcBorders>
              <w:tl2br w:val="nil"/>
              <w:tr2bl w:val="nil"/>
            </w:tcBorders>
            <w:noWrap w:val="0"/>
            <w:vAlign w:val="center"/>
          </w:tcPr>
          <w:p w14:paraId="3675407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二氧化硫</w:t>
            </w:r>
          </w:p>
        </w:tc>
        <w:tc>
          <w:tcPr>
            <w:tcW w:w="1734" w:type="dxa"/>
            <w:tcBorders>
              <w:tl2br w:val="nil"/>
              <w:tr2bl w:val="nil"/>
            </w:tcBorders>
            <w:noWrap w:val="0"/>
            <w:vAlign w:val="center"/>
          </w:tcPr>
          <w:p w14:paraId="5879BC2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52" w:type="dxa"/>
            <w:tcBorders>
              <w:tl2br w:val="nil"/>
              <w:tr2bl w:val="nil"/>
            </w:tcBorders>
            <w:noWrap w:val="0"/>
            <w:vAlign w:val="center"/>
          </w:tcPr>
          <w:p w14:paraId="28247B5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662" w:type="dxa"/>
            <w:tcBorders>
              <w:tl2br w:val="nil"/>
              <w:tr2bl w:val="nil"/>
            </w:tcBorders>
            <w:noWrap w:val="0"/>
            <w:vAlign w:val="center"/>
          </w:tcPr>
          <w:p w14:paraId="0D40BE0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25" w:type="dxa"/>
            <w:tcBorders>
              <w:tl2br w:val="nil"/>
              <w:tr2bl w:val="nil"/>
            </w:tcBorders>
            <w:noWrap w:val="0"/>
            <w:vAlign w:val="center"/>
          </w:tcPr>
          <w:p w14:paraId="50A94C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86" w:type="dxa"/>
            <w:tcBorders>
              <w:tl2br w:val="nil"/>
              <w:tr2bl w:val="nil"/>
            </w:tcBorders>
            <w:noWrap w:val="0"/>
            <w:vAlign w:val="center"/>
          </w:tcPr>
          <w:p w14:paraId="08A9DC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603" w:type="dxa"/>
            <w:tcBorders>
              <w:tl2br w:val="nil"/>
              <w:tr2bl w:val="nil"/>
            </w:tcBorders>
            <w:noWrap w:val="0"/>
            <w:vAlign w:val="center"/>
          </w:tcPr>
          <w:p w14:paraId="5C642C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61" w:type="dxa"/>
            <w:tcBorders>
              <w:tl2br w:val="nil"/>
              <w:tr2bl w:val="nil"/>
            </w:tcBorders>
            <w:noWrap w:val="0"/>
            <w:vAlign w:val="center"/>
          </w:tcPr>
          <w:p w14:paraId="2F6C20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3A7CE0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4A6D4DD4">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607" w:type="dxa"/>
            <w:tcBorders>
              <w:tl2br w:val="nil"/>
              <w:tr2bl w:val="nil"/>
            </w:tcBorders>
            <w:noWrap w:val="0"/>
            <w:vAlign w:val="center"/>
          </w:tcPr>
          <w:p w14:paraId="7448489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氮氧化物</w:t>
            </w:r>
          </w:p>
        </w:tc>
        <w:tc>
          <w:tcPr>
            <w:tcW w:w="1734" w:type="dxa"/>
            <w:tcBorders>
              <w:tl2br w:val="nil"/>
              <w:tr2bl w:val="nil"/>
            </w:tcBorders>
            <w:noWrap w:val="0"/>
            <w:vAlign w:val="center"/>
          </w:tcPr>
          <w:p w14:paraId="11E6C74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52" w:type="dxa"/>
            <w:tcBorders>
              <w:tl2br w:val="nil"/>
              <w:tr2bl w:val="nil"/>
            </w:tcBorders>
            <w:noWrap w:val="0"/>
            <w:vAlign w:val="center"/>
          </w:tcPr>
          <w:p w14:paraId="14381D8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662" w:type="dxa"/>
            <w:tcBorders>
              <w:tl2br w:val="nil"/>
              <w:tr2bl w:val="nil"/>
            </w:tcBorders>
            <w:noWrap w:val="0"/>
            <w:vAlign w:val="center"/>
          </w:tcPr>
          <w:p w14:paraId="2727A9DA">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25" w:type="dxa"/>
            <w:tcBorders>
              <w:tl2br w:val="nil"/>
              <w:tr2bl w:val="nil"/>
            </w:tcBorders>
            <w:noWrap w:val="0"/>
            <w:vAlign w:val="center"/>
          </w:tcPr>
          <w:p w14:paraId="5CCA8C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586" w:type="dxa"/>
            <w:tcBorders>
              <w:tl2br w:val="nil"/>
              <w:tr2bl w:val="nil"/>
            </w:tcBorders>
            <w:noWrap w:val="0"/>
            <w:vAlign w:val="center"/>
          </w:tcPr>
          <w:p w14:paraId="73F608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603" w:type="dxa"/>
            <w:tcBorders>
              <w:tl2br w:val="nil"/>
              <w:tr2bl w:val="nil"/>
            </w:tcBorders>
            <w:noWrap w:val="0"/>
            <w:vAlign w:val="center"/>
          </w:tcPr>
          <w:p w14:paraId="5905C9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61" w:type="dxa"/>
            <w:tcBorders>
              <w:tl2br w:val="nil"/>
              <w:tr2bl w:val="nil"/>
            </w:tcBorders>
            <w:noWrap w:val="0"/>
            <w:vAlign w:val="center"/>
          </w:tcPr>
          <w:p w14:paraId="51122D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4C1D2E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restart"/>
            <w:tcBorders>
              <w:tl2br w:val="nil"/>
              <w:tr2bl w:val="nil"/>
            </w:tcBorders>
            <w:noWrap w:val="0"/>
            <w:vAlign w:val="center"/>
          </w:tcPr>
          <w:p w14:paraId="429D0C60">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废水</w:t>
            </w:r>
          </w:p>
        </w:tc>
        <w:tc>
          <w:tcPr>
            <w:tcW w:w="1607" w:type="dxa"/>
            <w:tcBorders>
              <w:tl2br w:val="nil"/>
              <w:tr2bl w:val="nil"/>
            </w:tcBorders>
            <w:noWrap w:val="0"/>
            <w:vAlign w:val="center"/>
          </w:tcPr>
          <w:p w14:paraId="37C752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734" w:type="dxa"/>
            <w:tcBorders>
              <w:tl2br w:val="nil"/>
              <w:tr2bl w:val="nil"/>
            </w:tcBorders>
            <w:noWrap w:val="0"/>
            <w:vAlign w:val="center"/>
          </w:tcPr>
          <w:p w14:paraId="22DABC8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252" w:type="dxa"/>
            <w:tcBorders>
              <w:tl2br w:val="nil"/>
              <w:tr2bl w:val="nil"/>
            </w:tcBorders>
            <w:noWrap w:val="0"/>
            <w:vAlign w:val="center"/>
          </w:tcPr>
          <w:p w14:paraId="32076D3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662" w:type="dxa"/>
            <w:tcBorders>
              <w:tl2br w:val="nil"/>
              <w:tr2bl w:val="nil"/>
            </w:tcBorders>
            <w:noWrap w:val="0"/>
            <w:vAlign w:val="center"/>
          </w:tcPr>
          <w:p w14:paraId="4FC1012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25" w:type="dxa"/>
            <w:tcBorders>
              <w:tl2br w:val="nil"/>
              <w:tr2bl w:val="nil"/>
            </w:tcBorders>
            <w:noWrap w:val="0"/>
            <w:vAlign w:val="center"/>
          </w:tcPr>
          <w:p w14:paraId="5109A691">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86" w:type="dxa"/>
            <w:tcBorders>
              <w:tl2br w:val="nil"/>
              <w:tr2bl w:val="nil"/>
            </w:tcBorders>
            <w:noWrap w:val="0"/>
            <w:vAlign w:val="center"/>
          </w:tcPr>
          <w:p w14:paraId="016332E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603" w:type="dxa"/>
            <w:tcBorders>
              <w:tl2br w:val="nil"/>
              <w:tr2bl w:val="nil"/>
            </w:tcBorders>
            <w:noWrap w:val="0"/>
            <w:vAlign w:val="center"/>
          </w:tcPr>
          <w:p w14:paraId="3CF5CFA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61" w:type="dxa"/>
            <w:tcBorders>
              <w:tl2br w:val="nil"/>
              <w:tr2bl w:val="nil"/>
            </w:tcBorders>
            <w:noWrap w:val="0"/>
            <w:vAlign w:val="center"/>
          </w:tcPr>
          <w:p w14:paraId="7D93984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34F4FA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44CF32B9">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607" w:type="dxa"/>
            <w:tcBorders>
              <w:tl2br w:val="nil"/>
              <w:tr2bl w:val="nil"/>
            </w:tcBorders>
            <w:noWrap w:val="0"/>
            <w:vAlign w:val="center"/>
          </w:tcPr>
          <w:p w14:paraId="6F8232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734" w:type="dxa"/>
            <w:tcBorders>
              <w:tl2br w:val="nil"/>
              <w:tr2bl w:val="nil"/>
            </w:tcBorders>
            <w:noWrap w:val="0"/>
            <w:vAlign w:val="center"/>
          </w:tcPr>
          <w:p w14:paraId="7A9C593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252" w:type="dxa"/>
            <w:tcBorders>
              <w:tl2br w:val="nil"/>
              <w:tr2bl w:val="nil"/>
            </w:tcBorders>
            <w:noWrap w:val="0"/>
            <w:vAlign w:val="center"/>
          </w:tcPr>
          <w:p w14:paraId="532A291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662" w:type="dxa"/>
            <w:tcBorders>
              <w:tl2br w:val="nil"/>
              <w:tr2bl w:val="nil"/>
            </w:tcBorders>
            <w:noWrap w:val="0"/>
            <w:vAlign w:val="center"/>
          </w:tcPr>
          <w:p w14:paraId="18ADC90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25" w:type="dxa"/>
            <w:tcBorders>
              <w:tl2br w:val="nil"/>
              <w:tr2bl w:val="nil"/>
            </w:tcBorders>
            <w:noWrap w:val="0"/>
            <w:vAlign w:val="center"/>
          </w:tcPr>
          <w:p w14:paraId="0F752A7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586" w:type="dxa"/>
            <w:tcBorders>
              <w:tl2br w:val="nil"/>
              <w:tr2bl w:val="nil"/>
            </w:tcBorders>
            <w:noWrap w:val="0"/>
            <w:vAlign w:val="center"/>
          </w:tcPr>
          <w:p w14:paraId="3368A54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1603" w:type="dxa"/>
            <w:tcBorders>
              <w:tl2br w:val="nil"/>
              <w:tr2bl w:val="nil"/>
            </w:tcBorders>
            <w:noWrap w:val="0"/>
            <w:vAlign w:val="center"/>
          </w:tcPr>
          <w:p w14:paraId="5EBD311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1261" w:type="dxa"/>
            <w:tcBorders>
              <w:tl2br w:val="nil"/>
              <w:tr2bl w:val="nil"/>
            </w:tcBorders>
            <w:noWrap w:val="0"/>
            <w:vAlign w:val="center"/>
          </w:tcPr>
          <w:p w14:paraId="3B9569D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r>
      <w:tr w14:paraId="6321EB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restart"/>
            <w:tcBorders>
              <w:tl2br w:val="nil"/>
              <w:tr2bl w:val="nil"/>
            </w:tcBorders>
            <w:noWrap w:val="0"/>
            <w:vAlign w:val="center"/>
          </w:tcPr>
          <w:p w14:paraId="50B7B4AC">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一般工业</w:t>
            </w:r>
          </w:p>
          <w:p w14:paraId="4AE07B4D">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rPr>
              <w:t>固体废物</w:t>
            </w:r>
          </w:p>
        </w:tc>
        <w:tc>
          <w:tcPr>
            <w:tcW w:w="1607" w:type="dxa"/>
            <w:tcBorders>
              <w:tl2br w:val="nil"/>
              <w:tr2bl w:val="nil"/>
            </w:tcBorders>
            <w:shd w:val="clear" w:color="auto" w:fill="auto"/>
            <w:noWrap w:val="0"/>
            <w:vAlign w:val="center"/>
          </w:tcPr>
          <w:p w14:paraId="0E48F3C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1734" w:type="dxa"/>
            <w:tcBorders>
              <w:tl2br w:val="nil"/>
              <w:tr2bl w:val="nil"/>
            </w:tcBorders>
            <w:noWrap w:val="0"/>
            <w:vAlign w:val="center"/>
          </w:tcPr>
          <w:p w14:paraId="5BC80F7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tl2br w:val="nil"/>
              <w:tr2bl w:val="nil"/>
            </w:tcBorders>
            <w:noWrap w:val="0"/>
            <w:vAlign w:val="center"/>
          </w:tcPr>
          <w:p w14:paraId="0DDC4B0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tl2br w:val="nil"/>
              <w:tr2bl w:val="nil"/>
            </w:tcBorders>
            <w:noWrap w:val="0"/>
            <w:vAlign w:val="center"/>
          </w:tcPr>
          <w:p w14:paraId="7AA56834">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tl2br w:val="nil"/>
              <w:tr2bl w:val="nil"/>
            </w:tcBorders>
            <w:shd w:val="clear" w:color="auto" w:fill="auto"/>
            <w:noWrap w:val="0"/>
            <w:vAlign w:val="center"/>
          </w:tcPr>
          <w:p w14:paraId="1A8B7FF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2.25</w:t>
            </w:r>
            <w:r>
              <w:rPr>
                <w:rFonts w:hint="default" w:ascii="Times New Roman" w:hAnsi="Times New Roman" w:eastAsia="宋体" w:cs="Times New Roman"/>
                <w:color w:val="auto"/>
                <w:sz w:val="21"/>
                <w:szCs w:val="21"/>
                <w:lang w:val="en-US" w:eastAsia="zh-CN"/>
              </w:rPr>
              <w:t>t/a</w:t>
            </w:r>
          </w:p>
        </w:tc>
        <w:tc>
          <w:tcPr>
            <w:tcW w:w="1586" w:type="dxa"/>
            <w:tcBorders>
              <w:tl2br w:val="nil"/>
              <w:tr2bl w:val="nil"/>
            </w:tcBorders>
            <w:noWrap w:val="0"/>
            <w:vAlign w:val="center"/>
          </w:tcPr>
          <w:p w14:paraId="45435FF4">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tl2br w:val="nil"/>
              <w:tr2bl w:val="nil"/>
            </w:tcBorders>
            <w:shd w:val="clear" w:color="auto" w:fill="auto"/>
            <w:noWrap w:val="0"/>
            <w:vAlign w:val="center"/>
          </w:tcPr>
          <w:p w14:paraId="300D6C47">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2.25</w:t>
            </w:r>
            <w:r>
              <w:rPr>
                <w:rFonts w:hint="default" w:ascii="Times New Roman" w:hAnsi="Times New Roman" w:eastAsia="宋体" w:cs="Times New Roman"/>
                <w:color w:val="auto"/>
                <w:sz w:val="21"/>
                <w:szCs w:val="21"/>
                <w:lang w:val="en-US" w:eastAsia="zh-CN"/>
              </w:rPr>
              <w:t>t/a</w:t>
            </w:r>
          </w:p>
        </w:tc>
        <w:tc>
          <w:tcPr>
            <w:tcW w:w="1261" w:type="dxa"/>
            <w:tcBorders>
              <w:tl2br w:val="nil"/>
              <w:tr2bl w:val="nil"/>
            </w:tcBorders>
            <w:shd w:val="clear" w:color="auto" w:fill="auto"/>
            <w:noWrap w:val="0"/>
            <w:vAlign w:val="center"/>
          </w:tcPr>
          <w:p w14:paraId="72F9F593">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+2.25</w:t>
            </w:r>
            <w:r>
              <w:rPr>
                <w:rFonts w:hint="default" w:ascii="Times New Roman" w:hAnsi="Times New Roman" w:eastAsia="宋体" w:cs="Times New Roman"/>
                <w:color w:val="auto"/>
                <w:sz w:val="21"/>
                <w:szCs w:val="21"/>
                <w:lang w:val="en-US" w:eastAsia="zh-CN"/>
              </w:rPr>
              <w:t>t/a</w:t>
            </w:r>
          </w:p>
        </w:tc>
      </w:tr>
      <w:tr w14:paraId="79846E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6E5C625A">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lang w:val="en-US" w:eastAsia="zh-CN" w:bidi="ar-SA"/>
              </w:rPr>
            </w:pPr>
          </w:p>
        </w:tc>
        <w:tc>
          <w:tcPr>
            <w:tcW w:w="1607" w:type="dxa"/>
            <w:tcBorders>
              <w:bottom w:val="single" w:color="auto" w:sz="4" w:space="0"/>
              <w:tl2br w:val="nil"/>
              <w:tr2bl w:val="nil"/>
            </w:tcBorders>
            <w:shd w:val="clear" w:color="auto" w:fill="auto"/>
            <w:noWrap w:val="0"/>
            <w:vAlign w:val="center"/>
          </w:tcPr>
          <w:p w14:paraId="3C889BF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布袋除尘器收集粉尘</w:t>
            </w:r>
          </w:p>
        </w:tc>
        <w:tc>
          <w:tcPr>
            <w:tcW w:w="1734" w:type="dxa"/>
            <w:tcBorders>
              <w:bottom w:val="single" w:color="auto" w:sz="4" w:space="0"/>
              <w:tl2br w:val="nil"/>
              <w:tr2bl w:val="nil"/>
            </w:tcBorders>
            <w:noWrap w:val="0"/>
            <w:vAlign w:val="center"/>
          </w:tcPr>
          <w:p w14:paraId="2891580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bottom w:val="single" w:color="auto" w:sz="4" w:space="0"/>
              <w:tl2br w:val="nil"/>
              <w:tr2bl w:val="nil"/>
            </w:tcBorders>
            <w:noWrap w:val="0"/>
            <w:vAlign w:val="center"/>
          </w:tcPr>
          <w:p w14:paraId="3E66AF0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bottom w:val="single" w:color="auto" w:sz="4" w:space="0"/>
              <w:tl2br w:val="nil"/>
              <w:tr2bl w:val="nil"/>
            </w:tcBorders>
            <w:noWrap w:val="0"/>
            <w:vAlign w:val="center"/>
          </w:tcPr>
          <w:p w14:paraId="416C228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bottom w:val="single" w:color="auto" w:sz="4" w:space="0"/>
              <w:tl2br w:val="nil"/>
              <w:tr2bl w:val="nil"/>
            </w:tcBorders>
            <w:shd w:val="clear" w:color="auto" w:fill="auto"/>
            <w:noWrap w:val="0"/>
            <w:vAlign w:val="center"/>
          </w:tcPr>
          <w:p w14:paraId="3C5DD57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25.92</w:t>
            </w:r>
            <w:r>
              <w:rPr>
                <w:rFonts w:hint="default" w:ascii="Times New Roman" w:hAnsi="Times New Roman" w:eastAsia="宋体" w:cs="Times New Roman"/>
                <w:color w:val="auto"/>
                <w:sz w:val="21"/>
                <w:szCs w:val="21"/>
                <w:highlight w:val="none"/>
                <w:lang w:val="en-US" w:eastAsia="zh-CN"/>
              </w:rPr>
              <w:t>t/a</w:t>
            </w:r>
          </w:p>
        </w:tc>
        <w:tc>
          <w:tcPr>
            <w:tcW w:w="1586" w:type="dxa"/>
            <w:tcBorders>
              <w:bottom w:val="single" w:color="auto" w:sz="4" w:space="0"/>
              <w:tl2br w:val="nil"/>
              <w:tr2bl w:val="nil"/>
            </w:tcBorders>
            <w:noWrap w:val="0"/>
            <w:vAlign w:val="center"/>
          </w:tcPr>
          <w:p w14:paraId="6F3E95A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bottom w:val="single" w:color="auto" w:sz="4" w:space="0"/>
              <w:tl2br w:val="nil"/>
              <w:tr2bl w:val="nil"/>
            </w:tcBorders>
            <w:shd w:val="clear" w:color="auto" w:fill="auto"/>
            <w:noWrap w:val="0"/>
            <w:vAlign w:val="center"/>
          </w:tcPr>
          <w:p w14:paraId="528C31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25.92</w:t>
            </w:r>
            <w:r>
              <w:rPr>
                <w:rFonts w:hint="default" w:ascii="Times New Roman" w:hAnsi="Times New Roman" w:eastAsia="宋体" w:cs="Times New Roman"/>
                <w:color w:val="auto"/>
                <w:sz w:val="21"/>
                <w:szCs w:val="21"/>
                <w:highlight w:val="none"/>
                <w:lang w:val="en-US" w:eastAsia="zh-CN"/>
              </w:rPr>
              <w:t>t/a</w:t>
            </w:r>
          </w:p>
        </w:tc>
        <w:tc>
          <w:tcPr>
            <w:tcW w:w="1261" w:type="dxa"/>
            <w:tcBorders>
              <w:bottom w:val="single" w:color="auto" w:sz="4" w:space="0"/>
              <w:tl2br w:val="nil"/>
              <w:tr2bl w:val="nil"/>
            </w:tcBorders>
            <w:shd w:val="clear" w:color="auto" w:fill="auto"/>
            <w:noWrap w:val="0"/>
            <w:vAlign w:val="center"/>
          </w:tcPr>
          <w:p w14:paraId="045BD4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+25.92</w:t>
            </w:r>
            <w:r>
              <w:rPr>
                <w:rFonts w:hint="default" w:ascii="Times New Roman" w:hAnsi="Times New Roman" w:eastAsia="宋体" w:cs="Times New Roman"/>
                <w:color w:val="auto"/>
                <w:sz w:val="21"/>
                <w:szCs w:val="21"/>
                <w:highlight w:val="none"/>
                <w:lang w:val="en-US" w:eastAsia="zh-CN"/>
              </w:rPr>
              <w:t>t/a</w:t>
            </w:r>
          </w:p>
        </w:tc>
      </w:tr>
      <w:tr w14:paraId="59CD51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17CCA854">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lang w:val="en-US" w:eastAsia="zh-CN" w:bidi="ar-SA"/>
              </w:rPr>
            </w:pPr>
          </w:p>
        </w:tc>
        <w:tc>
          <w:tcPr>
            <w:tcW w:w="1607" w:type="dxa"/>
            <w:tcBorders>
              <w:bottom w:val="single" w:color="auto" w:sz="4" w:space="0"/>
              <w:tl2br w:val="nil"/>
              <w:tr2bl w:val="nil"/>
            </w:tcBorders>
            <w:shd w:val="clear" w:color="auto" w:fill="auto"/>
            <w:noWrap w:val="0"/>
            <w:vAlign w:val="center"/>
          </w:tcPr>
          <w:p w14:paraId="076A4D5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废布袋</w:t>
            </w:r>
          </w:p>
        </w:tc>
        <w:tc>
          <w:tcPr>
            <w:tcW w:w="1734" w:type="dxa"/>
            <w:tcBorders>
              <w:bottom w:val="single" w:color="auto" w:sz="4" w:space="0"/>
              <w:tl2br w:val="nil"/>
              <w:tr2bl w:val="nil"/>
            </w:tcBorders>
            <w:shd w:val="clear" w:color="auto" w:fill="auto"/>
            <w:noWrap w:val="0"/>
            <w:vAlign w:val="center"/>
          </w:tcPr>
          <w:p w14:paraId="38FC8781">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252" w:type="dxa"/>
            <w:tcBorders>
              <w:bottom w:val="single" w:color="auto" w:sz="4" w:space="0"/>
              <w:tl2br w:val="nil"/>
              <w:tr2bl w:val="nil"/>
            </w:tcBorders>
            <w:shd w:val="clear" w:color="auto" w:fill="auto"/>
            <w:noWrap w:val="0"/>
            <w:vAlign w:val="center"/>
          </w:tcPr>
          <w:p w14:paraId="6F22A08F">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662" w:type="dxa"/>
            <w:tcBorders>
              <w:bottom w:val="single" w:color="auto" w:sz="4" w:space="0"/>
              <w:tl2br w:val="nil"/>
              <w:tr2bl w:val="nil"/>
            </w:tcBorders>
            <w:shd w:val="clear" w:color="auto" w:fill="auto"/>
            <w:noWrap w:val="0"/>
            <w:vAlign w:val="center"/>
          </w:tcPr>
          <w:p w14:paraId="00F18023">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525" w:type="dxa"/>
            <w:tcBorders>
              <w:bottom w:val="single" w:color="auto" w:sz="4" w:space="0"/>
              <w:tl2br w:val="nil"/>
              <w:tr2bl w:val="nil"/>
            </w:tcBorders>
            <w:shd w:val="clear" w:color="auto" w:fill="auto"/>
            <w:noWrap w:val="0"/>
            <w:vAlign w:val="center"/>
          </w:tcPr>
          <w:p w14:paraId="2E05D09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0.02t/a</w:t>
            </w:r>
          </w:p>
        </w:tc>
        <w:tc>
          <w:tcPr>
            <w:tcW w:w="1586" w:type="dxa"/>
            <w:tcBorders>
              <w:bottom w:val="single" w:color="auto" w:sz="4" w:space="0"/>
              <w:tl2br w:val="nil"/>
              <w:tr2bl w:val="nil"/>
            </w:tcBorders>
            <w:noWrap w:val="0"/>
            <w:vAlign w:val="center"/>
          </w:tcPr>
          <w:p w14:paraId="2DD318B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603" w:type="dxa"/>
            <w:tcBorders>
              <w:bottom w:val="single" w:color="auto" w:sz="4" w:space="0"/>
              <w:tl2br w:val="nil"/>
              <w:tr2bl w:val="nil"/>
            </w:tcBorders>
            <w:shd w:val="clear" w:color="auto" w:fill="auto"/>
            <w:noWrap w:val="0"/>
            <w:vAlign w:val="center"/>
          </w:tcPr>
          <w:p w14:paraId="111F60F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0.02t/a</w:t>
            </w:r>
          </w:p>
        </w:tc>
        <w:tc>
          <w:tcPr>
            <w:tcW w:w="1261" w:type="dxa"/>
            <w:tcBorders>
              <w:bottom w:val="single" w:color="auto" w:sz="4" w:space="0"/>
              <w:tl2br w:val="nil"/>
              <w:tr2bl w:val="nil"/>
            </w:tcBorders>
            <w:shd w:val="clear" w:color="auto" w:fill="auto"/>
            <w:noWrap w:val="0"/>
            <w:vAlign w:val="center"/>
          </w:tcPr>
          <w:p w14:paraId="44FDB60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+0.02t/a</w:t>
            </w:r>
          </w:p>
        </w:tc>
      </w:tr>
      <w:tr w14:paraId="4FE644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1971B8CA">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607" w:type="dxa"/>
            <w:tcBorders>
              <w:top w:val="single" w:color="auto" w:sz="4" w:space="0"/>
              <w:bottom w:val="single" w:color="auto" w:sz="4" w:space="0"/>
              <w:tl2br w:val="nil"/>
              <w:tr2bl w:val="nil"/>
            </w:tcBorders>
            <w:shd w:val="clear" w:color="auto" w:fill="auto"/>
            <w:noWrap w:val="0"/>
            <w:vAlign w:val="center"/>
          </w:tcPr>
          <w:p w14:paraId="664A9E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废包装袋</w:t>
            </w:r>
          </w:p>
        </w:tc>
        <w:tc>
          <w:tcPr>
            <w:tcW w:w="1734" w:type="dxa"/>
            <w:tcBorders>
              <w:top w:val="single" w:color="auto" w:sz="4" w:space="0"/>
              <w:bottom w:val="single" w:color="auto" w:sz="4" w:space="0"/>
              <w:tl2br w:val="nil"/>
              <w:tr2bl w:val="nil"/>
            </w:tcBorders>
            <w:noWrap w:val="0"/>
            <w:vAlign w:val="center"/>
          </w:tcPr>
          <w:p w14:paraId="0C65E92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top w:val="single" w:color="auto" w:sz="4" w:space="0"/>
              <w:bottom w:val="single" w:color="auto" w:sz="4" w:space="0"/>
              <w:tl2br w:val="nil"/>
              <w:tr2bl w:val="nil"/>
            </w:tcBorders>
            <w:noWrap w:val="0"/>
            <w:vAlign w:val="center"/>
          </w:tcPr>
          <w:p w14:paraId="52036AA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top w:val="single" w:color="auto" w:sz="4" w:space="0"/>
              <w:bottom w:val="single" w:color="auto" w:sz="4" w:space="0"/>
              <w:tl2br w:val="nil"/>
              <w:tr2bl w:val="nil"/>
            </w:tcBorders>
            <w:noWrap w:val="0"/>
            <w:vAlign w:val="center"/>
          </w:tcPr>
          <w:p w14:paraId="13D3F03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top w:val="single" w:color="auto" w:sz="4" w:space="0"/>
              <w:bottom w:val="single" w:color="auto" w:sz="4" w:space="0"/>
              <w:tl2br w:val="nil"/>
              <w:tr2bl w:val="nil"/>
            </w:tcBorders>
            <w:shd w:val="clear" w:color="auto" w:fill="auto"/>
            <w:noWrap w:val="0"/>
            <w:vAlign w:val="center"/>
          </w:tcPr>
          <w:p w14:paraId="6D9178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t/a</w:t>
            </w:r>
          </w:p>
        </w:tc>
        <w:tc>
          <w:tcPr>
            <w:tcW w:w="1586" w:type="dxa"/>
            <w:tcBorders>
              <w:top w:val="single" w:color="auto" w:sz="4" w:space="0"/>
              <w:bottom w:val="single" w:color="auto" w:sz="4" w:space="0"/>
              <w:tl2br w:val="nil"/>
              <w:tr2bl w:val="nil"/>
            </w:tcBorders>
            <w:noWrap w:val="0"/>
            <w:vAlign w:val="center"/>
          </w:tcPr>
          <w:p w14:paraId="3B49B96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top w:val="single" w:color="auto" w:sz="4" w:space="0"/>
              <w:bottom w:val="single" w:color="auto" w:sz="4" w:space="0"/>
              <w:tl2br w:val="nil"/>
              <w:tr2bl w:val="nil"/>
            </w:tcBorders>
            <w:shd w:val="clear" w:color="auto" w:fill="auto"/>
            <w:noWrap w:val="0"/>
            <w:vAlign w:val="center"/>
          </w:tcPr>
          <w:p w14:paraId="3B17C2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t/a</w:t>
            </w:r>
          </w:p>
        </w:tc>
        <w:tc>
          <w:tcPr>
            <w:tcW w:w="1261" w:type="dxa"/>
            <w:tcBorders>
              <w:top w:val="single" w:color="auto" w:sz="4" w:space="0"/>
              <w:bottom w:val="single" w:color="auto" w:sz="4" w:space="0"/>
              <w:tl2br w:val="nil"/>
              <w:tr2bl w:val="nil"/>
            </w:tcBorders>
            <w:shd w:val="clear" w:color="auto" w:fill="auto"/>
            <w:noWrap w:val="0"/>
            <w:vAlign w:val="center"/>
          </w:tcPr>
          <w:p w14:paraId="46CA36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t/a</w:t>
            </w:r>
          </w:p>
        </w:tc>
      </w:tr>
      <w:tr w14:paraId="2A103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0BC21819">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607" w:type="dxa"/>
            <w:tcBorders>
              <w:top w:val="single" w:color="auto" w:sz="4" w:space="0"/>
              <w:bottom w:val="single" w:color="auto" w:sz="4" w:space="0"/>
              <w:tl2br w:val="nil"/>
              <w:tr2bl w:val="nil"/>
            </w:tcBorders>
            <w:shd w:val="clear" w:color="auto" w:fill="auto"/>
            <w:noWrap w:val="0"/>
            <w:vAlign w:val="center"/>
          </w:tcPr>
          <w:p w14:paraId="5555799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磁选杂质</w:t>
            </w:r>
          </w:p>
        </w:tc>
        <w:tc>
          <w:tcPr>
            <w:tcW w:w="1734" w:type="dxa"/>
            <w:tcBorders>
              <w:top w:val="single" w:color="auto" w:sz="4" w:space="0"/>
              <w:bottom w:val="single" w:color="auto" w:sz="4" w:space="0"/>
              <w:tl2br w:val="nil"/>
              <w:tr2bl w:val="nil"/>
            </w:tcBorders>
            <w:noWrap w:val="0"/>
            <w:vAlign w:val="center"/>
          </w:tcPr>
          <w:p w14:paraId="4AD25104">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top w:val="single" w:color="auto" w:sz="4" w:space="0"/>
              <w:bottom w:val="single" w:color="auto" w:sz="4" w:space="0"/>
              <w:tl2br w:val="nil"/>
              <w:tr2bl w:val="nil"/>
            </w:tcBorders>
            <w:noWrap w:val="0"/>
            <w:vAlign w:val="center"/>
          </w:tcPr>
          <w:p w14:paraId="346E324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top w:val="single" w:color="auto" w:sz="4" w:space="0"/>
              <w:bottom w:val="single" w:color="auto" w:sz="4" w:space="0"/>
              <w:tl2br w:val="nil"/>
              <w:tr2bl w:val="nil"/>
            </w:tcBorders>
            <w:noWrap w:val="0"/>
            <w:vAlign w:val="center"/>
          </w:tcPr>
          <w:p w14:paraId="720BF21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top w:val="single" w:color="auto" w:sz="4" w:space="0"/>
              <w:bottom w:val="single" w:color="auto" w:sz="4" w:space="0"/>
              <w:tl2br w:val="nil"/>
              <w:tr2bl w:val="nil"/>
            </w:tcBorders>
            <w:shd w:val="clear" w:color="auto" w:fill="auto"/>
            <w:noWrap w:val="0"/>
            <w:vAlign w:val="center"/>
          </w:tcPr>
          <w:p w14:paraId="54C42F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t/a</w:t>
            </w:r>
          </w:p>
        </w:tc>
        <w:tc>
          <w:tcPr>
            <w:tcW w:w="1586" w:type="dxa"/>
            <w:tcBorders>
              <w:top w:val="single" w:color="auto" w:sz="4" w:space="0"/>
              <w:bottom w:val="single" w:color="auto" w:sz="4" w:space="0"/>
              <w:tl2br w:val="nil"/>
              <w:tr2bl w:val="nil"/>
            </w:tcBorders>
            <w:noWrap w:val="0"/>
            <w:vAlign w:val="center"/>
          </w:tcPr>
          <w:p w14:paraId="5A9CF58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top w:val="single" w:color="auto" w:sz="4" w:space="0"/>
              <w:bottom w:val="single" w:color="auto" w:sz="4" w:space="0"/>
              <w:tl2br w:val="nil"/>
              <w:tr2bl w:val="nil"/>
            </w:tcBorders>
            <w:shd w:val="clear" w:color="auto" w:fill="auto"/>
            <w:noWrap w:val="0"/>
            <w:vAlign w:val="center"/>
          </w:tcPr>
          <w:p w14:paraId="1B9BC09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t/a</w:t>
            </w:r>
          </w:p>
        </w:tc>
        <w:tc>
          <w:tcPr>
            <w:tcW w:w="1261" w:type="dxa"/>
            <w:tcBorders>
              <w:top w:val="single" w:color="auto" w:sz="4" w:space="0"/>
              <w:bottom w:val="single" w:color="auto" w:sz="4" w:space="0"/>
              <w:tl2br w:val="nil"/>
              <w:tr2bl w:val="nil"/>
            </w:tcBorders>
            <w:shd w:val="clear" w:color="auto" w:fill="auto"/>
            <w:noWrap w:val="0"/>
            <w:vAlign w:val="center"/>
          </w:tcPr>
          <w:p w14:paraId="2394B12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t/a</w:t>
            </w:r>
          </w:p>
        </w:tc>
      </w:tr>
      <w:tr w14:paraId="553AF8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restart"/>
            <w:tcBorders>
              <w:tl2br w:val="nil"/>
              <w:tr2bl w:val="nil"/>
            </w:tcBorders>
            <w:noWrap w:val="0"/>
            <w:vAlign w:val="center"/>
          </w:tcPr>
          <w:p w14:paraId="5FE43180">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危险废物</w:t>
            </w:r>
          </w:p>
        </w:tc>
        <w:tc>
          <w:tcPr>
            <w:tcW w:w="1607" w:type="dxa"/>
            <w:tcBorders>
              <w:tl2br w:val="nil"/>
              <w:tr2bl w:val="nil"/>
            </w:tcBorders>
            <w:shd w:val="clear" w:color="auto" w:fill="auto"/>
            <w:noWrap w:val="0"/>
            <w:vAlign w:val="center"/>
          </w:tcPr>
          <w:p w14:paraId="7297063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废机油</w:t>
            </w:r>
          </w:p>
        </w:tc>
        <w:tc>
          <w:tcPr>
            <w:tcW w:w="1734" w:type="dxa"/>
            <w:tcBorders>
              <w:tl2br w:val="nil"/>
              <w:tr2bl w:val="nil"/>
            </w:tcBorders>
            <w:shd w:val="clear" w:color="auto" w:fill="auto"/>
            <w:noWrap w:val="0"/>
            <w:vAlign w:val="center"/>
          </w:tcPr>
          <w:p w14:paraId="53291839">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tl2br w:val="nil"/>
              <w:tr2bl w:val="nil"/>
            </w:tcBorders>
            <w:shd w:val="clear" w:color="auto" w:fill="auto"/>
            <w:noWrap w:val="0"/>
            <w:vAlign w:val="center"/>
          </w:tcPr>
          <w:p w14:paraId="674820A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tl2br w:val="nil"/>
              <w:tr2bl w:val="nil"/>
            </w:tcBorders>
            <w:shd w:val="clear" w:color="auto" w:fill="auto"/>
            <w:noWrap w:val="0"/>
            <w:vAlign w:val="center"/>
          </w:tcPr>
          <w:p w14:paraId="7D3C940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tl2br w:val="nil"/>
              <w:tr2bl w:val="nil"/>
            </w:tcBorders>
            <w:shd w:val="clear" w:color="auto" w:fill="auto"/>
            <w:noWrap w:val="0"/>
            <w:vAlign w:val="center"/>
          </w:tcPr>
          <w:p w14:paraId="02A3456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r>
              <w:rPr>
                <w:rFonts w:hint="default" w:ascii="Times New Roman" w:hAnsi="Times New Roman" w:eastAsia="宋体" w:cs="Times New Roman"/>
                <w:color w:val="auto"/>
                <w:sz w:val="21"/>
                <w:szCs w:val="21"/>
                <w:lang w:val="en-US" w:eastAsia="zh-CN"/>
              </w:rPr>
              <w:t>t/a</w:t>
            </w:r>
          </w:p>
        </w:tc>
        <w:tc>
          <w:tcPr>
            <w:tcW w:w="1586" w:type="dxa"/>
            <w:tcBorders>
              <w:tl2br w:val="nil"/>
              <w:tr2bl w:val="nil"/>
            </w:tcBorders>
            <w:shd w:val="clear" w:color="auto" w:fill="auto"/>
            <w:noWrap w:val="0"/>
            <w:vAlign w:val="center"/>
          </w:tcPr>
          <w:p w14:paraId="0E978B28">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tl2br w:val="nil"/>
              <w:tr2bl w:val="nil"/>
            </w:tcBorders>
            <w:shd w:val="clear" w:color="auto" w:fill="auto"/>
            <w:noWrap w:val="0"/>
            <w:vAlign w:val="center"/>
          </w:tcPr>
          <w:p w14:paraId="7EEB4DA3">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w:t>
            </w:r>
            <w:r>
              <w:rPr>
                <w:rFonts w:hint="default" w:ascii="Times New Roman" w:hAnsi="Times New Roman" w:eastAsia="宋体" w:cs="Times New Roman"/>
                <w:color w:val="auto"/>
                <w:sz w:val="21"/>
                <w:szCs w:val="21"/>
                <w:lang w:val="en-US" w:eastAsia="zh-CN"/>
              </w:rPr>
              <w:t>t/a</w:t>
            </w:r>
          </w:p>
        </w:tc>
        <w:tc>
          <w:tcPr>
            <w:tcW w:w="1261" w:type="dxa"/>
            <w:tcBorders>
              <w:tl2br w:val="nil"/>
              <w:tr2bl w:val="nil"/>
            </w:tcBorders>
            <w:shd w:val="clear" w:color="auto" w:fill="auto"/>
            <w:noWrap w:val="0"/>
            <w:vAlign w:val="center"/>
          </w:tcPr>
          <w:p w14:paraId="64D3B6A8">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+0.01</w:t>
            </w:r>
            <w:r>
              <w:rPr>
                <w:rFonts w:hint="default" w:ascii="Times New Roman" w:hAnsi="Times New Roman" w:eastAsia="宋体" w:cs="Times New Roman"/>
                <w:color w:val="auto"/>
                <w:sz w:val="21"/>
                <w:szCs w:val="21"/>
                <w:lang w:val="en-US" w:eastAsia="zh-CN"/>
              </w:rPr>
              <w:t>t/a</w:t>
            </w:r>
          </w:p>
        </w:tc>
      </w:tr>
      <w:tr w14:paraId="088EBA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04AEDD9D">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p>
        </w:tc>
        <w:tc>
          <w:tcPr>
            <w:tcW w:w="1607" w:type="dxa"/>
            <w:tcBorders>
              <w:tl2br w:val="nil"/>
              <w:tr2bl w:val="nil"/>
            </w:tcBorders>
            <w:shd w:val="clear" w:color="auto" w:fill="auto"/>
            <w:noWrap w:val="0"/>
            <w:vAlign w:val="center"/>
          </w:tcPr>
          <w:p w14:paraId="3758D963">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含油废抹布</w:t>
            </w:r>
          </w:p>
        </w:tc>
        <w:tc>
          <w:tcPr>
            <w:tcW w:w="1734" w:type="dxa"/>
            <w:tcBorders>
              <w:tl2br w:val="nil"/>
              <w:tr2bl w:val="nil"/>
            </w:tcBorders>
            <w:noWrap w:val="0"/>
            <w:vAlign w:val="center"/>
          </w:tcPr>
          <w:p w14:paraId="050D53B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tl2br w:val="nil"/>
              <w:tr2bl w:val="nil"/>
            </w:tcBorders>
            <w:noWrap w:val="0"/>
            <w:vAlign w:val="center"/>
          </w:tcPr>
          <w:p w14:paraId="4AB4D0ED">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tl2br w:val="nil"/>
              <w:tr2bl w:val="nil"/>
            </w:tcBorders>
            <w:noWrap w:val="0"/>
            <w:vAlign w:val="center"/>
          </w:tcPr>
          <w:p w14:paraId="10164B40">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tl2br w:val="nil"/>
              <w:tr2bl w:val="nil"/>
            </w:tcBorders>
            <w:shd w:val="clear" w:color="auto" w:fill="auto"/>
            <w:noWrap w:val="0"/>
            <w:vAlign w:val="center"/>
          </w:tcPr>
          <w:p w14:paraId="2901567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r>
              <w:rPr>
                <w:rFonts w:hint="default" w:ascii="Times New Roman" w:hAnsi="Times New Roman" w:eastAsia="宋体" w:cs="Times New Roman"/>
                <w:color w:val="auto"/>
                <w:sz w:val="21"/>
                <w:szCs w:val="21"/>
                <w:lang w:val="en-US" w:eastAsia="zh-CN"/>
              </w:rPr>
              <w:t>t/a</w:t>
            </w:r>
          </w:p>
        </w:tc>
        <w:tc>
          <w:tcPr>
            <w:tcW w:w="1586" w:type="dxa"/>
            <w:tcBorders>
              <w:tl2br w:val="nil"/>
              <w:tr2bl w:val="nil"/>
            </w:tcBorders>
            <w:noWrap w:val="0"/>
            <w:vAlign w:val="center"/>
          </w:tcPr>
          <w:p w14:paraId="4CE2E0A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tl2br w:val="nil"/>
              <w:tr2bl w:val="nil"/>
            </w:tcBorders>
            <w:shd w:val="clear" w:color="auto" w:fill="auto"/>
            <w:noWrap w:val="0"/>
            <w:vAlign w:val="center"/>
          </w:tcPr>
          <w:p w14:paraId="1AE2B4D5">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0.001</w:t>
            </w:r>
            <w:r>
              <w:rPr>
                <w:rFonts w:hint="default" w:ascii="Times New Roman" w:hAnsi="Times New Roman" w:eastAsia="宋体" w:cs="Times New Roman"/>
                <w:color w:val="auto"/>
                <w:sz w:val="21"/>
                <w:szCs w:val="21"/>
                <w:lang w:val="en-US" w:eastAsia="zh-CN"/>
              </w:rPr>
              <w:t>t/a</w:t>
            </w:r>
          </w:p>
        </w:tc>
        <w:tc>
          <w:tcPr>
            <w:tcW w:w="1261" w:type="dxa"/>
            <w:tcBorders>
              <w:tl2br w:val="nil"/>
              <w:tr2bl w:val="nil"/>
            </w:tcBorders>
            <w:shd w:val="clear" w:color="auto" w:fill="auto"/>
            <w:noWrap w:val="0"/>
            <w:vAlign w:val="center"/>
          </w:tcPr>
          <w:p w14:paraId="2643C33A">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+0.001</w:t>
            </w:r>
            <w:r>
              <w:rPr>
                <w:rFonts w:hint="default" w:ascii="Times New Roman" w:hAnsi="Times New Roman" w:eastAsia="宋体" w:cs="Times New Roman"/>
                <w:color w:val="auto"/>
                <w:sz w:val="21"/>
                <w:szCs w:val="21"/>
                <w:lang w:val="en-US" w:eastAsia="zh-CN"/>
              </w:rPr>
              <w:t>t/a</w:t>
            </w:r>
          </w:p>
        </w:tc>
      </w:tr>
      <w:tr w14:paraId="0779A5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62" w:type="dxa"/>
            <w:vMerge w:val="continue"/>
            <w:tcBorders>
              <w:tl2br w:val="nil"/>
              <w:tr2bl w:val="nil"/>
            </w:tcBorders>
            <w:noWrap w:val="0"/>
            <w:vAlign w:val="center"/>
          </w:tcPr>
          <w:p w14:paraId="246F4A50">
            <w:pPr>
              <w:pStyle w:val="6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 w:val="21"/>
                <w:szCs w:val="21"/>
                <w:highlight w:val="none"/>
              </w:rPr>
            </w:pPr>
            <w:bookmarkStart w:id="30" w:name="_Toc21735"/>
            <w:bookmarkStart w:id="31" w:name="_Toc20067"/>
            <w:bookmarkStart w:id="32" w:name="_Toc7987"/>
          </w:p>
        </w:tc>
        <w:tc>
          <w:tcPr>
            <w:tcW w:w="1607" w:type="dxa"/>
            <w:tcBorders>
              <w:tl2br w:val="nil"/>
              <w:tr2bl w:val="nil"/>
            </w:tcBorders>
            <w:shd w:val="clear" w:color="auto" w:fill="auto"/>
            <w:noWrap w:val="0"/>
            <w:vAlign w:val="center"/>
          </w:tcPr>
          <w:p w14:paraId="6DB0E3BE">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废机油桶</w:t>
            </w:r>
          </w:p>
        </w:tc>
        <w:tc>
          <w:tcPr>
            <w:tcW w:w="1734" w:type="dxa"/>
            <w:tcBorders>
              <w:tl2br w:val="nil"/>
              <w:tr2bl w:val="nil"/>
            </w:tcBorders>
            <w:noWrap w:val="0"/>
            <w:vAlign w:val="center"/>
          </w:tcPr>
          <w:p w14:paraId="1B5AB727">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52" w:type="dxa"/>
            <w:tcBorders>
              <w:tl2br w:val="nil"/>
              <w:tr2bl w:val="nil"/>
            </w:tcBorders>
            <w:noWrap w:val="0"/>
            <w:vAlign w:val="center"/>
          </w:tcPr>
          <w:p w14:paraId="61EAD930">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62" w:type="dxa"/>
            <w:tcBorders>
              <w:tl2br w:val="nil"/>
              <w:tr2bl w:val="nil"/>
            </w:tcBorders>
            <w:noWrap w:val="0"/>
            <w:vAlign w:val="center"/>
          </w:tcPr>
          <w:p w14:paraId="568C029F">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525" w:type="dxa"/>
            <w:tcBorders>
              <w:tl2br w:val="nil"/>
              <w:tr2bl w:val="nil"/>
            </w:tcBorders>
            <w:shd w:val="clear" w:color="auto" w:fill="auto"/>
            <w:noWrap w:val="0"/>
            <w:vAlign w:val="center"/>
          </w:tcPr>
          <w:p w14:paraId="6C26CC6A">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0.001</w:t>
            </w:r>
            <w:r>
              <w:rPr>
                <w:rFonts w:hint="default" w:ascii="Times New Roman" w:hAnsi="Times New Roman" w:eastAsia="宋体" w:cs="Times New Roman"/>
                <w:color w:val="auto"/>
                <w:sz w:val="21"/>
                <w:szCs w:val="21"/>
                <w:lang w:val="en-US" w:eastAsia="zh-CN"/>
              </w:rPr>
              <w:t>t/a</w:t>
            </w:r>
          </w:p>
        </w:tc>
        <w:tc>
          <w:tcPr>
            <w:tcW w:w="1586" w:type="dxa"/>
            <w:tcBorders>
              <w:tl2br w:val="nil"/>
              <w:tr2bl w:val="nil"/>
            </w:tcBorders>
            <w:noWrap w:val="0"/>
            <w:vAlign w:val="center"/>
          </w:tcPr>
          <w:p w14:paraId="1A1BBB81">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3" w:type="dxa"/>
            <w:tcBorders>
              <w:tl2br w:val="nil"/>
              <w:tr2bl w:val="nil"/>
            </w:tcBorders>
            <w:shd w:val="clear" w:color="auto" w:fill="auto"/>
            <w:noWrap w:val="0"/>
            <w:vAlign w:val="center"/>
          </w:tcPr>
          <w:p w14:paraId="20E90449">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0.001</w:t>
            </w:r>
            <w:r>
              <w:rPr>
                <w:rFonts w:hint="default" w:ascii="Times New Roman" w:hAnsi="Times New Roman" w:eastAsia="宋体" w:cs="Times New Roman"/>
                <w:color w:val="auto"/>
                <w:sz w:val="21"/>
                <w:szCs w:val="21"/>
                <w:lang w:val="en-US" w:eastAsia="zh-CN"/>
              </w:rPr>
              <w:t>t/a</w:t>
            </w:r>
          </w:p>
        </w:tc>
        <w:tc>
          <w:tcPr>
            <w:tcW w:w="1261" w:type="dxa"/>
            <w:tcBorders>
              <w:tl2br w:val="nil"/>
              <w:tr2bl w:val="nil"/>
            </w:tcBorders>
            <w:shd w:val="clear" w:color="auto" w:fill="auto"/>
            <w:noWrap w:val="0"/>
            <w:vAlign w:val="center"/>
          </w:tcPr>
          <w:p w14:paraId="49E7373A">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+0.001</w:t>
            </w:r>
            <w:r>
              <w:rPr>
                <w:rFonts w:hint="default" w:ascii="Times New Roman" w:hAnsi="Times New Roman" w:eastAsia="宋体" w:cs="Times New Roman"/>
                <w:color w:val="auto"/>
                <w:sz w:val="21"/>
                <w:szCs w:val="21"/>
                <w:lang w:val="en-US" w:eastAsia="zh-CN"/>
              </w:rPr>
              <w:t>t/a</w:t>
            </w:r>
          </w:p>
        </w:tc>
      </w:tr>
    </w:tbl>
    <w:p w14:paraId="12247765">
      <w:pPr>
        <w:pStyle w:val="63"/>
        <w:spacing w:before="192" w:beforeLines="80" w:after="24"/>
        <w:jc w:val="left"/>
        <w:outlineLvl w:val="0"/>
        <w:rPr>
          <w:rFonts w:hint="default" w:ascii="Times New Roman" w:hAnsi="Times New Roman" w:cs="Times New Roman"/>
          <w:snapToGrid w:val="0"/>
          <w:color w:val="auto"/>
          <w:spacing w:val="-6"/>
          <w:kern w:val="21"/>
          <w:sz w:val="24"/>
          <w:szCs w:val="24"/>
          <w:highlight w:val="none"/>
        </w:rPr>
        <w:sectPr>
          <w:footerReference r:id="rId6" w:type="default"/>
          <w:pgSz w:w="16838" w:h="11906" w:orient="landscape"/>
          <w:pgMar w:top="1134" w:right="1701" w:bottom="1134" w:left="1701" w:header="851" w:footer="851" w:gutter="0"/>
          <w:pgBorders>
            <w:top w:val="none" w:sz="0" w:space="0"/>
            <w:left w:val="none" w:sz="0" w:space="0"/>
            <w:bottom w:val="none" w:sz="0" w:space="0"/>
            <w:right w:val="none" w:sz="0" w:space="0"/>
          </w:pgBorders>
          <w:pgNumType w:fmt="numberInDash"/>
          <w:cols w:space="720" w:num="1"/>
          <w:docGrid w:linePitch="312" w:charSpace="0"/>
        </w:sectPr>
      </w:pPr>
      <w:r>
        <w:rPr>
          <w:rFonts w:hint="default" w:ascii="Times New Roman" w:hAnsi="Times New Roman" w:cs="Times New Roman"/>
          <w:snapToGrid w:val="0"/>
          <w:color w:val="auto"/>
          <w:kern w:val="21"/>
          <w:sz w:val="24"/>
          <w:szCs w:val="24"/>
          <w:highlight w:val="none"/>
        </w:rPr>
        <w:t>注：</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6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⑥</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1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3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③</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4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④</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5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⑤</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7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⑦</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6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⑥</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1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cs="Times New Roman"/>
          <w:snapToGrid w:val="0"/>
          <w:color w:val="auto"/>
          <w:spacing w:val="-6"/>
          <w:kern w:val="21"/>
          <w:sz w:val="24"/>
          <w:szCs w:val="24"/>
          <w:highlight w:val="none"/>
        </w:rPr>
        <w:fldChar w:fldCharType="end"/>
      </w:r>
      <w:bookmarkEnd w:id="30"/>
      <w:bookmarkEnd w:id="31"/>
      <w:bookmarkEnd w:id="32"/>
    </w:p>
    <w:p w14:paraId="54C506AE">
      <w:pPr>
        <w:jc w:val="center"/>
        <w:rPr>
          <w:rFonts w:hint="default" w:ascii="Times New Roman" w:hAnsi="Times New Roman" w:cs="Times New Roman"/>
          <w:b/>
          <w:bCs/>
          <w:color w:val="auto"/>
          <w:sz w:val="32"/>
          <w:szCs w:val="40"/>
          <w:highlight w:val="none"/>
        </w:rPr>
      </w:pPr>
      <w:r>
        <w:rPr>
          <w:rFonts w:hint="default" w:ascii="Times New Roman" w:hAnsi="Times New Roman" w:cs="Times New Roman"/>
          <w:b/>
          <w:bCs/>
          <w:color w:val="auto"/>
          <w:sz w:val="32"/>
          <w:szCs w:val="40"/>
          <w:highlight w:val="none"/>
        </w:rPr>
        <w:t>资料性附件</w:t>
      </w:r>
    </w:p>
    <w:p w14:paraId="1E8C1360">
      <w:pPr>
        <w:spacing w:line="360" w:lineRule="auto"/>
        <w:rPr>
          <w:rFonts w:hint="default" w:ascii="Times New Roman" w:hAnsi="Times New Roman" w:cs="Times New Roman"/>
          <w:b/>
          <w:bCs/>
          <w:color w:val="auto"/>
          <w:sz w:val="32"/>
          <w:szCs w:val="40"/>
          <w:highlight w:val="none"/>
        </w:rPr>
      </w:pPr>
      <w:r>
        <w:rPr>
          <w:rFonts w:hint="default" w:ascii="Times New Roman" w:hAnsi="Times New Roman" w:cs="Times New Roman"/>
          <w:b/>
          <w:bCs/>
          <w:color w:val="auto"/>
          <w:sz w:val="32"/>
          <w:szCs w:val="40"/>
          <w:highlight w:val="none"/>
        </w:rPr>
        <w:t>一、附件</w:t>
      </w:r>
    </w:p>
    <w:p w14:paraId="6D2D698C">
      <w:pPr>
        <w:spacing w:line="360" w:lineRule="auto"/>
        <w:rPr>
          <w:rFonts w:hint="default" w:ascii="Times New Roman" w:hAnsi="Times New Roman" w:cs="Times New Roman"/>
          <w:color w:val="auto"/>
          <w:sz w:val="28"/>
          <w:szCs w:val="36"/>
          <w:highlight w:val="none"/>
        </w:rPr>
      </w:pPr>
      <w:r>
        <w:rPr>
          <w:rFonts w:hint="default" w:ascii="Times New Roman" w:hAnsi="Times New Roman" w:cs="Times New Roman"/>
          <w:color w:val="auto"/>
          <w:sz w:val="28"/>
          <w:szCs w:val="36"/>
          <w:highlight w:val="none"/>
          <w:lang w:val="en-US" w:eastAsia="zh-CN"/>
        </w:rPr>
        <w:t>附件</w:t>
      </w:r>
      <w:r>
        <w:rPr>
          <w:rFonts w:hint="default" w:ascii="Times New Roman" w:hAnsi="Times New Roman" w:cs="Times New Roman"/>
          <w:color w:val="auto"/>
          <w:sz w:val="28"/>
          <w:szCs w:val="36"/>
          <w:highlight w:val="none"/>
        </w:rPr>
        <w:t>1、委托书</w:t>
      </w:r>
    </w:p>
    <w:p w14:paraId="4E84133C">
      <w:pPr>
        <w:spacing w:line="360" w:lineRule="auto"/>
        <w:rPr>
          <w:rFonts w:hint="default" w:ascii="Times New Roman" w:hAnsi="Times New Roman" w:cs="Times New Roman"/>
          <w:color w:val="auto"/>
          <w:sz w:val="28"/>
          <w:szCs w:val="36"/>
          <w:highlight w:val="none"/>
        </w:rPr>
      </w:pPr>
      <w:r>
        <w:rPr>
          <w:rFonts w:hint="default" w:ascii="Times New Roman" w:hAnsi="Times New Roman" w:cs="Times New Roman"/>
          <w:color w:val="auto"/>
          <w:sz w:val="28"/>
          <w:szCs w:val="36"/>
          <w:highlight w:val="none"/>
          <w:lang w:val="en-US" w:eastAsia="zh-CN"/>
        </w:rPr>
        <w:t>附件</w:t>
      </w:r>
      <w:r>
        <w:rPr>
          <w:rFonts w:hint="default" w:ascii="Times New Roman" w:hAnsi="Times New Roman" w:cs="Times New Roman"/>
          <w:color w:val="auto"/>
          <w:sz w:val="28"/>
          <w:szCs w:val="36"/>
          <w:highlight w:val="none"/>
        </w:rPr>
        <w:t>2、企业声明</w:t>
      </w:r>
    </w:p>
    <w:p w14:paraId="0D04ABB0">
      <w:pPr>
        <w:spacing w:line="360" w:lineRule="auto"/>
        <w:rPr>
          <w:rFonts w:hint="default" w:ascii="Times New Roman" w:hAnsi="Times New Roman" w:cs="Times New Roman"/>
          <w:color w:val="auto"/>
          <w:sz w:val="28"/>
          <w:szCs w:val="36"/>
          <w:highlight w:val="none"/>
        </w:rPr>
      </w:pPr>
      <w:r>
        <w:rPr>
          <w:rFonts w:hint="default" w:ascii="Times New Roman" w:hAnsi="Times New Roman" w:cs="Times New Roman"/>
          <w:color w:val="auto"/>
          <w:sz w:val="28"/>
          <w:szCs w:val="36"/>
          <w:highlight w:val="none"/>
          <w:lang w:val="en-US" w:eastAsia="zh-CN"/>
        </w:rPr>
        <w:t>附件</w:t>
      </w:r>
      <w:r>
        <w:rPr>
          <w:rFonts w:hint="default" w:ascii="Times New Roman" w:hAnsi="Times New Roman" w:cs="Times New Roman"/>
          <w:color w:val="auto"/>
          <w:sz w:val="28"/>
          <w:szCs w:val="36"/>
          <w:highlight w:val="none"/>
        </w:rPr>
        <w:t>3、营业执照</w:t>
      </w:r>
    </w:p>
    <w:p w14:paraId="28CC715C">
      <w:pPr>
        <w:spacing w:line="360" w:lineRule="auto"/>
        <w:rPr>
          <w:rFonts w:hint="default" w:ascii="Times New Roman" w:hAnsi="Times New Roman" w:cs="Times New Roman"/>
          <w:color w:val="auto"/>
          <w:sz w:val="28"/>
          <w:szCs w:val="36"/>
          <w:highlight w:val="none"/>
        </w:rPr>
      </w:pPr>
      <w:r>
        <w:rPr>
          <w:rFonts w:hint="default" w:ascii="Times New Roman" w:hAnsi="Times New Roman" w:cs="Times New Roman"/>
          <w:color w:val="auto"/>
          <w:sz w:val="28"/>
          <w:szCs w:val="36"/>
          <w:highlight w:val="none"/>
          <w:lang w:val="en-US" w:eastAsia="zh-CN"/>
        </w:rPr>
        <w:t>附件</w:t>
      </w:r>
      <w:r>
        <w:rPr>
          <w:rFonts w:hint="default" w:ascii="Times New Roman" w:hAnsi="Times New Roman" w:cs="Times New Roman"/>
          <w:color w:val="auto"/>
          <w:sz w:val="28"/>
          <w:szCs w:val="36"/>
          <w:highlight w:val="none"/>
        </w:rPr>
        <w:t>4、山东省建设项目备案证明</w:t>
      </w:r>
    </w:p>
    <w:p w14:paraId="422758CF">
      <w:pPr>
        <w:spacing w:line="360" w:lineRule="auto"/>
        <w:rPr>
          <w:rFonts w:hint="default" w:ascii="Times New Roman" w:hAnsi="Times New Roman" w:eastAsia="宋体" w:cs="Times New Roman"/>
          <w:color w:val="auto"/>
          <w:sz w:val="28"/>
          <w:szCs w:val="36"/>
          <w:highlight w:val="none"/>
        </w:rPr>
      </w:pPr>
      <w:r>
        <w:rPr>
          <w:rFonts w:hint="default" w:ascii="Times New Roman" w:hAnsi="Times New Roman" w:cs="Times New Roman"/>
          <w:color w:val="auto"/>
          <w:sz w:val="28"/>
          <w:szCs w:val="36"/>
          <w:highlight w:val="none"/>
          <w:lang w:val="en-US" w:eastAsia="zh-CN"/>
        </w:rPr>
        <w:t>附件5</w:t>
      </w:r>
      <w:r>
        <w:rPr>
          <w:rFonts w:hint="default" w:ascii="Times New Roman" w:hAnsi="Times New Roman" w:cs="Times New Roman"/>
          <w:color w:val="auto"/>
          <w:sz w:val="28"/>
          <w:szCs w:val="36"/>
          <w:highlight w:val="none"/>
        </w:rPr>
        <w:t>、</w:t>
      </w:r>
      <w:r>
        <w:rPr>
          <w:rFonts w:hint="eastAsia" w:cs="Times New Roman"/>
          <w:color w:val="auto"/>
          <w:sz w:val="28"/>
          <w:szCs w:val="36"/>
          <w:highlight w:val="none"/>
          <w:lang w:val="en-US" w:eastAsia="zh-CN"/>
        </w:rPr>
        <w:t>土地手续</w:t>
      </w:r>
    </w:p>
    <w:p w14:paraId="52974FA5">
      <w:pPr>
        <w:spacing w:line="360" w:lineRule="auto"/>
        <w:rPr>
          <w:rFonts w:hint="default" w:ascii="Times New Roman" w:hAnsi="Times New Roman" w:cs="Times New Roman"/>
          <w:b/>
          <w:bCs/>
          <w:color w:val="auto"/>
          <w:sz w:val="32"/>
          <w:szCs w:val="40"/>
          <w:highlight w:val="none"/>
        </w:rPr>
      </w:pPr>
      <w:r>
        <w:rPr>
          <w:rFonts w:hint="default" w:ascii="Times New Roman" w:hAnsi="Times New Roman" w:cs="Times New Roman"/>
          <w:b/>
          <w:bCs/>
          <w:color w:val="auto"/>
          <w:sz w:val="32"/>
          <w:szCs w:val="40"/>
          <w:highlight w:val="none"/>
          <w:lang w:val="en-US" w:eastAsia="zh-CN"/>
        </w:rPr>
        <w:t>二</w:t>
      </w:r>
      <w:r>
        <w:rPr>
          <w:rFonts w:hint="default" w:ascii="Times New Roman" w:hAnsi="Times New Roman" w:cs="Times New Roman"/>
          <w:b/>
          <w:bCs/>
          <w:color w:val="auto"/>
          <w:sz w:val="32"/>
          <w:szCs w:val="40"/>
          <w:highlight w:val="none"/>
        </w:rPr>
        <w:t>、附图</w:t>
      </w:r>
    </w:p>
    <w:p w14:paraId="70051379">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附图1、项目地理位置图</w:t>
      </w:r>
    </w:p>
    <w:p w14:paraId="09947044">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附图2、周边敏感目标分布图</w:t>
      </w:r>
    </w:p>
    <w:p w14:paraId="21436990">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附图3、项目厂区平面布置图</w:t>
      </w:r>
    </w:p>
    <w:p w14:paraId="53C486ED">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w:t>
      </w:r>
      <w:r>
        <w:rPr>
          <w:rFonts w:hint="eastAsia" w:cs="Times New Roman"/>
          <w:color w:val="auto"/>
          <w:sz w:val="28"/>
          <w:szCs w:val="36"/>
          <w:highlight w:val="none"/>
          <w:lang w:val="en-US" w:eastAsia="zh-CN"/>
        </w:rPr>
        <w:t>4</w:t>
      </w:r>
      <w:r>
        <w:rPr>
          <w:rFonts w:hint="default" w:ascii="Times New Roman" w:hAnsi="Times New Roman" w:eastAsia="宋体" w:cs="Times New Roman"/>
          <w:color w:val="auto"/>
          <w:sz w:val="28"/>
          <w:szCs w:val="36"/>
          <w:highlight w:val="none"/>
          <w:lang w:val="en-US" w:eastAsia="zh-CN"/>
        </w:rPr>
        <w:t>、淄博市淄川区罗村镇国土空间规划（2021-2035）</w:t>
      </w:r>
    </w:p>
    <w:p w14:paraId="73B05E8C">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附图5、淄川区三区三线</w:t>
      </w:r>
    </w:p>
    <w:p w14:paraId="5706EF8E">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w:t>
      </w:r>
      <w:r>
        <w:rPr>
          <w:rFonts w:hint="eastAsia" w:cs="Times New Roman"/>
          <w:color w:val="auto"/>
          <w:sz w:val="28"/>
          <w:szCs w:val="36"/>
          <w:highlight w:val="none"/>
          <w:lang w:val="en-US" w:eastAsia="zh-CN"/>
        </w:rPr>
        <w:t>6</w:t>
      </w:r>
      <w:r>
        <w:rPr>
          <w:rFonts w:hint="default" w:ascii="Times New Roman" w:hAnsi="Times New Roman" w:eastAsia="宋体" w:cs="Times New Roman"/>
          <w:color w:val="auto"/>
          <w:sz w:val="28"/>
          <w:szCs w:val="36"/>
          <w:highlight w:val="none"/>
          <w:lang w:val="en-US" w:eastAsia="zh-CN"/>
        </w:rPr>
        <w:t>、淄博市环境管控单元分布图</w:t>
      </w:r>
    </w:p>
    <w:p w14:paraId="23B63617">
      <w:pPr>
        <w:spacing w:line="360" w:lineRule="auto"/>
        <w:rPr>
          <w:rFonts w:hint="default" w:ascii="Times New Roman" w:hAnsi="Times New Roman" w:eastAsia="宋体" w:cs="Times New Roman"/>
          <w:color w:val="auto"/>
          <w:sz w:val="28"/>
          <w:szCs w:val="36"/>
          <w:highlight w:val="none"/>
          <w:lang w:val="en-US" w:eastAsia="zh-CN"/>
        </w:rPr>
      </w:pPr>
      <w:r>
        <w:rPr>
          <w:rFonts w:hint="default" w:ascii="Times New Roman" w:hAnsi="Times New Roman" w:eastAsia="宋体" w:cs="Times New Roman"/>
          <w:color w:val="auto"/>
          <w:sz w:val="28"/>
          <w:szCs w:val="36"/>
          <w:highlight w:val="none"/>
          <w:lang w:val="en-US" w:eastAsia="zh-CN"/>
        </w:rPr>
        <w:t>附图</w:t>
      </w:r>
      <w:r>
        <w:rPr>
          <w:rFonts w:hint="eastAsia" w:cs="Times New Roman"/>
          <w:color w:val="auto"/>
          <w:sz w:val="28"/>
          <w:szCs w:val="36"/>
          <w:highlight w:val="none"/>
          <w:lang w:val="en-US" w:eastAsia="zh-CN"/>
        </w:rPr>
        <w:t>7</w:t>
      </w:r>
      <w:r>
        <w:rPr>
          <w:rFonts w:hint="default" w:ascii="Times New Roman" w:hAnsi="Times New Roman" w:eastAsia="宋体" w:cs="Times New Roman"/>
          <w:color w:val="auto"/>
          <w:sz w:val="28"/>
          <w:szCs w:val="36"/>
          <w:highlight w:val="none"/>
          <w:lang w:val="en-US" w:eastAsia="zh-CN"/>
        </w:rPr>
        <w:t>、工程师现场勘查照片</w:t>
      </w:r>
    </w:p>
    <w:p w14:paraId="41FA1AE8">
      <w:pPr>
        <w:rPr>
          <w:rFonts w:hint="default" w:ascii="Times New Roman" w:hAnsi="Times New Roman" w:cs="Times New Roman"/>
          <w:color w:val="auto"/>
        </w:rPr>
      </w:pPr>
    </w:p>
    <w:p w14:paraId="16D8FADA">
      <w:pPr>
        <w:spacing w:line="800" w:lineRule="exact"/>
        <w:textAlignment w:val="baseline"/>
        <w:outlineLvl w:val="2"/>
        <w:rPr>
          <w:rFonts w:hint="default" w:ascii="Times New Roman" w:hAnsi="Times New Roman" w:cs="Times New Roman"/>
          <w:b/>
          <w:color w:val="auto"/>
          <w:sz w:val="44"/>
          <w:szCs w:val="44"/>
        </w:rPr>
        <w:sectPr>
          <w:pgSz w:w="11906" w:h="16838"/>
          <w:pgMar w:top="1417" w:right="1134" w:bottom="1417" w:left="1134" w:header="851" w:footer="850" w:gutter="0"/>
          <w:pgBorders>
            <w:top w:val="none" w:sz="0" w:space="0"/>
            <w:left w:val="none" w:sz="0" w:space="0"/>
            <w:bottom w:val="none" w:sz="0" w:space="0"/>
            <w:right w:val="none" w:sz="0" w:space="0"/>
          </w:pgBorders>
          <w:pgNumType w:fmt="numberInDash"/>
          <w:cols w:space="720" w:num="1"/>
          <w:docGrid w:linePitch="312" w:charSpace="0"/>
        </w:sectPr>
      </w:pPr>
    </w:p>
    <w:p w14:paraId="452B1C74">
      <w:pPr>
        <w:ind w:left="-745" w:leftChars="-355" w:firstLine="964" w:firstLineChars="400"/>
        <w:outlineLvl w:val="0"/>
        <w:rPr>
          <w:rFonts w:ascii="宋体" w:hAnsi="宋体" w:cs="宋体"/>
          <w:b/>
          <w:bCs/>
          <w:color w:val="000000"/>
          <w:sz w:val="24"/>
          <w:highlight w:val="none"/>
        </w:rPr>
      </w:pPr>
      <w:r>
        <w:rPr>
          <w:rFonts w:hint="eastAsia" w:ascii="宋体" w:hAnsi="宋体" w:cs="宋体"/>
          <w:b/>
          <w:bCs/>
          <w:color w:val="000000"/>
          <w:sz w:val="24"/>
          <w:highlight w:val="none"/>
        </w:rPr>
        <w:t>附件1、委托书</w:t>
      </w:r>
    </w:p>
    <w:p w14:paraId="727B2C26">
      <w:pPr>
        <w:pStyle w:val="2"/>
        <w:rPr>
          <w:color w:val="000000"/>
          <w:highlight w:val="none"/>
        </w:rPr>
      </w:pPr>
    </w:p>
    <w:p w14:paraId="5B3D13F7">
      <w:pPr>
        <w:spacing w:line="800" w:lineRule="exact"/>
        <w:jc w:val="center"/>
        <w:textAlignment w:val="baseline"/>
        <w:rPr>
          <w:b/>
          <w:color w:val="000000"/>
          <w:sz w:val="44"/>
          <w:szCs w:val="44"/>
          <w:highlight w:val="none"/>
        </w:rPr>
      </w:pPr>
    </w:p>
    <w:p w14:paraId="354D2CFF">
      <w:pPr>
        <w:spacing w:line="800" w:lineRule="exact"/>
        <w:jc w:val="center"/>
        <w:textAlignment w:val="baseline"/>
        <w:rPr>
          <w:b/>
          <w:color w:val="000000"/>
          <w:sz w:val="44"/>
          <w:szCs w:val="44"/>
          <w:highlight w:val="none"/>
        </w:rPr>
      </w:pPr>
      <w:r>
        <w:rPr>
          <w:b/>
          <w:color w:val="000000"/>
          <w:sz w:val="44"/>
          <w:szCs w:val="44"/>
          <w:highlight w:val="none"/>
        </w:rPr>
        <w:t>委 托 书</w:t>
      </w:r>
    </w:p>
    <w:p w14:paraId="7D61442C">
      <w:pPr>
        <w:spacing w:line="480" w:lineRule="auto"/>
        <w:textAlignment w:val="baseline"/>
        <w:rPr>
          <w:rFonts w:hint="eastAsia"/>
          <w:bCs/>
          <w:color w:val="000000"/>
          <w:sz w:val="32"/>
          <w:szCs w:val="32"/>
          <w:highlight w:val="none"/>
        </w:rPr>
      </w:pPr>
    </w:p>
    <w:p w14:paraId="534A5599">
      <w:pPr>
        <w:spacing w:line="480" w:lineRule="auto"/>
        <w:textAlignment w:val="baseline"/>
        <w:rPr>
          <w:rFonts w:hint="eastAsia"/>
          <w:bCs/>
          <w:color w:val="000000"/>
          <w:sz w:val="32"/>
          <w:szCs w:val="32"/>
          <w:highlight w:val="none"/>
        </w:rPr>
      </w:pPr>
      <w:r>
        <w:rPr>
          <w:rFonts w:hint="eastAsia"/>
          <w:bCs/>
          <w:color w:val="000000"/>
          <w:sz w:val="32"/>
          <w:szCs w:val="32"/>
          <w:highlight w:val="none"/>
          <w:lang w:eastAsia="zh-CN"/>
        </w:rPr>
        <w:t>淄博美嘉工程技术有限公司</w:t>
      </w:r>
      <w:r>
        <w:rPr>
          <w:rFonts w:hint="eastAsia"/>
          <w:bCs/>
          <w:color w:val="000000"/>
          <w:sz w:val="32"/>
          <w:szCs w:val="32"/>
          <w:highlight w:val="none"/>
        </w:rPr>
        <w:t>：</w:t>
      </w:r>
    </w:p>
    <w:p w14:paraId="35351C2B">
      <w:pPr>
        <w:spacing w:line="480" w:lineRule="auto"/>
        <w:ind w:firstLine="643"/>
        <w:rPr>
          <w:bCs/>
          <w:color w:val="000000"/>
          <w:sz w:val="32"/>
          <w:szCs w:val="32"/>
          <w:highlight w:val="none"/>
        </w:rPr>
      </w:pPr>
      <w:r>
        <w:rPr>
          <w:bCs/>
          <w:color w:val="000000"/>
          <w:sz w:val="32"/>
          <w:szCs w:val="32"/>
          <w:highlight w:val="none"/>
        </w:rPr>
        <w:t>根据国家《建设项目环境保护管理条例》和当地环保部门的要求</w:t>
      </w:r>
      <w:r>
        <w:rPr>
          <w:rFonts w:hint="eastAsia"/>
          <w:bCs/>
          <w:color w:val="000000"/>
          <w:sz w:val="32"/>
          <w:szCs w:val="32"/>
          <w:highlight w:val="none"/>
        </w:rPr>
        <w:t>，</w:t>
      </w:r>
      <w:r>
        <w:rPr>
          <w:rFonts w:hint="eastAsia"/>
          <w:bCs/>
          <w:color w:val="000000"/>
          <w:sz w:val="32"/>
          <w:szCs w:val="32"/>
          <w:highlight w:val="none"/>
          <w:u w:val="single"/>
          <w:lang w:eastAsia="zh-CN"/>
        </w:rPr>
        <w:t>山东鑫瓷新材料有限公司年产2万吨新能源电池用高纯晶体纳米新材料项目</w:t>
      </w:r>
      <w:r>
        <w:rPr>
          <w:bCs/>
          <w:color w:val="000000"/>
          <w:sz w:val="32"/>
          <w:szCs w:val="32"/>
          <w:highlight w:val="none"/>
        </w:rPr>
        <w:t>需执行环境影响评价制度，今委托贵公司承担该项目环境影响评价报告表的编制。</w:t>
      </w:r>
    </w:p>
    <w:p w14:paraId="5D5AD51A">
      <w:pPr>
        <w:spacing w:line="580" w:lineRule="exact"/>
        <w:ind w:firstLine="482"/>
        <w:textAlignment w:val="baseline"/>
        <w:rPr>
          <w:bCs/>
          <w:color w:val="000000"/>
          <w:highlight w:val="none"/>
        </w:rPr>
      </w:pPr>
    </w:p>
    <w:p w14:paraId="7B74463A">
      <w:pPr>
        <w:spacing w:line="580" w:lineRule="exact"/>
        <w:ind w:firstLine="482"/>
        <w:textAlignment w:val="baseline"/>
        <w:rPr>
          <w:bCs/>
          <w:color w:val="000000"/>
          <w:highlight w:val="none"/>
        </w:rPr>
      </w:pPr>
    </w:p>
    <w:p w14:paraId="3020E44C">
      <w:pPr>
        <w:spacing w:line="580" w:lineRule="exact"/>
        <w:ind w:firstLine="482"/>
        <w:textAlignment w:val="baseline"/>
        <w:rPr>
          <w:bCs/>
          <w:color w:val="000000"/>
          <w:highlight w:val="none"/>
        </w:rPr>
      </w:pPr>
    </w:p>
    <w:p w14:paraId="178ABD55">
      <w:pPr>
        <w:pStyle w:val="2"/>
        <w:rPr>
          <w:bCs/>
          <w:color w:val="000000"/>
          <w:highlight w:val="none"/>
        </w:rPr>
      </w:pPr>
    </w:p>
    <w:p w14:paraId="2EB2424D"/>
    <w:p w14:paraId="0294A5CF">
      <w:pPr>
        <w:spacing w:line="580" w:lineRule="exact"/>
        <w:ind w:firstLine="482"/>
        <w:textAlignment w:val="baseline"/>
        <w:rPr>
          <w:bCs/>
          <w:color w:val="000000"/>
          <w:highlight w:val="none"/>
        </w:rPr>
      </w:pPr>
    </w:p>
    <w:p w14:paraId="01162AD6">
      <w:pPr>
        <w:ind w:firstLine="643"/>
        <w:rPr>
          <w:bCs/>
          <w:color w:val="000000"/>
          <w:sz w:val="32"/>
          <w:szCs w:val="32"/>
          <w:highlight w:val="none"/>
        </w:rPr>
      </w:pPr>
    </w:p>
    <w:p w14:paraId="63D8E466">
      <w:pPr>
        <w:spacing w:line="360" w:lineRule="auto"/>
        <w:ind w:firstLine="643"/>
        <w:rPr>
          <w:rFonts w:hint="eastAsia" w:eastAsia="宋体"/>
          <w:bCs/>
          <w:color w:val="000000"/>
          <w:sz w:val="32"/>
          <w:szCs w:val="32"/>
          <w:highlight w:val="none"/>
          <w:lang w:eastAsia="zh-CN"/>
        </w:rPr>
      </w:pPr>
      <w:r>
        <w:rPr>
          <w:rFonts w:hint="eastAsia"/>
          <w:bCs/>
          <w:color w:val="000000"/>
          <w:sz w:val="30"/>
          <w:szCs w:val="30"/>
          <w:highlight w:val="none"/>
        </w:rPr>
        <w:t xml:space="preserve">                   </w:t>
      </w:r>
      <w:r>
        <w:rPr>
          <w:bCs/>
          <w:color w:val="000000"/>
          <w:sz w:val="32"/>
          <w:szCs w:val="32"/>
          <w:highlight w:val="none"/>
        </w:rPr>
        <w:t>委托方</w:t>
      </w:r>
      <w:r>
        <w:rPr>
          <w:rFonts w:hint="eastAsia"/>
          <w:bCs/>
          <w:color w:val="000000"/>
          <w:sz w:val="32"/>
          <w:szCs w:val="32"/>
          <w:highlight w:val="none"/>
        </w:rPr>
        <w:t>：</w:t>
      </w:r>
      <w:r>
        <w:rPr>
          <w:rFonts w:hint="eastAsia"/>
          <w:bCs/>
          <w:color w:val="000000"/>
          <w:sz w:val="32"/>
          <w:szCs w:val="32"/>
          <w:highlight w:val="none"/>
          <w:lang w:eastAsia="zh-CN"/>
        </w:rPr>
        <w:t>山东鑫瓷新材料有限公司（</w:t>
      </w:r>
      <w:r>
        <w:rPr>
          <w:rFonts w:hint="eastAsia"/>
          <w:bCs/>
          <w:color w:val="000000"/>
          <w:sz w:val="32"/>
          <w:szCs w:val="32"/>
          <w:highlight w:val="none"/>
          <w:lang w:val="en-US" w:eastAsia="zh-CN"/>
        </w:rPr>
        <w:t>公章</w:t>
      </w:r>
      <w:r>
        <w:rPr>
          <w:rFonts w:hint="eastAsia"/>
          <w:bCs/>
          <w:color w:val="000000"/>
          <w:sz w:val="32"/>
          <w:szCs w:val="32"/>
          <w:highlight w:val="none"/>
          <w:lang w:eastAsia="zh-CN"/>
        </w:rPr>
        <w:t>）</w:t>
      </w:r>
    </w:p>
    <w:p w14:paraId="5EE6121B">
      <w:pPr>
        <w:spacing w:line="360" w:lineRule="auto"/>
        <w:ind w:firstLine="4480" w:firstLineChars="1400"/>
        <w:rPr>
          <w:bCs/>
          <w:color w:val="000000"/>
          <w:sz w:val="32"/>
          <w:szCs w:val="32"/>
          <w:highlight w:val="none"/>
        </w:rPr>
      </w:pPr>
      <w:r>
        <w:rPr>
          <w:bCs/>
          <w:color w:val="000000"/>
          <w:sz w:val="32"/>
          <w:szCs w:val="32"/>
          <w:highlight w:val="none"/>
        </w:rPr>
        <w:t>委托时间：</w:t>
      </w:r>
      <w:r>
        <w:rPr>
          <w:rFonts w:hint="eastAsia"/>
          <w:bCs/>
          <w:color w:val="000000"/>
          <w:sz w:val="32"/>
          <w:szCs w:val="32"/>
          <w:highlight w:val="none"/>
        </w:rPr>
        <w:t>202</w:t>
      </w:r>
      <w:r>
        <w:rPr>
          <w:rFonts w:hint="eastAsia"/>
          <w:bCs/>
          <w:color w:val="000000"/>
          <w:sz w:val="32"/>
          <w:szCs w:val="32"/>
          <w:highlight w:val="none"/>
          <w:lang w:val="en-US" w:eastAsia="zh-CN"/>
        </w:rPr>
        <w:t>6</w:t>
      </w:r>
      <w:r>
        <w:rPr>
          <w:bCs/>
          <w:color w:val="000000"/>
          <w:sz w:val="32"/>
          <w:szCs w:val="32"/>
          <w:highlight w:val="none"/>
        </w:rPr>
        <w:t>年</w:t>
      </w:r>
      <w:r>
        <w:rPr>
          <w:rFonts w:hint="eastAsia"/>
          <w:bCs/>
          <w:color w:val="000000"/>
          <w:sz w:val="32"/>
          <w:szCs w:val="32"/>
          <w:highlight w:val="none"/>
          <w:lang w:val="en-US" w:eastAsia="zh-CN"/>
        </w:rPr>
        <w:t>1</w:t>
      </w:r>
      <w:r>
        <w:rPr>
          <w:bCs/>
          <w:color w:val="000000"/>
          <w:sz w:val="32"/>
          <w:szCs w:val="32"/>
          <w:highlight w:val="none"/>
        </w:rPr>
        <w:t>月</w:t>
      </w:r>
    </w:p>
    <w:p w14:paraId="7E2465D4">
      <w:pPr>
        <w:jc w:val="center"/>
        <w:rPr>
          <w:color w:val="000000"/>
          <w:highlight w:val="none"/>
        </w:rPr>
      </w:pPr>
    </w:p>
    <w:p w14:paraId="6348B0C9">
      <w:pPr>
        <w:jc w:val="center"/>
        <w:rPr>
          <w:rFonts w:hint="eastAsia"/>
          <w:color w:val="000000"/>
          <w:highlight w:val="none"/>
        </w:rPr>
      </w:pPr>
    </w:p>
    <w:p w14:paraId="338AA85A">
      <w:pPr>
        <w:jc w:val="center"/>
        <w:rPr>
          <w:rFonts w:hint="eastAsia"/>
          <w:color w:val="000000"/>
          <w:highlight w:val="none"/>
        </w:rPr>
      </w:pPr>
    </w:p>
    <w:p w14:paraId="7D18C181">
      <w:pPr>
        <w:jc w:val="center"/>
        <w:rPr>
          <w:rFonts w:hint="eastAsia"/>
          <w:color w:val="000000"/>
          <w:highlight w:val="none"/>
        </w:rPr>
      </w:pPr>
    </w:p>
    <w:p w14:paraId="23EE5A5B">
      <w:pPr>
        <w:jc w:val="center"/>
        <w:rPr>
          <w:rFonts w:hint="eastAsia"/>
          <w:color w:val="000000"/>
          <w:highlight w:val="none"/>
        </w:rPr>
      </w:pPr>
    </w:p>
    <w:p w14:paraId="39C2CAD0">
      <w:pPr>
        <w:jc w:val="center"/>
        <w:rPr>
          <w:color w:val="000000"/>
          <w:highlight w:val="none"/>
        </w:rPr>
      </w:pPr>
      <w:r>
        <w:rPr>
          <w:rFonts w:hint="eastAsia"/>
          <w:color w:val="000000"/>
          <w:highlight w:val="none"/>
        </w:rPr>
        <w:t xml:space="preserve">        </w:t>
      </w:r>
    </w:p>
    <w:p w14:paraId="24B6D668">
      <w:pPr>
        <w:ind w:left="-745" w:leftChars="-355" w:firstLine="964" w:firstLineChars="400"/>
        <w:outlineLvl w:val="0"/>
        <w:rPr>
          <w:rFonts w:ascii="宋体" w:hAnsi="宋体" w:cs="宋体"/>
          <w:b/>
          <w:bCs/>
          <w:color w:val="000000"/>
          <w:sz w:val="24"/>
          <w:highlight w:val="none"/>
        </w:rPr>
      </w:pPr>
      <w:r>
        <w:rPr>
          <w:rFonts w:hint="eastAsia" w:ascii="宋体" w:hAnsi="宋体" w:cs="宋体"/>
          <w:b/>
          <w:bCs/>
          <w:color w:val="000000"/>
          <w:sz w:val="24"/>
          <w:highlight w:val="none"/>
        </w:rPr>
        <w:br w:type="page"/>
      </w:r>
      <w:r>
        <w:rPr>
          <w:rFonts w:hint="eastAsia" w:ascii="宋体" w:hAnsi="宋体" w:cs="宋体"/>
          <w:b/>
          <w:bCs/>
          <w:color w:val="000000"/>
          <w:sz w:val="24"/>
          <w:highlight w:val="none"/>
        </w:rPr>
        <w:t>附件2、企业声明</w:t>
      </w:r>
    </w:p>
    <w:p w14:paraId="29AED928">
      <w:pPr>
        <w:rPr>
          <w:color w:val="000000"/>
          <w:highlight w:val="none"/>
        </w:rPr>
      </w:pPr>
    </w:p>
    <w:p w14:paraId="389E1535">
      <w:pPr>
        <w:rPr>
          <w:color w:val="000000"/>
          <w:highlight w:val="none"/>
        </w:rPr>
      </w:pPr>
    </w:p>
    <w:p w14:paraId="5D013656">
      <w:pPr>
        <w:rPr>
          <w:color w:val="000000"/>
          <w:highlight w:val="none"/>
        </w:rPr>
      </w:pPr>
    </w:p>
    <w:p w14:paraId="03EBDF86">
      <w:pPr>
        <w:rPr>
          <w:color w:val="000000"/>
          <w:highlight w:val="none"/>
        </w:rPr>
      </w:pPr>
    </w:p>
    <w:p w14:paraId="4E5AF89D">
      <w:pPr>
        <w:spacing w:line="360" w:lineRule="auto"/>
        <w:jc w:val="center"/>
        <w:rPr>
          <w:rFonts w:hAnsi="宋体"/>
          <w:b/>
          <w:color w:val="000000"/>
          <w:sz w:val="56"/>
          <w:szCs w:val="56"/>
          <w:highlight w:val="none"/>
        </w:rPr>
      </w:pPr>
      <w:r>
        <w:rPr>
          <w:rFonts w:hint="eastAsia"/>
          <w:b/>
          <w:color w:val="000000"/>
          <w:sz w:val="40"/>
          <w:szCs w:val="40"/>
          <w:highlight w:val="none"/>
        </w:rPr>
        <w:t>企业声明</w:t>
      </w:r>
    </w:p>
    <w:p w14:paraId="023749F0">
      <w:pPr>
        <w:spacing w:line="360" w:lineRule="auto"/>
        <w:ind w:firstLine="600" w:firstLineChars="200"/>
        <w:jc w:val="left"/>
        <w:rPr>
          <w:rFonts w:hint="eastAsia"/>
          <w:bCs/>
          <w:color w:val="000000"/>
          <w:sz w:val="30"/>
          <w:szCs w:val="30"/>
          <w:highlight w:val="none"/>
        </w:rPr>
      </w:pPr>
      <w:r>
        <w:rPr>
          <w:rFonts w:hint="eastAsia"/>
          <w:bCs/>
          <w:color w:val="000000"/>
          <w:sz w:val="30"/>
          <w:szCs w:val="30"/>
          <w:highlight w:val="none"/>
          <w:lang w:eastAsia="zh-CN"/>
        </w:rPr>
        <w:t>山东鑫瓷新材料有限公司年产2万吨新能源电池用高纯晶体纳米新材料项目</w:t>
      </w:r>
      <w:r>
        <w:rPr>
          <w:rFonts w:hint="eastAsia"/>
          <w:bCs/>
          <w:color w:val="000000"/>
          <w:sz w:val="30"/>
          <w:szCs w:val="30"/>
          <w:highlight w:val="none"/>
        </w:rPr>
        <w:t>环境影响报告表已委托</w:t>
      </w:r>
      <w:r>
        <w:rPr>
          <w:rFonts w:hint="eastAsia"/>
          <w:bCs/>
          <w:color w:val="000000"/>
          <w:sz w:val="30"/>
          <w:szCs w:val="30"/>
          <w:highlight w:val="none"/>
          <w:lang w:eastAsia="zh-CN"/>
        </w:rPr>
        <w:t>淄博美嘉工程技术有限公司</w:t>
      </w:r>
      <w:r>
        <w:rPr>
          <w:rFonts w:hint="eastAsia"/>
          <w:bCs/>
          <w:color w:val="000000"/>
          <w:sz w:val="30"/>
          <w:szCs w:val="30"/>
          <w:highlight w:val="none"/>
        </w:rPr>
        <w:t>编制完成。</w:t>
      </w:r>
    </w:p>
    <w:p w14:paraId="0BAD0DD9">
      <w:pPr>
        <w:spacing w:line="360" w:lineRule="auto"/>
        <w:ind w:firstLine="600" w:firstLineChars="200"/>
        <w:jc w:val="left"/>
        <w:rPr>
          <w:rFonts w:hint="eastAsia"/>
          <w:bCs/>
          <w:color w:val="000000"/>
          <w:sz w:val="30"/>
          <w:szCs w:val="30"/>
          <w:highlight w:val="none"/>
        </w:rPr>
      </w:pPr>
      <w:r>
        <w:rPr>
          <w:rFonts w:hint="eastAsia"/>
          <w:bCs/>
          <w:color w:val="000000"/>
          <w:sz w:val="30"/>
          <w:szCs w:val="30"/>
          <w:highlight w:val="none"/>
        </w:rPr>
        <w:t>我公司在此声明：</w:t>
      </w:r>
    </w:p>
    <w:p w14:paraId="0E7F22C3">
      <w:pPr>
        <w:spacing w:line="360" w:lineRule="auto"/>
        <w:ind w:firstLine="600" w:firstLineChars="200"/>
        <w:jc w:val="left"/>
        <w:rPr>
          <w:rFonts w:hint="eastAsia"/>
          <w:bCs/>
          <w:color w:val="000000"/>
          <w:sz w:val="30"/>
          <w:szCs w:val="30"/>
          <w:highlight w:val="none"/>
        </w:rPr>
      </w:pPr>
      <w:r>
        <w:rPr>
          <w:rFonts w:hint="eastAsia"/>
          <w:bCs/>
          <w:color w:val="000000"/>
          <w:sz w:val="30"/>
          <w:szCs w:val="30"/>
          <w:highlight w:val="none"/>
        </w:rPr>
        <w:t>1、环评过程中我公司提供给环评单位的数据、工艺、建设规模等信息均真实。</w:t>
      </w:r>
    </w:p>
    <w:p w14:paraId="5021F5F8">
      <w:pPr>
        <w:spacing w:line="360" w:lineRule="auto"/>
        <w:ind w:firstLine="600" w:firstLineChars="200"/>
        <w:jc w:val="left"/>
        <w:rPr>
          <w:rFonts w:hint="eastAsia"/>
          <w:bCs/>
          <w:color w:val="000000"/>
          <w:sz w:val="30"/>
          <w:szCs w:val="30"/>
          <w:highlight w:val="none"/>
        </w:rPr>
      </w:pPr>
      <w:r>
        <w:rPr>
          <w:rFonts w:hint="eastAsia"/>
          <w:bCs/>
          <w:color w:val="000000"/>
          <w:sz w:val="30"/>
          <w:szCs w:val="30"/>
          <w:highlight w:val="none"/>
        </w:rPr>
        <w:t>2、报告表编制完成后，经认真阅读，我单位对环评报告表中所写内容表示认可。</w:t>
      </w:r>
    </w:p>
    <w:p w14:paraId="162CF8EB">
      <w:pPr>
        <w:spacing w:line="360" w:lineRule="auto"/>
        <w:ind w:firstLine="600" w:firstLineChars="200"/>
        <w:jc w:val="left"/>
        <w:rPr>
          <w:rFonts w:hint="eastAsia"/>
          <w:bCs/>
          <w:color w:val="000000"/>
          <w:sz w:val="30"/>
          <w:szCs w:val="30"/>
          <w:highlight w:val="none"/>
        </w:rPr>
      </w:pPr>
      <w:r>
        <w:rPr>
          <w:rFonts w:hint="eastAsia"/>
          <w:bCs/>
          <w:color w:val="000000"/>
          <w:sz w:val="30"/>
          <w:szCs w:val="30"/>
          <w:highlight w:val="none"/>
        </w:rPr>
        <w:t>3、报告表内容无不宜公开信息！</w:t>
      </w:r>
    </w:p>
    <w:p w14:paraId="3456B0E3">
      <w:pPr>
        <w:spacing w:line="360" w:lineRule="auto"/>
        <w:ind w:firstLine="600" w:firstLineChars="200"/>
        <w:jc w:val="left"/>
        <w:rPr>
          <w:rFonts w:hint="eastAsia"/>
          <w:bCs/>
          <w:color w:val="000000"/>
          <w:sz w:val="30"/>
          <w:szCs w:val="30"/>
          <w:highlight w:val="none"/>
        </w:rPr>
      </w:pPr>
      <w:r>
        <w:rPr>
          <w:rFonts w:hint="eastAsia"/>
          <w:bCs/>
          <w:color w:val="000000"/>
          <w:sz w:val="30"/>
          <w:szCs w:val="30"/>
          <w:highlight w:val="none"/>
        </w:rPr>
        <w:t>环评报告表审批完成后，我公司将严格按照报告表中所列内容进行建设，同时严格落实报告表中所提各项污染防治措施和风险防范措施。如出现建设内容与报告表的审批内容不一致情况，我公司愿承担全部责任。</w:t>
      </w:r>
    </w:p>
    <w:p w14:paraId="358E292B">
      <w:pPr>
        <w:jc w:val="right"/>
        <w:rPr>
          <w:rFonts w:hint="eastAsia" w:ascii="宋体" w:hAnsi="宋体" w:cs="宋体"/>
          <w:bCs/>
          <w:color w:val="000000"/>
          <w:sz w:val="24"/>
          <w:highlight w:val="none"/>
        </w:rPr>
      </w:pPr>
    </w:p>
    <w:p w14:paraId="16717CB4">
      <w:pPr>
        <w:jc w:val="right"/>
        <w:rPr>
          <w:rFonts w:hint="eastAsia" w:ascii="宋体" w:hAnsi="宋体" w:cs="宋体"/>
          <w:bCs/>
          <w:color w:val="000000"/>
          <w:sz w:val="24"/>
          <w:highlight w:val="none"/>
        </w:rPr>
      </w:pPr>
    </w:p>
    <w:p w14:paraId="306225F8">
      <w:pPr>
        <w:pStyle w:val="11"/>
        <w:ind w:firstLine="480"/>
        <w:rPr>
          <w:rFonts w:hint="eastAsia" w:ascii="宋体" w:hAnsi="宋体" w:cs="宋体"/>
          <w:bCs/>
          <w:color w:val="000000"/>
          <w:highlight w:val="none"/>
        </w:rPr>
      </w:pPr>
    </w:p>
    <w:p w14:paraId="710AC770">
      <w:pPr>
        <w:rPr>
          <w:rFonts w:hint="eastAsia"/>
          <w:color w:val="000000"/>
          <w:sz w:val="20"/>
          <w:szCs w:val="22"/>
          <w:highlight w:val="none"/>
        </w:rPr>
      </w:pPr>
    </w:p>
    <w:p w14:paraId="2EF1E2CF">
      <w:pPr>
        <w:spacing w:line="360" w:lineRule="auto"/>
        <w:ind w:firstLine="643"/>
        <w:rPr>
          <w:rFonts w:hint="eastAsia" w:eastAsia="宋体"/>
          <w:bCs/>
          <w:color w:val="000000"/>
          <w:sz w:val="28"/>
          <w:szCs w:val="28"/>
          <w:highlight w:val="none"/>
          <w:lang w:eastAsia="zh-CN"/>
        </w:rPr>
      </w:pPr>
      <w:r>
        <w:rPr>
          <w:rFonts w:hint="eastAsia"/>
          <w:bCs/>
          <w:color w:val="000000"/>
          <w:sz w:val="28"/>
          <w:szCs w:val="28"/>
          <w:highlight w:val="none"/>
        </w:rPr>
        <w:t xml:space="preserve">       </w:t>
      </w:r>
      <w:r>
        <w:rPr>
          <w:bCs/>
          <w:color w:val="000000"/>
          <w:sz w:val="28"/>
          <w:szCs w:val="28"/>
          <w:highlight w:val="none"/>
        </w:rPr>
        <w:t xml:space="preserve"> </w:t>
      </w:r>
      <w:r>
        <w:rPr>
          <w:rFonts w:hint="eastAsia"/>
          <w:bCs/>
          <w:color w:val="000000"/>
          <w:sz w:val="28"/>
          <w:szCs w:val="28"/>
          <w:highlight w:val="none"/>
        </w:rPr>
        <w:t xml:space="preserve">                </w:t>
      </w:r>
      <w:r>
        <w:rPr>
          <w:rFonts w:hint="eastAsia"/>
          <w:bCs/>
          <w:color w:val="000000"/>
          <w:sz w:val="32"/>
          <w:szCs w:val="32"/>
          <w:highlight w:val="none"/>
          <w:lang w:eastAsia="zh-CN"/>
        </w:rPr>
        <w:t>山东鑫瓷新材料有限公司（</w:t>
      </w:r>
      <w:r>
        <w:rPr>
          <w:rFonts w:hint="eastAsia"/>
          <w:bCs/>
          <w:color w:val="000000"/>
          <w:sz w:val="32"/>
          <w:szCs w:val="32"/>
          <w:highlight w:val="none"/>
          <w:lang w:val="en-US" w:eastAsia="zh-CN"/>
        </w:rPr>
        <w:t>公章</w:t>
      </w:r>
      <w:r>
        <w:rPr>
          <w:rFonts w:hint="eastAsia"/>
          <w:bCs/>
          <w:color w:val="000000"/>
          <w:sz w:val="32"/>
          <w:szCs w:val="32"/>
          <w:highlight w:val="none"/>
          <w:lang w:eastAsia="zh-CN"/>
        </w:rPr>
        <w:t>）</w:t>
      </w:r>
    </w:p>
    <w:p w14:paraId="63B60673">
      <w:pPr>
        <w:spacing w:line="360" w:lineRule="auto"/>
        <w:rPr>
          <w:rFonts w:hint="eastAsia" w:ascii="Times New Roman" w:hAnsi="Times New Roman" w:eastAsia="宋体" w:cs="Times New Roman"/>
          <w:bCs/>
          <w:color w:val="000000"/>
          <w:sz w:val="32"/>
          <w:szCs w:val="32"/>
          <w:highlight w:val="none"/>
        </w:rPr>
      </w:pPr>
      <w:r>
        <w:rPr>
          <w:rFonts w:hint="eastAsia"/>
          <w:bCs/>
          <w:color w:val="000000"/>
          <w:sz w:val="28"/>
          <w:szCs w:val="28"/>
          <w:highlight w:val="none"/>
        </w:rPr>
        <w:t xml:space="preserve">                       </w:t>
      </w:r>
      <w:r>
        <w:rPr>
          <w:bCs/>
          <w:color w:val="000000"/>
          <w:sz w:val="28"/>
          <w:szCs w:val="28"/>
          <w:highlight w:val="none"/>
        </w:rPr>
        <w:t xml:space="preserve"> </w:t>
      </w:r>
      <w:r>
        <w:rPr>
          <w:rFonts w:hint="eastAsia"/>
          <w:bCs/>
          <w:color w:val="000000"/>
          <w:sz w:val="28"/>
          <w:szCs w:val="28"/>
          <w:highlight w:val="none"/>
        </w:rPr>
        <w:t xml:space="preserve">             </w:t>
      </w:r>
      <w:r>
        <w:rPr>
          <w:bCs/>
          <w:color w:val="000000"/>
          <w:sz w:val="28"/>
          <w:szCs w:val="28"/>
          <w:highlight w:val="none"/>
        </w:rPr>
        <w:t xml:space="preserve"> </w:t>
      </w:r>
      <w:r>
        <w:rPr>
          <w:rFonts w:hint="eastAsia"/>
          <w:bCs/>
          <w:color w:val="000000"/>
          <w:sz w:val="28"/>
          <w:szCs w:val="28"/>
          <w:highlight w:val="none"/>
        </w:rPr>
        <w:t xml:space="preserve"> </w:t>
      </w:r>
      <w:r>
        <w:rPr>
          <w:rFonts w:hint="eastAsia" w:ascii="Times New Roman" w:hAnsi="Times New Roman" w:eastAsia="宋体" w:cs="Times New Roman"/>
          <w:bCs/>
          <w:color w:val="000000"/>
          <w:sz w:val="32"/>
          <w:szCs w:val="32"/>
          <w:highlight w:val="none"/>
        </w:rPr>
        <w:t>202</w:t>
      </w:r>
      <w:r>
        <w:rPr>
          <w:rFonts w:hint="eastAsia" w:cs="Times New Roman"/>
          <w:bCs/>
          <w:color w:val="000000"/>
          <w:sz w:val="32"/>
          <w:szCs w:val="32"/>
          <w:highlight w:val="none"/>
          <w:lang w:val="en-US" w:eastAsia="zh-CN"/>
        </w:rPr>
        <w:t>6</w:t>
      </w:r>
      <w:r>
        <w:rPr>
          <w:rFonts w:hint="eastAsia" w:ascii="Times New Roman" w:hAnsi="Times New Roman" w:eastAsia="宋体" w:cs="Times New Roman"/>
          <w:bCs/>
          <w:color w:val="000000"/>
          <w:sz w:val="32"/>
          <w:szCs w:val="32"/>
          <w:highlight w:val="none"/>
        </w:rPr>
        <w:t>年</w:t>
      </w:r>
      <w:r>
        <w:rPr>
          <w:rFonts w:hint="eastAsia" w:cs="Times New Roman"/>
          <w:bCs/>
          <w:color w:val="000000"/>
          <w:sz w:val="32"/>
          <w:szCs w:val="32"/>
          <w:highlight w:val="none"/>
          <w:lang w:val="en-US" w:eastAsia="zh-CN"/>
        </w:rPr>
        <w:t>5</w:t>
      </w:r>
      <w:r>
        <w:rPr>
          <w:rFonts w:hint="eastAsia" w:ascii="Times New Roman" w:hAnsi="Times New Roman" w:eastAsia="宋体" w:cs="Times New Roman"/>
          <w:bCs/>
          <w:color w:val="000000"/>
          <w:sz w:val="32"/>
          <w:szCs w:val="32"/>
          <w:highlight w:val="none"/>
        </w:rPr>
        <w:t>月</w:t>
      </w:r>
    </w:p>
    <w:p w14:paraId="1D0B8D92">
      <w:pPr>
        <w:rPr>
          <w:rFonts w:hint="default" w:ascii="Times New Roman" w:hAnsi="Times New Roman" w:cs="Times New Roman"/>
          <w:bCs/>
          <w:color w:val="auto"/>
          <w:sz w:val="32"/>
          <w:szCs w:val="32"/>
        </w:rPr>
      </w:pPr>
    </w:p>
    <w:p w14:paraId="7474A043">
      <w:pPr>
        <w:ind w:right="150"/>
        <w:rPr>
          <w:rFonts w:hint="default" w:ascii="Times New Roman" w:hAnsi="Times New Roman" w:cs="Times New Roman"/>
          <w:bCs/>
          <w:color w:val="auto"/>
          <w:sz w:val="30"/>
          <w:szCs w:val="30"/>
        </w:rPr>
        <w:sectPr>
          <w:footerReference r:id="rId7" w:type="default"/>
          <w:pgSz w:w="11906" w:h="16838"/>
          <w:pgMar w:top="1417" w:right="1134" w:bottom="1417" w:left="113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6D187CDE">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附件3、营业执照</w:t>
      </w:r>
    </w:p>
    <w:p w14:paraId="6445A0D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bCs/>
          <w:color w:val="auto"/>
          <w:sz w:val="24"/>
        </w:rPr>
        <w:sectPr>
          <w:headerReference r:id="rId10" w:type="first"/>
          <w:footerReference r:id="rId13" w:type="first"/>
          <w:headerReference r:id="rId8" w:type="default"/>
          <w:footerReference r:id="rId11" w:type="default"/>
          <w:headerReference r:id="rId9" w:type="even"/>
          <w:footerReference r:id="rId12" w:type="even"/>
          <w:pgSz w:w="16838" w:h="11906" w:orient="landscape"/>
          <w:pgMar w:top="1134" w:right="1134" w:bottom="1134" w:left="1134"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default" w:ascii="Times New Roman" w:hAnsi="Times New Roman" w:cs="Times New Roman"/>
          <w:color w:val="auto"/>
          <w:sz w:val="18"/>
          <w:szCs w:val="18"/>
          <w:lang w:val="en-US" w:eastAsia="zh-CN"/>
        </w:rPr>
        <w:drawing>
          <wp:anchor distT="0" distB="0" distL="114300" distR="114300" simplePos="0" relativeHeight="251679744" behindDoc="0" locked="0" layoutInCell="1" allowOverlap="1">
            <wp:simplePos x="0" y="0"/>
            <wp:positionH relativeFrom="column">
              <wp:posOffset>1779270</wp:posOffset>
            </wp:positionH>
            <wp:positionV relativeFrom="paragraph">
              <wp:posOffset>-1219200</wp:posOffset>
            </wp:positionV>
            <wp:extent cx="5752465" cy="8249285"/>
            <wp:effectExtent l="0" t="0" r="18415" b="635"/>
            <wp:wrapTopAndBottom/>
            <wp:docPr id="40" name="图片 40" descr="176672731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66727319218"/>
                    <pic:cNvPicPr>
                      <a:picLocks noChangeAspect="1"/>
                    </pic:cNvPicPr>
                  </pic:nvPicPr>
                  <pic:blipFill>
                    <a:blip r:embed="rId33"/>
                    <a:stretch>
                      <a:fillRect/>
                    </a:stretch>
                  </pic:blipFill>
                  <pic:spPr>
                    <a:xfrm rot="16200000">
                      <a:off x="0" y="0"/>
                      <a:ext cx="5752465" cy="8249285"/>
                    </a:xfrm>
                    <a:prstGeom prst="rect">
                      <a:avLst/>
                    </a:prstGeom>
                  </pic:spPr>
                </pic:pic>
              </a:graphicData>
            </a:graphic>
          </wp:anchor>
        </w:drawing>
      </w:r>
    </w:p>
    <w:p w14:paraId="2E6D6BD0">
      <w:pPr>
        <w:jc w:val="left"/>
        <w:rPr>
          <w:rFonts w:hint="default" w:ascii="Times New Roman" w:hAnsi="Times New Roman" w:cs="Times New Roman"/>
          <w:b/>
          <w:bCs/>
          <w:color w:val="auto"/>
          <w:sz w:val="24"/>
        </w:rPr>
      </w:pPr>
      <w:bookmarkStart w:id="33" w:name="_GoBack"/>
      <w:bookmarkEnd w:id="33"/>
      <w:r>
        <w:rPr>
          <w:rFonts w:hint="default" w:ascii="Times New Roman" w:hAnsi="Times New Roman" w:cs="Times New Roman"/>
          <w:b/>
          <w:bCs/>
          <w:color w:val="auto"/>
          <w:sz w:val="24"/>
        </w:rPr>
        <w:t>附件4、山东省建设项目备案证明</w:t>
      </w:r>
    </w:p>
    <w:p w14:paraId="4C0E885B">
      <w:pPr>
        <w:jc w:val="center"/>
        <w:rPr>
          <w:rFonts w:hint="default" w:ascii="Times New Roman" w:hAnsi="Times New Roman" w:cs="Times New Roman"/>
          <w:color w:val="auto"/>
          <w:lang w:eastAsia="zh-CN"/>
        </w:rPr>
      </w:pPr>
      <w:r>
        <w:rPr>
          <w:rFonts w:hint="eastAsia" w:ascii="Times New Roman" w:hAnsi="Times New Roman" w:eastAsia="宋体" w:cs="Times New Roman"/>
          <w:b/>
          <w:color w:val="auto"/>
          <w:sz w:val="24"/>
          <w:lang w:eastAsia="zh-CN"/>
        </w:rPr>
        <w:drawing>
          <wp:inline distT="0" distB="0" distL="114300" distR="114300">
            <wp:extent cx="6108065" cy="8565515"/>
            <wp:effectExtent l="0" t="0" r="6985" b="6985"/>
            <wp:docPr id="41" name="图片 41" descr="备案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备案证明"/>
                    <pic:cNvPicPr>
                      <a:picLocks noChangeAspect="1"/>
                    </pic:cNvPicPr>
                  </pic:nvPicPr>
                  <pic:blipFill>
                    <a:blip r:embed="rId34"/>
                    <a:stretch>
                      <a:fillRect/>
                    </a:stretch>
                  </pic:blipFill>
                  <pic:spPr>
                    <a:xfrm>
                      <a:off x="0" y="0"/>
                      <a:ext cx="6108065" cy="8565515"/>
                    </a:xfrm>
                    <a:prstGeom prst="rect">
                      <a:avLst/>
                    </a:prstGeom>
                  </pic:spPr>
                </pic:pic>
              </a:graphicData>
            </a:graphic>
          </wp:inline>
        </w:drawing>
      </w:r>
    </w:p>
    <w:p w14:paraId="400AEE4F">
      <w:pPr>
        <w:jc w:val="both"/>
        <w:rPr>
          <w:rFonts w:hint="default" w:ascii="Times New Roman" w:hAnsi="Times New Roman" w:eastAsia="宋体" w:cs="Times New Roman"/>
          <w:b/>
          <w:color w:val="auto"/>
          <w:sz w:val="24"/>
          <w:lang w:eastAsia="zh-CN"/>
        </w:rPr>
      </w:pPr>
      <w:r>
        <w:rPr>
          <w:rFonts w:hint="eastAsia" w:cs="Times New Roman"/>
          <w:color w:val="auto"/>
          <w:lang w:val="en-US" w:eastAsia="zh-CN"/>
        </w:rPr>
        <w:t xml:space="preserve"> </w:t>
      </w:r>
      <w:r>
        <w:rPr>
          <w:rFonts w:hint="default" w:ascii="Times New Roman" w:hAnsi="Times New Roman" w:cs="Times New Roman"/>
          <w:b/>
          <w:color w:val="auto"/>
          <w:sz w:val="24"/>
        </w:rPr>
        <w:t>附图1</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rPr>
        <w:t>项目地理位置图</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lang w:val="en-US" w:eastAsia="zh-CN"/>
        </w:rPr>
        <w:t>1：</w:t>
      </w:r>
      <w:r>
        <w:rPr>
          <w:rFonts w:hint="eastAsia" w:cs="Times New Roman"/>
          <w:b/>
          <w:color w:val="auto"/>
          <w:sz w:val="24"/>
          <w:lang w:val="en-US" w:eastAsia="zh-CN"/>
        </w:rPr>
        <w:t>58</w:t>
      </w:r>
      <w:r>
        <w:rPr>
          <w:rFonts w:hint="default" w:ascii="Times New Roman" w:hAnsi="Times New Roman" w:cs="Times New Roman"/>
          <w:b/>
          <w:color w:val="auto"/>
          <w:sz w:val="24"/>
          <w:lang w:val="en-US" w:eastAsia="zh-CN"/>
        </w:rPr>
        <w:t>000</w:t>
      </w:r>
      <w:r>
        <w:rPr>
          <w:rFonts w:hint="default" w:ascii="Times New Roman" w:hAnsi="Times New Roman" w:cs="Times New Roman"/>
          <w:b/>
          <w:color w:val="auto"/>
          <w:sz w:val="24"/>
          <w:lang w:eastAsia="zh-CN"/>
        </w:rPr>
        <w:t>）</w:t>
      </w:r>
    </w:p>
    <w:p w14:paraId="51D50C07">
      <w:pPr>
        <w:jc w:val="both"/>
        <w:rPr>
          <w:rFonts w:hint="default" w:ascii="Times New Roman" w:hAnsi="Times New Roman" w:cs="Times New Roman"/>
          <w:color w:val="auto"/>
        </w:rPr>
      </w:pPr>
      <w:r>
        <w:rPr>
          <w:rFonts w:hint="default" w:ascii="Times New Roman" w:hAnsi="Times New Roman" w:cs="Times New Roman"/>
          <w:b/>
          <w:color w:val="auto"/>
          <w:sz w:val="24"/>
        </w:rPr>
        <mc:AlternateContent>
          <mc:Choice Requires="wps">
            <w:drawing>
              <wp:anchor distT="0" distB="0" distL="114300" distR="114300" simplePos="0" relativeHeight="251665408" behindDoc="0" locked="0" layoutInCell="1" allowOverlap="1">
                <wp:simplePos x="0" y="0"/>
                <wp:positionH relativeFrom="column">
                  <wp:posOffset>2484755</wp:posOffset>
                </wp:positionH>
                <wp:positionV relativeFrom="paragraph">
                  <wp:posOffset>2127885</wp:posOffset>
                </wp:positionV>
                <wp:extent cx="1108710" cy="327660"/>
                <wp:effectExtent l="4445" t="5080" r="372745" b="181610"/>
                <wp:wrapNone/>
                <wp:docPr id="8" name="矩形标注 3"/>
                <wp:cNvGraphicFramePr/>
                <a:graphic xmlns:a="http://schemas.openxmlformats.org/drawingml/2006/main">
                  <a:graphicData uri="http://schemas.microsoft.com/office/word/2010/wordprocessingShape">
                    <wps:wsp>
                      <wps:cNvSpPr/>
                      <wps:spPr>
                        <a:xfrm>
                          <a:off x="0" y="0"/>
                          <a:ext cx="1108710" cy="327660"/>
                        </a:xfrm>
                        <a:prstGeom prst="wedgeRectCallout">
                          <a:avLst>
                            <a:gd name="adj1" fmla="val 79495"/>
                            <a:gd name="adj2" fmla="val 97481"/>
                          </a:avLst>
                        </a:prstGeom>
                        <a:solidFill>
                          <a:srgbClr val="FFFFFF"/>
                        </a:solidFill>
                        <a:ln w="9525" cap="flat" cmpd="sng">
                          <a:solidFill>
                            <a:srgbClr val="000000"/>
                          </a:solidFill>
                          <a:prstDash val="solid"/>
                          <a:miter/>
                          <a:headEnd type="none" w="med" len="med"/>
                          <a:tailEnd type="none" w="med" len="med"/>
                        </a:ln>
                      </wps:spPr>
                      <wps:txbx>
                        <w:txbxContent>
                          <w:p w14:paraId="3F13369D">
                            <w:pPr>
                              <w:jc w:val="center"/>
                            </w:pPr>
                            <w:r>
                              <w:rPr>
                                <w:rFonts w:hint="eastAsia"/>
                              </w:rPr>
                              <w:t>项目所在位置</w:t>
                            </w:r>
                          </w:p>
                        </w:txbxContent>
                      </wps:txbx>
                      <wps:bodyPr vert="horz" wrap="square" anchor="t" anchorCtr="0" upright="1"/>
                    </wps:wsp>
                  </a:graphicData>
                </a:graphic>
              </wp:anchor>
            </w:drawing>
          </mc:Choice>
          <mc:Fallback>
            <w:pict>
              <v:shape id="矩形标注 3" o:spid="_x0000_s1026" o:spt="61" type="#_x0000_t61" style="position:absolute;left:0pt;margin-left:195.65pt;margin-top:167.55pt;height:25.8pt;width:87.3pt;z-index:251665408;mso-width-relative:page;mso-height-relative:page;" fillcolor="#FFFFFF" filled="t" stroked="t" coordsize="21600,21600" o:gfxdata="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t3lQ9wA&#10;AAALAQAADwAAAAAAAAABACAAAAAiAAAAZHJzL2Rvd25yZXYueG1sUEsBAhQAFAAAAAgAh07iQHz1&#10;UsdUAgAAvwQAAA4AAAAAAAAAAQAgAAAAKwEAAGRycy9lMm9Eb2MueG1sUEsFBgAAAAAGAAYAWQEA&#10;APEFAAAAAA==&#10;" adj="27971,31856">
                <v:fill on="t" focussize="0,0"/>
                <v:stroke color="#000000" joinstyle="miter"/>
                <v:imagedata o:title=""/>
                <o:lock v:ext="edit" aspectratio="f"/>
                <v:textbox>
                  <w:txbxContent>
                    <w:p w14:paraId="3F13369D">
                      <w:pPr>
                        <w:jc w:val="center"/>
                      </w:pPr>
                      <w:r>
                        <w:rPr>
                          <w:rFonts w:hint="eastAsia"/>
                        </w:rPr>
                        <w:t>项目所在位置</w:t>
                      </w:r>
                    </w:p>
                  </w:txbxContent>
                </v:textbox>
              </v:shape>
            </w:pict>
          </mc:Fallback>
        </mc:AlternateContent>
      </w:r>
      <w:r>
        <w:rPr>
          <w:rFonts w:hint="default" w:ascii="Times New Roman" w:hAnsi="Times New Roman" w:cs="Times New Roman"/>
          <w:color w:val="auto"/>
        </w:rPr>
        <w:drawing>
          <wp:anchor distT="0" distB="0" distL="114300" distR="114300" simplePos="0" relativeHeight="251666432" behindDoc="0" locked="0" layoutInCell="1" allowOverlap="1">
            <wp:simplePos x="0" y="0"/>
            <wp:positionH relativeFrom="column">
              <wp:posOffset>7768590</wp:posOffset>
            </wp:positionH>
            <wp:positionV relativeFrom="paragraph">
              <wp:posOffset>11430</wp:posOffset>
            </wp:positionV>
            <wp:extent cx="1474470" cy="1376680"/>
            <wp:effectExtent l="0" t="0" r="11430" b="1397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5"/>
                    <a:stretch>
                      <a:fillRect/>
                    </a:stretch>
                  </pic:blipFill>
                  <pic:spPr>
                    <a:xfrm>
                      <a:off x="0" y="0"/>
                      <a:ext cx="1474470" cy="1376680"/>
                    </a:xfrm>
                    <a:prstGeom prst="rect">
                      <a:avLst/>
                    </a:prstGeom>
                    <a:noFill/>
                    <a:ln>
                      <a:noFill/>
                    </a:ln>
                  </pic:spPr>
                </pic:pic>
              </a:graphicData>
            </a:graphic>
          </wp:anchor>
        </w:drawing>
      </w:r>
      <w:r>
        <w:drawing>
          <wp:inline distT="0" distB="0" distL="114300" distR="114300">
            <wp:extent cx="9243060" cy="5599430"/>
            <wp:effectExtent l="0" t="0" r="15240" b="1270"/>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pic:cNvPicPr>
                  </pic:nvPicPr>
                  <pic:blipFill>
                    <a:blip r:embed="rId36"/>
                    <a:stretch>
                      <a:fillRect/>
                    </a:stretch>
                  </pic:blipFill>
                  <pic:spPr>
                    <a:xfrm>
                      <a:off x="0" y="0"/>
                      <a:ext cx="9243060" cy="5599430"/>
                    </a:xfrm>
                    <a:prstGeom prst="rect">
                      <a:avLst/>
                    </a:prstGeom>
                    <a:noFill/>
                    <a:ln>
                      <a:noFill/>
                    </a:ln>
                  </pic:spPr>
                </pic:pic>
              </a:graphicData>
            </a:graphic>
          </wp:inline>
        </w:drawing>
      </w:r>
    </w:p>
    <w:p w14:paraId="2D5C6CC4">
      <w:pPr>
        <w:jc w:val="both"/>
        <w:rPr>
          <w:rFonts w:hint="default" w:ascii="Times New Roman" w:hAnsi="Times New Roman" w:eastAsia="宋体" w:cs="Times New Roman"/>
          <w:b/>
          <w:color w:val="auto"/>
          <w:sz w:val="24"/>
        </w:rPr>
      </w:pPr>
    </w:p>
    <w:p w14:paraId="2607ABBE">
      <w:pPr>
        <w:jc w:val="both"/>
        <w:rPr>
          <w:rFonts w:hint="eastAsia" w:ascii="Times New Roman" w:hAnsi="Times New Roman" w:eastAsia="宋体" w:cs="Times New Roman"/>
          <w:b/>
          <w:color w:val="auto"/>
          <w:sz w:val="24"/>
          <w:lang w:eastAsia="zh-CN"/>
        </w:rPr>
      </w:pPr>
      <w:r>
        <w:rPr>
          <w:sz w:val="24"/>
        </w:rPr>
        <mc:AlternateContent>
          <mc:Choice Requires="wps">
            <w:drawing>
              <wp:anchor distT="0" distB="0" distL="114300" distR="114300" simplePos="0" relativeHeight="251684864" behindDoc="0" locked="0" layoutInCell="1" allowOverlap="1">
                <wp:simplePos x="0" y="0"/>
                <wp:positionH relativeFrom="column">
                  <wp:posOffset>5300980</wp:posOffset>
                </wp:positionH>
                <wp:positionV relativeFrom="paragraph">
                  <wp:posOffset>186055</wp:posOffset>
                </wp:positionV>
                <wp:extent cx="3245485" cy="1710690"/>
                <wp:effectExtent l="12700" t="12700" r="18415" b="29210"/>
                <wp:wrapNone/>
                <wp:docPr id="66" name="任意多边形 66"/>
                <wp:cNvGraphicFramePr/>
                <a:graphic xmlns:a="http://schemas.openxmlformats.org/drawingml/2006/main">
                  <a:graphicData uri="http://schemas.microsoft.com/office/word/2010/wordprocessingShape">
                    <wps:wsp>
                      <wps:cNvSpPr/>
                      <wps:spPr>
                        <a:xfrm>
                          <a:off x="6021070" y="906145"/>
                          <a:ext cx="3245485" cy="1710690"/>
                        </a:xfrm>
                        <a:custGeom>
                          <a:avLst/>
                          <a:gdLst>
                            <a:gd name="connisteX0" fmla="*/ 915035 w 3245485"/>
                            <a:gd name="connsiteY0" fmla="*/ 27940 h 1710690"/>
                            <a:gd name="connisteX1" fmla="*/ 0 w 3245485"/>
                            <a:gd name="connsiteY1" fmla="*/ 1460500 h 1710690"/>
                            <a:gd name="connisteX2" fmla="*/ 998220 w 3245485"/>
                            <a:gd name="connsiteY2" fmla="*/ 1710690 h 1710690"/>
                            <a:gd name="connisteX3" fmla="*/ 1821815 w 3245485"/>
                            <a:gd name="connsiteY3" fmla="*/ 1543685 h 1710690"/>
                            <a:gd name="connisteX4" fmla="*/ 2061845 w 3245485"/>
                            <a:gd name="connsiteY4" fmla="*/ 1405890 h 1710690"/>
                            <a:gd name="connisteX5" fmla="*/ 2080260 w 3245485"/>
                            <a:gd name="connsiteY5" fmla="*/ 1063625 h 1710690"/>
                            <a:gd name="connisteX6" fmla="*/ 2320925 w 3245485"/>
                            <a:gd name="connsiteY6" fmla="*/ 803910 h 1710690"/>
                            <a:gd name="connisteX7" fmla="*/ 2903220 w 3245485"/>
                            <a:gd name="connsiteY7" fmla="*/ 859790 h 1710690"/>
                            <a:gd name="connisteX8" fmla="*/ 3245485 w 3245485"/>
                            <a:gd name="connsiteY8" fmla="*/ 591185 h 1710690"/>
                            <a:gd name="connisteX9" fmla="*/ 3199130 w 3245485"/>
                            <a:gd name="connsiteY9" fmla="*/ 342265 h 1710690"/>
                            <a:gd name="connisteX10" fmla="*/ 3079115 w 3245485"/>
                            <a:gd name="connsiteY10" fmla="*/ 0 h 1710690"/>
                            <a:gd name="connisteX11" fmla="*/ 915035 w 3245485"/>
                            <a:gd name="connsiteY11" fmla="*/ 27940 h 171069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3245485" h="1710690">
                              <a:moveTo>
                                <a:pt x="915035" y="27940"/>
                              </a:moveTo>
                              <a:lnTo>
                                <a:pt x="0" y="1460500"/>
                              </a:lnTo>
                              <a:lnTo>
                                <a:pt x="998220" y="1710690"/>
                              </a:lnTo>
                              <a:lnTo>
                                <a:pt x="1821815" y="1543685"/>
                              </a:lnTo>
                              <a:lnTo>
                                <a:pt x="2061845" y="1405890"/>
                              </a:lnTo>
                              <a:lnTo>
                                <a:pt x="2080260" y="1063625"/>
                              </a:lnTo>
                              <a:lnTo>
                                <a:pt x="2320925" y="803910"/>
                              </a:lnTo>
                              <a:lnTo>
                                <a:pt x="2903220" y="859790"/>
                              </a:lnTo>
                              <a:lnTo>
                                <a:pt x="3245485" y="591185"/>
                              </a:lnTo>
                              <a:lnTo>
                                <a:pt x="3199130" y="342265"/>
                              </a:lnTo>
                              <a:lnTo>
                                <a:pt x="3079115" y="0"/>
                              </a:lnTo>
                              <a:lnTo>
                                <a:pt x="915035" y="27940"/>
                              </a:lnTo>
                              <a:close/>
                            </a:path>
                          </a:pathLst>
                        </a:custGeom>
                        <a:solidFill>
                          <a:srgbClr val="FFFF00">
                            <a:alpha val="20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17.4pt;margin-top:14.65pt;height:134.7pt;width:255.55pt;z-index:251684864;mso-width-relative:page;mso-height-relative:page;" fillcolor="#FFFF00" filled="t" stroked="t" coordsize="3245485,1710690" o:gfxdata="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BYjjXbYAAAACwEAAA8AAAAAAAAAAQAgAAAAIgAAAGRycy9kb3ducmV2Lnht&#10;bFBLAQIUABQAAAAIAIdO4kCqVpY2MwQAAJ0OAAAOAAAAAAAAAAEAIAAAACcBAABkcnMvZTJvRG9j&#10;LnhtbFBLBQYAAAAABgAGAFkBAADMBwAAAAA=&#10;" path="m915035,27940l0,1460500,998220,1710690,1821815,1543685,2061845,1405890,2080260,1063625,2320925,803910,2903220,859790,3245485,591185,3199130,342265,3079115,0,915035,27940xe">
                <v:path o:connectlocs="915035,27940;0,1460500;998220,1710690;1821815,1543685;2061845,1405890;2080260,1063625;2320925,803910;2903220,859790;3245485,591185;3199130,342265;3079115,0;915035,27940" o:connectangles="0,0,0,0,0,0,0,0,0,0,0,0"/>
                <v:fill on="t" opacity="13107f" focussize="0,0"/>
                <v:stroke weight="2pt" color="#376092 [2404]" joinstyle="round"/>
                <v:imagedata o:title=""/>
                <o:lock v:ext="edit" aspectratio="f"/>
              </v:shape>
            </w:pict>
          </mc:Fallback>
        </mc:AlternateContent>
      </w:r>
      <w:r>
        <w:rPr>
          <w:rFonts w:hint="default" w:ascii="Times New Roman" w:hAnsi="Times New Roman" w:eastAsia="宋体" w:cs="Times New Roman"/>
          <w:b/>
          <w:color w:val="auto"/>
          <w:sz w:val="24"/>
        </w:rPr>
        <w:t>附图2</w:t>
      </w:r>
      <w:r>
        <w:rPr>
          <w:rFonts w:hint="default" w:ascii="Times New Roman" w:hAnsi="Times New Roman" w:cs="Times New Roman"/>
          <w:b/>
          <w:color w:val="auto"/>
          <w:sz w:val="24"/>
          <w:lang w:eastAsia="zh-CN"/>
        </w:rPr>
        <w:t>、</w:t>
      </w:r>
      <w:r>
        <w:rPr>
          <w:rFonts w:hint="default" w:ascii="Times New Roman" w:hAnsi="Times New Roman" w:eastAsia="宋体" w:cs="Times New Roman"/>
          <w:b/>
          <w:color w:val="auto"/>
          <w:sz w:val="24"/>
        </w:rPr>
        <w:t>项目周边敏感目标分布图</w:t>
      </w: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1:7200</w:t>
      </w:r>
      <w:r>
        <w:rPr>
          <w:rFonts w:hint="eastAsia" w:ascii="Times New Roman" w:hAnsi="Times New Roman" w:eastAsia="宋体" w:cs="Times New Roman"/>
          <w:b/>
          <w:color w:val="auto"/>
          <w:sz w:val="24"/>
          <w:lang w:eastAsia="zh-CN"/>
        </w:rPr>
        <w:t>）</w:t>
      </w:r>
    </w:p>
    <w:p w14:paraId="5229D939">
      <w:pPr>
        <w:jc w:val="center"/>
        <w:rPr>
          <w:rFonts w:hint="default" w:ascii="Times New Roman" w:hAnsi="Times New Roman" w:cs="Times New Roman"/>
          <w:b/>
          <w:color w:val="auto"/>
          <w:sz w:val="24"/>
        </w:rPr>
      </w:pPr>
      <w:r>
        <w:rPr>
          <w:sz w:val="28"/>
        </w:rPr>
        <mc:AlternateContent>
          <mc:Choice Requires="wps">
            <w:drawing>
              <wp:anchor distT="0" distB="0" distL="114300" distR="114300" simplePos="0" relativeHeight="251686912" behindDoc="0" locked="0" layoutInCell="1" allowOverlap="1">
                <wp:simplePos x="0" y="0"/>
                <wp:positionH relativeFrom="column">
                  <wp:posOffset>5694680</wp:posOffset>
                </wp:positionH>
                <wp:positionV relativeFrom="paragraph">
                  <wp:posOffset>2863850</wp:posOffset>
                </wp:positionV>
                <wp:extent cx="904875" cy="304800"/>
                <wp:effectExtent l="0" t="0" r="0" b="0"/>
                <wp:wrapNone/>
                <wp:docPr id="67" name="文本框 114"/>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a:noFill/>
                        </a:ln>
                      </wps:spPr>
                      <wps:txbx>
                        <w:txbxContent>
                          <w:p w14:paraId="741FC028">
                            <w:pPr>
                              <w:jc w:val="center"/>
                              <w:rPr>
                                <w:rFonts w:hint="default" w:eastAsia="宋体"/>
                                <w:b/>
                                <w:bCs/>
                                <w:color w:val="FF0000"/>
                                <w:lang w:val="en-US" w:eastAsia="zh-CN"/>
                              </w:rPr>
                            </w:pPr>
                            <w:r>
                              <w:rPr>
                                <w:rFonts w:hint="eastAsia"/>
                                <w:b/>
                                <w:bCs/>
                                <w:color w:val="FF0000"/>
                                <w:lang w:val="en-US" w:eastAsia="zh-CN"/>
                              </w:rPr>
                              <w:t>284m</w:t>
                            </w:r>
                          </w:p>
                        </w:txbxContent>
                      </wps:txbx>
                      <wps:bodyPr vert="horz" wrap="square" anchor="t" anchorCtr="0" upright="1"/>
                    </wps:wsp>
                  </a:graphicData>
                </a:graphic>
              </wp:anchor>
            </w:drawing>
          </mc:Choice>
          <mc:Fallback>
            <w:pict>
              <v:shape id="文本框 114" o:spid="_x0000_s1026" o:spt="202" type="#_x0000_t202" style="position:absolute;left:0pt;margin-left:448.4pt;margin-top:225.5pt;height:24pt;width:71.25pt;z-index:251686912;mso-width-relative:page;mso-height-relative:page;" filled="f" stroked="f" coordsize="21600,21600" o:gfxdata="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&#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87xtI9gAAAAMAQAADwAAAAAAAAABACAAAAAiAAAA&#10;ZHJzL2Rvd25yZXYueG1sUEsBAhQAFAAAAAgAh07iQAiwBurOAQAAgwMAAA4AAAAAAAAAAQAgAAAA&#10;JwEAAGRycy9lMm9Eb2MueG1sUEsFBgAAAAAGAAYAWQEAAGcFAAAAAA==&#10;">
                <v:fill on="f" focussize="0,0"/>
                <v:stroke on="f"/>
                <v:imagedata o:title=""/>
                <o:lock v:ext="edit" aspectratio="f"/>
                <v:textbox>
                  <w:txbxContent>
                    <w:p w14:paraId="741FC028">
                      <w:pPr>
                        <w:jc w:val="center"/>
                        <w:rPr>
                          <w:rFonts w:hint="default" w:eastAsia="宋体"/>
                          <w:b/>
                          <w:bCs/>
                          <w:color w:val="FF0000"/>
                          <w:lang w:val="en-US" w:eastAsia="zh-CN"/>
                        </w:rPr>
                      </w:pPr>
                      <w:r>
                        <w:rPr>
                          <w:rFonts w:hint="eastAsia"/>
                          <w:b/>
                          <w:bCs/>
                          <w:color w:val="FF0000"/>
                          <w:lang w:val="en-US" w:eastAsia="zh-CN"/>
                        </w:rPr>
                        <w:t>284m</w:t>
                      </w:r>
                    </w:p>
                  </w:txbxContent>
                </v:textbox>
              </v:shape>
            </w:pict>
          </mc:Fallback>
        </mc:AlternateContent>
      </w:r>
      <w:r>
        <w:rPr>
          <w:sz w:val="28"/>
        </w:rPr>
        <mc:AlternateContent>
          <mc:Choice Requires="wps">
            <w:drawing>
              <wp:anchor distT="0" distB="0" distL="114300" distR="114300" simplePos="0" relativeHeight="251687936" behindDoc="0" locked="0" layoutInCell="1" allowOverlap="1">
                <wp:simplePos x="0" y="0"/>
                <wp:positionH relativeFrom="column">
                  <wp:posOffset>6173470</wp:posOffset>
                </wp:positionH>
                <wp:positionV relativeFrom="paragraph">
                  <wp:posOffset>2995930</wp:posOffset>
                </wp:positionV>
                <wp:extent cx="3075940" cy="2077720"/>
                <wp:effectExtent l="12700" t="12700" r="16510" b="24130"/>
                <wp:wrapNone/>
                <wp:docPr id="68" name="任意多边形 68"/>
                <wp:cNvGraphicFramePr/>
                <a:graphic xmlns:a="http://schemas.openxmlformats.org/drawingml/2006/main">
                  <a:graphicData uri="http://schemas.microsoft.com/office/word/2010/wordprocessingShape">
                    <wps:wsp>
                      <wps:cNvSpPr/>
                      <wps:spPr>
                        <a:xfrm>
                          <a:off x="6893560" y="3913505"/>
                          <a:ext cx="3075940" cy="2077720"/>
                        </a:xfrm>
                        <a:custGeom>
                          <a:avLst/>
                          <a:gdLst>
                            <a:gd name="connisteX0" fmla="*/ 768985 w 3075940"/>
                            <a:gd name="connsiteY0" fmla="*/ 275590 h 2077720"/>
                            <a:gd name="connisteX1" fmla="*/ 0 w 3075940"/>
                            <a:gd name="connsiteY1" fmla="*/ 1917065 h 2077720"/>
                            <a:gd name="connisteX2" fmla="*/ 390525 w 3075940"/>
                            <a:gd name="connsiteY2" fmla="*/ 2066290 h 2077720"/>
                            <a:gd name="connisteX3" fmla="*/ 3064510 w 3075940"/>
                            <a:gd name="connsiteY3" fmla="*/ 2077720 h 2077720"/>
                            <a:gd name="connisteX4" fmla="*/ 3075940 w 3075940"/>
                            <a:gd name="connsiteY4" fmla="*/ 126365 h 2077720"/>
                            <a:gd name="connisteX5" fmla="*/ 2605405 w 3075940"/>
                            <a:gd name="connsiteY5" fmla="*/ 0 h 2077720"/>
                            <a:gd name="connisteX6" fmla="*/ 2169160 w 3075940"/>
                            <a:gd name="connsiteY6" fmla="*/ 620395 h 2077720"/>
                            <a:gd name="connisteX7" fmla="*/ 768985 w 3075940"/>
                            <a:gd name="connsiteY7" fmla="*/ 275590 h 20777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3075940" h="2077720">
                              <a:moveTo>
                                <a:pt x="768985" y="275590"/>
                              </a:moveTo>
                              <a:lnTo>
                                <a:pt x="0" y="1917065"/>
                              </a:lnTo>
                              <a:lnTo>
                                <a:pt x="390525" y="2066290"/>
                              </a:lnTo>
                              <a:lnTo>
                                <a:pt x="3064510" y="2077720"/>
                              </a:lnTo>
                              <a:lnTo>
                                <a:pt x="3075940" y="126365"/>
                              </a:lnTo>
                              <a:lnTo>
                                <a:pt x="2605405" y="0"/>
                              </a:lnTo>
                              <a:lnTo>
                                <a:pt x="2169160" y="620395"/>
                              </a:lnTo>
                              <a:lnTo>
                                <a:pt x="768985" y="275590"/>
                              </a:lnTo>
                              <a:close/>
                            </a:path>
                          </a:pathLst>
                        </a:custGeom>
                        <a:solidFill>
                          <a:srgbClr val="FFFF00">
                            <a:alpha val="20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86.1pt;margin-top:235.9pt;height:163.6pt;width:242.2pt;z-index:251687936;mso-width-relative:page;mso-height-relative:page;" fillcolor="#FFFF00" filled="t" stroked="t" coordsize="3075940,2077720" o:gfxdata="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GLQ+93dAAAADAEAAA8AAAAAAAAA&#10;AQAgAAAAIgAAAGRycy9kb3ducmV2LnhtbFBLAQIUABQAAAAIAIdO4kCt/r3vmwMAAEILAAAOAAAA&#10;AAAAAAEAIAAAACwBAABkcnMvZTJvRG9jLnhtbFBLBQYAAAAABgAGAFkBAAA5BwAAAAA=&#10;" path="m768985,275590l0,1917065,390525,2066290,3064510,2077720,3075940,126365,2605405,0,2169160,620395,768985,275590xe">
                <v:path o:connectlocs="768985,275590;0,1917065;390525,2066290;3064510,2077720;3075940,126365;2605405,0;2169160,620395;768985,275590" o:connectangles="0,0,0,0,0,0,0,0"/>
                <v:fill on="t" opacity="13107f" focussize="0,0"/>
                <v:stroke weight="2pt" color="#376092 [2404]" joinstyle="round"/>
                <v:imagedata o:title=""/>
                <o:lock v:ext="edit" aspectratio="f"/>
              </v:shape>
            </w:pict>
          </mc:Fallback>
        </mc:AlternateContent>
      </w:r>
      <w:r>
        <w:rPr>
          <w:rFonts w:hint="default" w:ascii="Times New Roman" w:hAnsi="Times New Roman" w:cs="Times New Roman"/>
          <w:color w:val="auto"/>
        </w:rPr>
        <w:drawing>
          <wp:anchor distT="0" distB="0" distL="114300" distR="114300" simplePos="0" relativeHeight="251685888" behindDoc="0" locked="0" layoutInCell="1" allowOverlap="1">
            <wp:simplePos x="0" y="0"/>
            <wp:positionH relativeFrom="column">
              <wp:posOffset>7754620</wp:posOffset>
            </wp:positionH>
            <wp:positionV relativeFrom="paragraph">
              <wp:posOffset>22225</wp:posOffset>
            </wp:positionV>
            <wp:extent cx="1474470" cy="1376680"/>
            <wp:effectExtent l="0" t="0" r="11430" b="1397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5"/>
                    <a:stretch>
                      <a:fillRect/>
                    </a:stretch>
                  </pic:blipFill>
                  <pic:spPr>
                    <a:xfrm>
                      <a:off x="0" y="0"/>
                      <a:ext cx="1474470" cy="1376680"/>
                    </a:xfrm>
                    <a:prstGeom prst="rect">
                      <a:avLst/>
                    </a:prstGeom>
                    <a:noFill/>
                    <a:ln>
                      <a:noFill/>
                    </a:ln>
                  </pic:spPr>
                </pic:pic>
              </a:graphicData>
            </a:graphic>
          </wp:anchor>
        </w:drawing>
      </w:r>
      <w:r>
        <w:rPr>
          <w:sz w:val="28"/>
        </w:rPr>
        <mc:AlternateContent>
          <mc:Choice Requires="wps">
            <w:drawing>
              <wp:anchor distT="0" distB="0" distL="114300" distR="114300" simplePos="0" relativeHeight="251670528" behindDoc="0" locked="0" layoutInCell="1" allowOverlap="1">
                <wp:simplePos x="0" y="0"/>
                <wp:positionH relativeFrom="column">
                  <wp:posOffset>3397885</wp:posOffset>
                </wp:positionH>
                <wp:positionV relativeFrom="paragraph">
                  <wp:posOffset>2859405</wp:posOffset>
                </wp:positionV>
                <wp:extent cx="904875" cy="269875"/>
                <wp:effectExtent l="0" t="0" r="0" b="0"/>
                <wp:wrapNone/>
                <wp:docPr id="19" name="文本框 109"/>
                <wp:cNvGraphicFramePr/>
                <a:graphic xmlns:a="http://schemas.openxmlformats.org/drawingml/2006/main">
                  <a:graphicData uri="http://schemas.microsoft.com/office/word/2010/wordprocessingShape">
                    <wps:wsp>
                      <wps:cNvSpPr txBox="1"/>
                      <wps:spPr>
                        <a:xfrm>
                          <a:off x="0" y="0"/>
                          <a:ext cx="904875" cy="269875"/>
                        </a:xfrm>
                        <a:prstGeom prst="rect">
                          <a:avLst/>
                        </a:prstGeom>
                        <a:noFill/>
                        <a:ln>
                          <a:noFill/>
                        </a:ln>
                      </wps:spPr>
                      <wps:txbx>
                        <w:txbxContent>
                          <w:p w14:paraId="51310A9D">
                            <w:pPr>
                              <w:jc w:val="center"/>
                              <w:rPr>
                                <w:rFonts w:hint="default" w:eastAsia="宋体"/>
                                <w:b/>
                                <w:bCs/>
                                <w:color w:val="FF0000"/>
                                <w:lang w:val="en-US" w:eastAsia="zh-CN"/>
                              </w:rPr>
                            </w:pPr>
                            <w:r>
                              <w:rPr>
                                <w:rFonts w:hint="eastAsia"/>
                                <w:b/>
                                <w:bCs/>
                                <w:color w:val="FF0000"/>
                                <w:lang w:val="en-US" w:eastAsia="zh-CN"/>
                              </w:rPr>
                              <w:t>256m</w:t>
                            </w:r>
                          </w:p>
                        </w:txbxContent>
                      </wps:txbx>
                      <wps:bodyPr vert="horz" wrap="square" anchor="t" anchorCtr="0" upright="1"/>
                    </wps:wsp>
                  </a:graphicData>
                </a:graphic>
              </wp:anchor>
            </w:drawing>
          </mc:Choice>
          <mc:Fallback>
            <w:pict>
              <v:shape id="文本框 109" o:spid="_x0000_s1026" o:spt="202" type="#_x0000_t202" style="position:absolute;left:0pt;margin-left:267.55pt;margin-top:225.15pt;height:21.25pt;width:71.25pt;z-index:251670528;mso-width-relative:page;mso-height-relative:page;" filled="f" stroked="f" coordsize="21600,21600" o:gfxdata="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I6iaLZAAAACwEAAA8AAAAAAAAAAQAgAAAAIgAAAGRy&#10;cy9kb3ducmV2LnhtbFBLAQIUABQAAAAIAIdO4kAYGcdiywEAAIMDAAAOAAAAAAAAAAEAIAAAACgB&#10;AABkcnMvZTJvRG9jLnhtbFBLBQYAAAAABgAGAFkBAABlBQAAAAA=&#10;">
                <v:fill on="f" focussize="0,0"/>
                <v:stroke on="f"/>
                <v:imagedata o:title=""/>
                <o:lock v:ext="edit" aspectratio="f"/>
                <v:textbox>
                  <w:txbxContent>
                    <w:p w14:paraId="51310A9D">
                      <w:pPr>
                        <w:jc w:val="center"/>
                        <w:rPr>
                          <w:rFonts w:hint="default" w:eastAsia="宋体"/>
                          <w:b/>
                          <w:bCs/>
                          <w:color w:val="FF0000"/>
                          <w:lang w:val="en-US" w:eastAsia="zh-CN"/>
                        </w:rPr>
                      </w:pPr>
                      <w:r>
                        <w:rPr>
                          <w:rFonts w:hint="eastAsia"/>
                          <w:b/>
                          <w:bCs/>
                          <w:color w:val="FF0000"/>
                          <w:lang w:val="en-US" w:eastAsia="zh-CN"/>
                        </w:rPr>
                        <w:t>256m</w:t>
                      </w:r>
                    </w:p>
                  </w:txbxContent>
                </v:textbox>
              </v:shape>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-12065</wp:posOffset>
                </wp:positionH>
                <wp:positionV relativeFrom="paragraph">
                  <wp:posOffset>2172970</wp:posOffset>
                </wp:positionV>
                <wp:extent cx="3305175" cy="2880360"/>
                <wp:effectExtent l="12700" t="12700" r="15875" b="21590"/>
                <wp:wrapNone/>
                <wp:docPr id="58" name="任意多边形 58"/>
                <wp:cNvGraphicFramePr/>
                <a:graphic xmlns:a="http://schemas.openxmlformats.org/drawingml/2006/main">
                  <a:graphicData uri="http://schemas.microsoft.com/office/word/2010/wordprocessingShape">
                    <wps:wsp>
                      <wps:cNvSpPr/>
                      <wps:spPr>
                        <a:xfrm>
                          <a:off x="708025" y="3090545"/>
                          <a:ext cx="3305175" cy="2880360"/>
                        </a:xfrm>
                        <a:custGeom>
                          <a:avLst/>
                          <a:gdLst>
                            <a:gd name="connisteX0" fmla="*/ 424815 w 3305175"/>
                            <a:gd name="connsiteY0" fmla="*/ 850265 h 2880360"/>
                            <a:gd name="connisteX1" fmla="*/ 252095 w 3305175"/>
                            <a:gd name="connsiteY1" fmla="*/ 1332230 h 2880360"/>
                            <a:gd name="connisteX2" fmla="*/ 114935 w 3305175"/>
                            <a:gd name="connsiteY2" fmla="*/ 1343025 h 2880360"/>
                            <a:gd name="connisteX3" fmla="*/ 0 w 3305175"/>
                            <a:gd name="connsiteY3" fmla="*/ 1561465 h 2880360"/>
                            <a:gd name="connisteX4" fmla="*/ 34290 w 3305175"/>
                            <a:gd name="connsiteY4" fmla="*/ 2880360 h 2880360"/>
                            <a:gd name="connisteX5" fmla="*/ 2134235 w 3305175"/>
                            <a:gd name="connsiteY5" fmla="*/ 2880360 h 2880360"/>
                            <a:gd name="connisteX6" fmla="*/ 3305175 w 3305175"/>
                            <a:gd name="connsiteY6" fmla="*/ 941705 h 2880360"/>
                            <a:gd name="connisteX7" fmla="*/ 1687195 w 3305175"/>
                            <a:gd name="connsiteY7" fmla="*/ 586105 h 2880360"/>
                            <a:gd name="connisteX8" fmla="*/ 1835785 w 3305175"/>
                            <a:gd name="connsiteY8" fmla="*/ 114935 h 2880360"/>
                            <a:gd name="connisteX9" fmla="*/ 1377315 w 3305175"/>
                            <a:gd name="connsiteY9" fmla="*/ 0 h 2880360"/>
                            <a:gd name="connisteX10" fmla="*/ 1158875 w 3305175"/>
                            <a:gd name="connsiteY10" fmla="*/ 975360 h 2880360"/>
                            <a:gd name="connisteX11" fmla="*/ 424815 w 3305175"/>
                            <a:gd name="connsiteY11" fmla="*/ 850265 h 288036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3305175" h="2880360">
                              <a:moveTo>
                                <a:pt x="424815" y="850265"/>
                              </a:moveTo>
                              <a:lnTo>
                                <a:pt x="252095" y="1332230"/>
                              </a:lnTo>
                              <a:lnTo>
                                <a:pt x="114935" y="1343025"/>
                              </a:lnTo>
                              <a:lnTo>
                                <a:pt x="0" y="1561465"/>
                              </a:lnTo>
                              <a:lnTo>
                                <a:pt x="34290" y="2880360"/>
                              </a:lnTo>
                              <a:lnTo>
                                <a:pt x="2134235" y="2880360"/>
                              </a:lnTo>
                              <a:lnTo>
                                <a:pt x="3305175" y="941705"/>
                              </a:lnTo>
                              <a:lnTo>
                                <a:pt x="1687195" y="586105"/>
                              </a:lnTo>
                              <a:lnTo>
                                <a:pt x="1835785" y="114935"/>
                              </a:lnTo>
                              <a:lnTo>
                                <a:pt x="1377315" y="0"/>
                              </a:lnTo>
                              <a:lnTo>
                                <a:pt x="1158875" y="975360"/>
                              </a:lnTo>
                              <a:lnTo>
                                <a:pt x="424815" y="850265"/>
                              </a:lnTo>
                              <a:close/>
                            </a:path>
                          </a:pathLst>
                        </a:custGeom>
                        <a:solidFill>
                          <a:srgbClr val="FFFF00">
                            <a:alpha val="20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0.95pt;margin-top:171.1pt;height:226.8pt;width:260.25pt;z-index:251682816;mso-width-relative:page;mso-height-relative:page;" fillcolor="#FFFF00" filled="t" stroked="t" coordsize="3305175,2880360" o:gfxdata="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J83tWjZAAAACgEAAA8AAAAAAAAAAQAgAAAAIgAAAGRycy9kb3ducmV2LnhtbFBLAQIUABQA&#10;AAAIAIdO4kD6E3R/KQQAAJsOAAAOAAAAAAAAAAEAIAAAACgBAABkcnMvZTJvRG9jLnhtbFBLBQYA&#10;AAAABgAGAFkBAADDBwAAAAA=&#10;" path="m424815,850265l252095,1332230,114935,1343025,0,1561465,34290,2880360,2134235,2880360,3305175,941705,1687195,586105,1835785,114935,1377315,0,1158875,975360,424815,850265xe">
                <v:path o:connectlocs="424815,850265;252095,1332230;114935,1343025;0,1561465;34290,2880360;2134235,2880360;3305175,941705;1687195,586105;1835785,114935;1377315,0;1158875,975360;424815,850265" o:connectangles="0,0,0,0,0,0,0,0,0,0,0,0"/>
                <v:fill on="t" opacity="13107f" focussize="0,0"/>
                <v:stroke weight="2pt" color="#376092 [2404]" joinstyle="round"/>
                <v:imagedata o:title=""/>
                <o:lock v:ext="edit" aspectratio="f"/>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3097530</wp:posOffset>
                </wp:positionH>
                <wp:positionV relativeFrom="paragraph">
                  <wp:posOffset>1626870</wp:posOffset>
                </wp:positionV>
                <wp:extent cx="904875" cy="261620"/>
                <wp:effectExtent l="0" t="0" r="0" b="0"/>
                <wp:wrapNone/>
                <wp:docPr id="23" name="文本框 112"/>
                <wp:cNvGraphicFramePr/>
                <a:graphic xmlns:a="http://schemas.openxmlformats.org/drawingml/2006/main">
                  <a:graphicData uri="http://schemas.microsoft.com/office/word/2010/wordprocessingShape">
                    <wps:wsp>
                      <wps:cNvSpPr txBox="1"/>
                      <wps:spPr>
                        <a:xfrm>
                          <a:off x="0" y="0"/>
                          <a:ext cx="904875" cy="261620"/>
                        </a:xfrm>
                        <a:prstGeom prst="rect">
                          <a:avLst/>
                        </a:prstGeom>
                        <a:noFill/>
                        <a:ln>
                          <a:noFill/>
                        </a:ln>
                      </wps:spPr>
                      <wps:txbx>
                        <w:txbxContent>
                          <w:p w14:paraId="46C5FFEA">
                            <w:pPr>
                              <w:jc w:val="center"/>
                              <w:rPr>
                                <w:rFonts w:hint="default" w:eastAsia="宋体"/>
                                <w:b/>
                                <w:bCs/>
                                <w:color w:val="FF0000"/>
                                <w:lang w:val="en-US" w:eastAsia="zh-CN"/>
                              </w:rPr>
                            </w:pPr>
                            <w:r>
                              <w:rPr>
                                <w:rFonts w:hint="eastAsia"/>
                                <w:b/>
                                <w:bCs/>
                                <w:color w:val="FF0000"/>
                                <w:lang w:val="en-US" w:eastAsia="zh-CN"/>
                              </w:rPr>
                              <w:t>452m</w:t>
                            </w:r>
                          </w:p>
                        </w:txbxContent>
                      </wps:txbx>
                      <wps:bodyPr vert="horz" wrap="square" anchor="t" anchorCtr="0" upright="1"/>
                    </wps:wsp>
                  </a:graphicData>
                </a:graphic>
              </wp:anchor>
            </w:drawing>
          </mc:Choice>
          <mc:Fallback>
            <w:pict>
              <v:shape id="文本框 112" o:spid="_x0000_s1026" o:spt="202" type="#_x0000_t202" style="position:absolute;left:0pt;margin-left:243.9pt;margin-top:128.1pt;height:20.6pt;width:71.25pt;z-index:251672576;mso-width-relative:page;mso-height-relative:page;" filled="f" stroked="f" coordsize="21600,21600" o:gfxdata="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KfQRL2QAAAAsBAAAPAAAAAAAAAAEAIAAAACIA&#10;AABkcnMvZG93bnJldi54bWxQSwECFAAUAAAACACHTuJAsyjflc8BAACDAwAADgAAAAAAAAABACAA&#10;AAAoAQAAZHJzL2Uyb0RvYy54bWxQSwUGAAAAAAYABgBZAQAAaQUAAAAA&#10;">
                <v:fill on="f" focussize="0,0"/>
                <v:stroke on="f"/>
                <v:imagedata o:title=""/>
                <o:lock v:ext="edit" aspectratio="f"/>
                <v:textbox>
                  <w:txbxContent>
                    <w:p w14:paraId="46C5FFEA">
                      <w:pPr>
                        <w:jc w:val="center"/>
                        <w:rPr>
                          <w:rFonts w:hint="default" w:eastAsia="宋体"/>
                          <w:b/>
                          <w:bCs/>
                          <w:color w:val="FF0000"/>
                          <w:lang w:val="en-US" w:eastAsia="zh-CN"/>
                        </w:rPr>
                      </w:pPr>
                      <w:r>
                        <w:rPr>
                          <w:rFonts w:hint="eastAsia"/>
                          <w:b/>
                          <w:bCs/>
                          <w:color w:val="FF0000"/>
                          <w:lang w:val="en-US" w:eastAsia="zh-CN"/>
                        </w:rPr>
                        <w:t>452m</w:t>
                      </w:r>
                    </w:p>
                  </w:txbxContent>
                </v:textbox>
              </v:shape>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10795</wp:posOffset>
                </wp:positionH>
                <wp:positionV relativeFrom="paragraph">
                  <wp:posOffset>16510</wp:posOffset>
                </wp:positionV>
                <wp:extent cx="2846070" cy="2054225"/>
                <wp:effectExtent l="12700" t="12700" r="17780" b="28575"/>
                <wp:wrapNone/>
                <wp:docPr id="57" name="任意多边形 57"/>
                <wp:cNvGraphicFramePr/>
                <a:graphic xmlns:a="http://schemas.openxmlformats.org/drawingml/2006/main">
                  <a:graphicData uri="http://schemas.microsoft.com/office/word/2010/wordprocessingShape">
                    <wps:wsp>
                      <wps:cNvSpPr/>
                      <wps:spPr>
                        <a:xfrm>
                          <a:off x="730885" y="934085"/>
                          <a:ext cx="2846070" cy="2054225"/>
                        </a:xfrm>
                        <a:custGeom>
                          <a:avLst/>
                          <a:gdLst>
                            <a:gd name="connisteX0" fmla="*/ 0 w 2846070"/>
                            <a:gd name="connsiteY0" fmla="*/ 0 h 2054225"/>
                            <a:gd name="connisteX1" fmla="*/ 11430 w 2846070"/>
                            <a:gd name="connsiteY1" fmla="*/ 572770 h 2054225"/>
                            <a:gd name="connisteX2" fmla="*/ 493395 w 2846070"/>
                            <a:gd name="connsiteY2" fmla="*/ 1181735 h 2054225"/>
                            <a:gd name="connisteX3" fmla="*/ 309880 w 2846070"/>
                            <a:gd name="connsiteY3" fmla="*/ 1755775 h 2054225"/>
                            <a:gd name="connisteX4" fmla="*/ 1687195 w 2846070"/>
                            <a:gd name="connsiteY4" fmla="*/ 2054225 h 2054225"/>
                            <a:gd name="connisteX5" fmla="*/ 1824990 w 2846070"/>
                            <a:gd name="connsiteY5" fmla="*/ 1697990 h 2054225"/>
                            <a:gd name="connisteX6" fmla="*/ 1962150 w 2846070"/>
                            <a:gd name="connsiteY6" fmla="*/ 1686560 h 2054225"/>
                            <a:gd name="connisteX7" fmla="*/ 2306955 w 2846070"/>
                            <a:gd name="connsiteY7" fmla="*/ 952500 h 2054225"/>
                            <a:gd name="connisteX8" fmla="*/ 2524760 w 2846070"/>
                            <a:gd name="connsiteY8" fmla="*/ 1009650 h 2054225"/>
                            <a:gd name="connisteX9" fmla="*/ 2846070 w 2846070"/>
                            <a:gd name="connsiteY9" fmla="*/ 172085 h 2054225"/>
                            <a:gd name="connisteX10" fmla="*/ 1973580 w 2846070"/>
                            <a:gd name="connsiteY10" fmla="*/ 10795 h 2054225"/>
                            <a:gd name="connisteX11" fmla="*/ 0 w 2846070"/>
                            <a:gd name="connsiteY11" fmla="*/ 0 h 20542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2846070" h="2054225">
                              <a:moveTo>
                                <a:pt x="0" y="0"/>
                              </a:moveTo>
                              <a:lnTo>
                                <a:pt x="11430" y="572770"/>
                              </a:lnTo>
                              <a:lnTo>
                                <a:pt x="493395" y="1181735"/>
                              </a:lnTo>
                              <a:lnTo>
                                <a:pt x="309880" y="1755775"/>
                              </a:lnTo>
                              <a:lnTo>
                                <a:pt x="1687195" y="2054225"/>
                              </a:lnTo>
                              <a:lnTo>
                                <a:pt x="1824990" y="1697990"/>
                              </a:lnTo>
                              <a:lnTo>
                                <a:pt x="1962150" y="1686560"/>
                              </a:lnTo>
                              <a:lnTo>
                                <a:pt x="2306955" y="952500"/>
                              </a:lnTo>
                              <a:lnTo>
                                <a:pt x="2524760" y="1009650"/>
                              </a:lnTo>
                              <a:lnTo>
                                <a:pt x="2846070" y="172085"/>
                              </a:lnTo>
                              <a:lnTo>
                                <a:pt x="1973580" y="10795"/>
                              </a:lnTo>
                              <a:lnTo>
                                <a:pt x="0" y="0"/>
                              </a:lnTo>
                              <a:close/>
                            </a:path>
                          </a:pathLst>
                        </a:custGeom>
                        <a:solidFill>
                          <a:srgbClr val="FFFF00">
                            <a:alpha val="20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0.85pt;margin-top:1.3pt;height:161.75pt;width:224.1pt;z-index:251681792;mso-width-relative:page;mso-height-relative:page;" fillcolor="#FFFF00" filled="t" stroked="t" coordsize="2846070,2054225" o:gfxdata="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CDY6dh1wAAAAcBAAAPAAAAAAAAAAEAIAAAACIAAABkcnMvZG93bnJldi54bWxQSwECFAAU&#10;AAAACACHTuJANVevvywEAACIDgAADgAAAAAAAAABACAAAAAmAQAAZHJzL2Uyb0RvYy54bWxQSwUG&#10;AAAAAAYABgBZAQAAxAcAAAAA&#10;" path="m0,0l11430,572770,493395,1181735,309880,1755775,1687195,2054225,1824990,1697990,1962150,1686560,2306955,952500,2524760,1009650,2846070,172085,1973580,10795,0,0xe">
                <v:path o:connectlocs="0,0;11430,572770;493395,1181735;309880,1755775;1687195,2054225;1824990,1697990;1962150,1686560;2306955,952500;2524760,1009650;2846070,172085;1973580,10795;0,0" o:connectangles="0,0,0,0,0,0,0,0,0,0,0,0"/>
                <v:fill on="t" opacity="13107f" focussize="0,0"/>
                <v:stroke weight="2pt" color="#376092 [2404]" joinstyle="round"/>
                <v:imagedata o:title=""/>
                <o:lock v:ext="edit" aspectratio="f"/>
              </v:shape>
            </w:pict>
          </mc:Fallback>
        </mc:AlternateContent>
      </w:r>
      <w:r>
        <w:rPr>
          <w:sz w:val="28"/>
        </w:rPr>
        <mc:AlternateContent>
          <mc:Choice Requires="wps">
            <w:drawing>
              <wp:anchor distT="0" distB="0" distL="114300" distR="114300" simplePos="0" relativeHeight="251680768" behindDoc="0" locked="0" layoutInCell="1" allowOverlap="1">
                <wp:simplePos x="0" y="0"/>
                <wp:positionH relativeFrom="column">
                  <wp:posOffset>6913245</wp:posOffset>
                </wp:positionH>
                <wp:positionV relativeFrom="paragraph">
                  <wp:posOffset>4154170</wp:posOffset>
                </wp:positionV>
                <wp:extent cx="1343025" cy="276225"/>
                <wp:effectExtent l="0" t="0" r="0" b="0"/>
                <wp:wrapNone/>
                <wp:docPr id="56" name="文本框 106"/>
                <wp:cNvGraphicFramePr/>
                <a:graphic xmlns:a="http://schemas.openxmlformats.org/drawingml/2006/main">
                  <a:graphicData uri="http://schemas.microsoft.com/office/word/2010/wordprocessingShape">
                    <wps:wsp>
                      <wps:cNvSpPr txBox="1"/>
                      <wps:spPr>
                        <a:xfrm>
                          <a:off x="0" y="0"/>
                          <a:ext cx="1343025" cy="276225"/>
                        </a:xfrm>
                        <a:prstGeom prst="rect">
                          <a:avLst/>
                        </a:prstGeom>
                        <a:noFill/>
                        <a:ln>
                          <a:noFill/>
                        </a:ln>
                      </wps:spPr>
                      <wps:txbx>
                        <w:txbxContent>
                          <w:p w14:paraId="29AB67D2">
                            <w:pPr>
                              <w:jc w:val="center"/>
                              <w:rPr>
                                <w:rFonts w:hint="default" w:eastAsia="宋体"/>
                                <w:b/>
                                <w:bCs/>
                                <w:color w:val="FF0000"/>
                                <w:highlight w:val="yellow"/>
                                <w:lang w:val="en-US" w:eastAsia="zh-CN"/>
                              </w:rPr>
                            </w:pPr>
                            <w:r>
                              <w:rPr>
                                <w:rFonts w:hint="eastAsia"/>
                                <w:b/>
                                <w:bCs/>
                                <w:color w:val="FF0000"/>
                                <w:highlight w:val="yellow"/>
                                <w:lang w:val="en-US" w:eastAsia="zh-CN"/>
                              </w:rPr>
                              <w:t>大王庄村</w:t>
                            </w:r>
                          </w:p>
                        </w:txbxContent>
                      </wps:txbx>
                      <wps:bodyPr wrap="square" upright="1"/>
                    </wps:wsp>
                  </a:graphicData>
                </a:graphic>
              </wp:anchor>
            </w:drawing>
          </mc:Choice>
          <mc:Fallback>
            <w:pict>
              <v:shape id="文本框 106" o:spid="_x0000_s1026" o:spt="202" type="#_x0000_t202" style="position:absolute;left:0pt;margin-left:544.35pt;margin-top:327.1pt;height:21.75pt;width:105.75pt;z-index:251680768;mso-width-relative:page;mso-height-relative:page;" filled="f" stroked="f" coordsize="21600,21600" o:gfxdata="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myuULZAAAADQEAAA8AAAAAAAAAAQAgAAAAIgAAAGRycy9kb3ducmV2LnhtbFBLAQIU&#10;ABQAAAAIAIdO4kAvcJe8uQEAAF8DAAAOAAAAAAAAAAEAIAAAACgBAABkcnMvZTJvRG9jLnhtbFBL&#10;BQYAAAAABgAGAFkBAABTBQAAAAA=&#10;">
                <v:fill on="f" focussize="0,0"/>
                <v:stroke on="f"/>
                <v:imagedata o:title=""/>
                <o:lock v:ext="edit" aspectratio="f"/>
                <v:textbox>
                  <w:txbxContent>
                    <w:p w14:paraId="29AB67D2">
                      <w:pPr>
                        <w:jc w:val="center"/>
                        <w:rPr>
                          <w:rFonts w:hint="default" w:eastAsia="宋体"/>
                          <w:b/>
                          <w:bCs/>
                          <w:color w:val="FF0000"/>
                          <w:highlight w:val="yellow"/>
                          <w:lang w:val="en-US" w:eastAsia="zh-CN"/>
                        </w:rPr>
                      </w:pPr>
                      <w:r>
                        <w:rPr>
                          <w:rFonts w:hint="eastAsia"/>
                          <w:b/>
                          <w:bCs/>
                          <w:color w:val="FF0000"/>
                          <w:highlight w:val="yellow"/>
                          <w:lang w:val="en-US" w:eastAsia="zh-CN"/>
                        </w:rPr>
                        <w:t>大王庄村</w:t>
                      </w:r>
                    </w:p>
                  </w:txbxContent>
                </v:textbox>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637540</wp:posOffset>
                </wp:positionH>
                <wp:positionV relativeFrom="paragraph">
                  <wp:posOffset>4008120</wp:posOffset>
                </wp:positionV>
                <wp:extent cx="1343025" cy="276225"/>
                <wp:effectExtent l="0" t="0" r="0" b="0"/>
                <wp:wrapNone/>
                <wp:docPr id="15" name="文本框 105"/>
                <wp:cNvGraphicFramePr/>
                <a:graphic xmlns:a="http://schemas.openxmlformats.org/drawingml/2006/main">
                  <a:graphicData uri="http://schemas.microsoft.com/office/word/2010/wordprocessingShape">
                    <wps:wsp>
                      <wps:cNvSpPr txBox="1"/>
                      <wps:spPr>
                        <a:xfrm>
                          <a:off x="0" y="0"/>
                          <a:ext cx="1343025" cy="276225"/>
                        </a:xfrm>
                        <a:prstGeom prst="rect">
                          <a:avLst/>
                        </a:prstGeom>
                        <a:noFill/>
                        <a:ln>
                          <a:noFill/>
                        </a:ln>
                      </wps:spPr>
                      <wps:txbx>
                        <w:txbxContent>
                          <w:p w14:paraId="7ECDC6F3">
                            <w:pPr>
                              <w:jc w:val="center"/>
                              <w:rPr>
                                <w:rFonts w:hint="default" w:eastAsia="宋体"/>
                                <w:b/>
                                <w:bCs/>
                                <w:color w:val="FF0000"/>
                                <w:highlight w:val="yellow"/>
                                <w:lang w:val="en-US" w:eastAsia="zh-CN"/>
                              </w:rPr>
                            </w:pPr>
                            <w:r>
                              <w:rPr>
                                <w:rFonts w:hint="eastAsia"/>
                                <w:b/>
                                <w:bCs/>
                                <w:color w:val="FF0000"/>
                                <w:highlight w:val="yellow"/>
                                <w:lang w:val="en-US" w:eastAsia="zh-CN"/>
                              </w:rPr>
                              <w:t>道口村</w:t>
                            </w:r>
                          </w:p>
                        </w:txbxContent>
                      </wps:txbx>
                      <wps:bodyPr vert="horz" wrap="square" anchor="t" anchorCtr="0" upright="1"/>
                    </wps:wsp>
                  </a:graphicData>
                </a:graphic>
              </wp:anchor>
            </w:drawing>
          </mc:Choice>
          <mc:Fallback>
            <w:pict>
              <v:shape id="文本框 105" o:spid="_x0000_s1026" o:spt="202" type="#_x0000_t202" style="position:absolute;left:0pt;margin-left:50.2pt;margin-top:315.6pt;height:21.75pt;width:105.75pt;z-index:251667456;mso-width-relative:page;mso-height-relative:page;" filled="f" stroked="f" coordsize="21600,21600" o:gfxdata="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6ZwxLYAAAACwEAAA8AAAAAAAAAAQAgAAAAIgAAAGRy&#10;cy9kb3ducmV2LnhtbFBLAQIUABQAAAAIAIdO4kBJalZvzAEAAIQDAAAOAAAAAAAAAAEAIAAAACcB&#10;AABkcnMvZTJvRG9jLnhtbFBLBQYAAAAABgAGAFkBAABlBQAAAAA=&#10;">
                <v:fill on="f" focussize="0,0"/>
                <v:stroke on="f"/>
                <v:imagedata o:title=""/>
                <o:lock v:ext="edit" aspectratio="f"/>
                <v:textbox>
                  <w:txbxContent>
                    <w:p w14:paraId="7ECDC6F3">
                      <w:pPr>
                        <w:jc w:val="center"/>
                        <w:rPr>
                          <w:rFonts w:hint="default" w:eastAsia="宋体"/>
                          <w:b/>
                          <w:bCs/>
                          <w:color w:val="FF0000"/>
                          <w:highlight w:val="yellow"/>
                          <w:lang w:val="en-US" w:eastAsia="zh-CN"/>
                        </w:rPr>
                      </w:pPr>
                      <w:r>
                        <w:rPr>
                          <w:rFonts w:hint="eastAsia"/>
                          <w:b/>
                          <w:bCs/>
                          <w:color w:val="FF0000"/>
                          <w:highlight w:val="yellow"/>
                          <w:lang w:val="en-US" w:eastAsia="zh-CN"/>
                        </w:rPr>
                        <w:t>道口村</w:t>
                      </w:r>
                    </w:p>
                  </w:txbxContent>
                </v:textbox>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6348095</wp:posOffset>
                </wp:positionH>
                <wp:positionV relativeFrom="paragraph">
                  <wp:posOffset>501650</wp:posOffset>
                </wp:positionV>
                <wp:extent cx="1343025" cy="276225"/>
                <wp:effectExtent l="0" t="0" r="0" b="0"/>
                <wp:wrapNone/>
                <wp:docPr id="78" name="文本框 106"/>
                <wp:cNvGraphicFramePr/>
                <a:graphic xmlns:a="http://schemas.openxmlformats.org/drawingml/2006/main">
                  <a:graphicData uri="http://schemas.microsoft.com/office/word/2010/wordprocessingShape">
                    <wps:wsp>
                      <wps:cNvSpPr txBox="1"/>
                      <wps:spPr>
                        <a:xfrm>
                          <a:off x="0" y="0"/>
                          <a:ext cx="1343025" cy="276225"/>
                        </a:xfrm>
                        <a:prstGeom prst="rect">
                          <a:avLst/>
                        </a:prstGeom>
                        <a:noFill/>
                        <a:ln>
                          <a:noFill/>
                        </a:ln>
                      </wps:spPr>
                      <wps:txbx>
                        <w:txbxContent>
                          <w:p w14:paraId="735E5FFD">
                            <w:pPr>
                              <w:jc w:val="center"/>
                              <w:rPr>
                                <w:rFonts w:hint="default" w:eastAsia="宋体"/>
                                <w:b/>
                                <w:bCs/>
                                <w:color w:val="FF0000"/>
                                <w:highlight w:val="yellow"/>
                                <w:lang w:val="en-US" w:eastAsia="zh-CN"/>
                              </w:rPr>
                            </w:pPr>
                            <w:r>
                              <w:rPr>
                                <w:rFonts w:hint="eastAsia"/>
                                <w:b/>
                                <w:bCs/>
                                <w:color w:val="FF0000"/>
                                <w:highlight w:val="yellow"/>
                                <w:lang w:val="en-US" w:eastAsia="zh-CN"/>
                              </w:rPr>
                              <w:t>洪五社区</w:t>
                            </w:r>
                          </w:p>
                        </w:txbxContent>
                      </wps:txbx>
                      <wps:bodyPr wrap="square" upright="1"/>
                    </wps:wsp>
                  </a:graphicData>
                </a:graphic>
              </wp:anchor>
            </w:drawing>
          </mc:Choice>
          <mc:Fallback>
            <w:pict>
              <v:shape id="文本框 106" o:spid="_x0000_s1026" o:spt="202" type="#_x0000_t202" style="position:absolute;left:0pt;margin-left:499.85pt;margin-top:39.5pt;height:21.75pt;width:105.75pt;z-index:251676672;mso-width-relative:page;mso-height-relative:page;" filled="f" stroked="f" coordsize="21600,21600" o:gfxdata="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kOeGNYAAAALAQAADwAAAAAAAAABACAAAAAiAAAAZHJzL2Rvd25yZXYueG1sUEsBAhQAFAAA&#10;AAgAh07iQCu3GP+4AQAAXwMAAA4AAAAAAAAAAQAgAAAAJQEAAGRycy9lMm9Eb2MueG1sUEsFBgAA&#10;AAAGAAYAWQEAAE8FAAAAAA==&#10;">
                <v:fill on="f" focussize="0,0"/>
                <v:stroke on="f"/>
                <v:imagedata o:title=""/>
                <o:lock v:ext="edit" aspectratio="f"/>
                <v:textbox>
                  <w:txbxContent>
                    <w:p w14:paraId="735E5FFD">
                      <w:pPr>
                        <w:jc w:val="center"/>
                        <w:rPr>
                          <w:rFonts w:hint="default" w:eastAsia="宋体"/>
                          <w:b/>
                          <w:bCs/>
                          <w:color w:val="FF0000"/>
                          <w:highlight w:val="yellow"/>
                          <w:lang w:val="en-US" w:eastAsia="zh-CN"/>
                        </w:rPr>
                      </w:pPr>
                      <w:r>
                        <w:rPr>
                          <w:rFonts w:hint="eastAsia"/>
                          <w:b/>
                          <w:bCs/>
                          <w:color w:val="FF0000"/>
                          <w:highlight w:val="yellow"/>
                          <w:lang w:val="en-US" w:eastAsia="zh-CN"/>
                        </w:rPr>
                        <w:t>洪五社区</w:t>
                      </w:r>
                    </w:p>
                  </w:txbxContent>
                </v:textbox>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875030</wp:posOffset>
                </wp:positionH>
                <wp:positionV relativeFrom="paragraph">
                  <wp:posOffset>687070</wp:posOffset>
                </wp:positionV>
                <wp:extent cx="1343025" cy="276225"/>
                <wp:effectExtent l="0" t="0" r="0" b="0"/>
                <wp:wrapNone/>
                <wp:docPr id="16" name="文本框 106"/>
                <wp:cNvGraphicFramePr/>
                <a:graphic xmlns:a="http://schemas.openxmlformats.org/drawingml/2006/main">
                  <a:graphicData uri="http://schemas.microsoft.com/office/word/2010/wordprocessingShape">
                    <wps:wsp>
                      <wps:cNvSpPr txBox="1"/>
                      <wps:spPr>
                        <a:xfrm>
                          <a:off x="0" y="0"/>
                          <a:ext cx="1343025" cy="276225"/>
                        </a:xfrm>
                        <a:prstGeom prst="rect">
                          <a:avLst/>
                        </a:prstGeom>
                        <a:noFill/>
                        <a:ln>
                          <a:noFill/>
                        </a:ln>
                      </wps:spPr>
                      <wps:txbx>
                        <w:txbxContent>
                          <w:p w14:paraId="2F88192C">
                            <w:pPr>
                              <w:jc w:val="center"/>
                              <w:rPr>
                                <w:rFonts w:hint="default" w:eastAsia="宋体"/>
                                <w:b/>
                                <w:bCs/>
                                <w:color w:val="FF0000"/>
                                <w:highlight w:val="yellow"/>
                                <w:lang w:val="en-US" w:eastAsia="zh-CN"/>
                              </w:rPr>
                            </w:pPr>
                            <w:r>
                              <w:rPr>
                                <w:rFonts w:hint="eastAsia"/>
                                <w:b/>
                                <w:bCs/>
                                <w:color w:val="FF0000"/>
                                <w:highlight w:val="yellow"/>
                                <w:lang w:val="en-US" w:eastAsia="zh-CN"/>
                              </w:rPr>
                              <w:t>演礼庄村</w:t>
                            </w:r>
                          </w:p>
                        </w:txbxContent>
                      </wps:txbx>
                      <wps:bodyPr wrap="square" upright="1"/>
                    </wps:wsp>
                  </a:graphicData>
                </a:graphic>
              </wp:anchor>
            </w:drawing>
          </mc:Choice>
          <mc:Fallback>
            <w:pict>
              <v:shape id="文本框 106" o:spid="_x0000_s1026" o:spt="202" type="#_x0000_t202" style="position:absolute;left:0pt;margin-left:68.9pt;margin-top:54.1pt;height:21.75pt;width:105.75pt;z-index:251668480;mso-width-relative:page;mso-height-relative:page;" filled="f" stroked="f" coordsize="21600,21600" o:gfxdata="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VndUp2AAAAAsBAAAPAAAAAAAAAAEAIAAAACIAAABkcnMvZG93bnJldi54bWxQSwECFAAU&#10;AAAACACHTuJASuNneLgBAABfAwAADgAAAAAAAAABACAAAAAnAQAAZHJzL2Uyb0RvYy54bWxQSwUG&#10;AAAAAAYABgBZAQAAUQUAAAAA&#10;">
                <v:fill on="f" focussize="0,0"/>
                <v:stroke on="f"/>
                <v:imagedata o:title=""/>
                <o:lock v:ext="edit" aspectratio="f"/>
                <v:textbox>
                  <w:txbxContent>
                    <w:p w14:paraId="2F88192C">
                      <w:pPr>
                        <w:jc w:val="center"/>
                        <w:rPr>
                          <w:rFonts w:hint="default" w:eastAsia="宋体"/>
                          <w:b/>
                          <w:bCs/>
                          <w:color w:val="FF0000"/>
                          <w:highlight w:val="yellow"/>
                          <w:lang w:val="en-US" w:eastAsia="zh-CN"/>
                        </w:rPr>
                      </w:pPr>
                      <w:r>
                        <w:rPr>
                          <w:rFonts w:hint="eastAsia"/>
                          <w:b/>
                          <w:bCs/>
                          <w:color w:val="FF0000"/>
                          <w:highlight w:val="yellow"/>
                          <w:lang w:val="en-US" w:eastAsia="zh-CN"/>
                        </w:rPr>
                        <w:t>演礼庄村</w:t>
                      </w:r>
                    </w:p>
                  </w:txbxContent>
                </v:textbox>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4983480</wp:posOffset>
                </wp:positionH>
                <wp:positionV relativeFrom="paragraph">
                  <wp:posOffset>1574165</wp:posOffset>
                </wp:positionV>
                <wp:extent cx="904875" cy="304800"/>
                <wp:effectExtent l="0" t="0" r="0" b="0"/>
                <wp:wrapNone/>
                <wp:docPr id="25" name="文本框 114"/>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a:noFill/>
                        </a:ln>
                      </wps:spPr>
                      <wps:txbx>
                        <w:txbxContent>
                          <w:p w14:paraId="1C9AC6FD">
                            <w:pPr>
                              <w:jc w:val="center"/>
                              <w:rPr>
                                <w:rFonts w:hint="default" w:eastAsia="宋体"/>
                                <w:b/>
                                <w:bCs/>
                                <w:color w:val="FF0000"/>
                                <w:lang w:val="en-US" w:eastAsia="zh-CN"/>
                              </w:rPr>
                            </w:pPr>
                            <w:r>
                              <w:rPr>
                                <w:rFonts w:hint="eastAsia"/>
                                <w:b/>
                                <w:bCs/>
                                <w:color w:val="FF0000"/>
                                <w:lang w:val="en-US" w:eastAsia="zh-CN"/>
                              </w:rPr>
                              <w:t>160m</w:t>
                            </w:r>
                          </w:p>
                        </w:txbxContent>
                      </wps:txbx>
                      <wps:bodyPr vert="horz" wrap="square" anchor="t" anchorCtr="0" upright="1"/>
                    </wps:wsp>
                  </a:graphicData>
                </a:graphic>
              </wp:anchor>
            </w:drawing>
          </mc:Choice>
          <mc:Fallback>
            <w:pict>
              <v:shape id="文本框 114" o:spid="_x0000_s1026" o:spt="202" type="#_x0000_t202" style="position:absolute;left:0pt;margin-left:392.4pt;margin-top:123.95pt;height:24pt;width:71.25pt;z-index:251674624;mso-width-relative:page;mso-height-relative:page;" filled="f" stroked="f" coordsize="21600,21600" o:gfxdata="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&#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9o7uT2QAAAAsBAAAPAAAAAAAAAAEAIAAAACIAAABk&#10;cnMvZG93bnJldi54bWxQSwECFAAUAAAACACHTuJA9HmREMwBAACDAwAADgAAAAAAAAABACAAAAAo&#10;AQAAZHJzL2Uyb0RvYy54bWxQSwUGAAAAAAYABgBZAQAAZgUAAAAA&#10;">
                <v:fill on="f" focussize="0,0"/>
                <v:stroke on="f"/>
                <v:imagedata o:title=""/>
                <o:lock v:ext="edit" aspectratio="f"/>
                <v:textbox>
                  <w:txbxContent>
                    <w:p w14:paraId="1C9AC6FD">
                      <w:pPr>
                        <w:jc w:val="center"/>
                        <w:rPr>
                          <w:rFonts w:hint="default" w:eastAsia="宋体"/>
                          <w:b/>
                          <w:bCs/>
                          <w:color w:val="FF0000"/>
                          <w:lang w:val="en-US" w:eastAsia="zh-CN"/>
                        </w:rPr>
                      </w:pPr>
                      <w:r>
                        <w:rPr>
                          <w:rFonts w:hint="eastAsia"/>
                          <w:b/>
                          <w:bCs/>
                          <w:color w:val="FF0000"/>
                          <w:lang w:val="en-US" w:eastAsia="zh-CN"/>
                        </w:rPr>
                        <w:t>160m</w:t>
                      </w:r>
                    </w:p>
                  </w:txbxContent>
                </v:textbox>
              </v:shape>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5206365</wp:posOffset>
                </wp:positionH>
                <wp:positionV relativeFrom="paragraph">
                  <wp:posOffset>2781300</wp:posOffset>
                </wp:positionV>
                <wp:extent cx="1736090" cy="490220"/>
                <wp:effectExtent l="1270" t="4445" r="15240" b="38735"/>
                <wp:wrapNone/>
                <wp:docPr id="59" name="直线 113"/>
                <wp:cNvGraphicFramePr/>
                <a:graphic xmlns:a="http://schemas.openxmlformats.org/drawingml/2006/main">
                  <a:graphicData uri="http://schemas.microsoft.com/office/word/2010/wordprocessingShape">
                    <wps:wsp>
                      <wps:cNvCnPr>
                        <a:endCxn id="68" idx="0"/>
                      </wps:cNvCnPr>
                      <wps:spPr>
                        <a:xfrm>
                          <a:off x="0" y="0"/>
                          <a:ext cx="1736090" cy="490220"/>
                        </a:xfrm>
                        <a:prstGeom prst="line">
                          <a:avLst/>
                        </a:prstGeom>
                        <a:ln w="9525" cap="flat" cmpd="sng">
                          <a:solidFill>
                            <a:srgbClr val="FF0000"/>
                          </a:solidFill>
                          <a:prstDash val="solid"/>
                          <a:headEnd type="none" w="med" len="med"/>
                          <a:tailEnd type="arrow" w="med" len="med"/>
                        </a:ln>
                      </wps:spPr>
                      <wps:bodyPr upright="1"/>
                    </wps:wsp>
                  </a:graphicData>
                </a:graphic>
              </wp:anchor>
            </w:drawing>
          </mc:Choice>
          <mc:Fallback>
            <w:pict>
              <v:line id="直线 113" o:spid="_x0000_s1026" o:spt="20" style="position:absolute;left:0pt;margin-left:409.95pt;margin-top:219pt;height:38.6pt;width:136.7pt;z-index:251683840;mso-width-relative:page;mso-height-relative:page;" filled="f" stroked="t" coordsize="21600,21600" o:gfxdata="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z9YzYAAAADAEAAA8AAAAAAAAAAQAgAAAAIgAA&#10;AGRycy9kb3ducmV2LnhtbFBLAQIUABQAAAAIAIdO4kDXr7PWCAIAAAwEAAAOAAAAAAAAAAEAIAAA&#10;ACcBAABkcnMvZTJvRG9jLnhtbFBLBQYAAAAABgAGAFkBAAChBQAAAAA=&#10;">
                <v:fill on="f" focussize="0,0"/>
                <v:stroke color="#FF0000" joinstyle="round" endarrow="open"/>
                <v:imagedata o:title=""/>
                <o:lock v:ext="edit" aspectratio="f"/>
              </v:line>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5295265</wp:posOffset>
                </wp:positionH>
                <wp:positionV relativeFrom="paragraph">
                  <wp:posOffset>1532890</wp:posOffset>
                </wp:positionV>
                <wp:extent cx="308610" cy="831850"/>
                <wp:effectExtent l="4445" t="0" r="29845" b="6350"/>
                <wp:wrapNone/>
                <wp:docPr id="24" name="直线 113"/>
                <wp:cNvGraphicFramePr/>
                <a:graphic xmlns:a="http://schemas.openxmlformats.org/drawingml/2006/main">
                  <a:graphicData uri="http://schemas.microsoft.com/office/word/2010/wordprocessingShape">
                    <wps:wsp>
                      <wps:cNvCnPr/>
                      <wps:spPr>
                        <a:xfrm flipV="1">
                          <a:off x="0" y="0"/>
                          <a:ext cx="308610" cy="831850"/>
                        </a:xfrm>
                        <a:prstGeom prst="line">
                          <a:avLst/>
                        </a:prstGeom>
                        <a:ln w="9525" cap="flat" cmpd="sng">
                          <a:solidFill>
                            <a:srgbClr val="FF0000"/>
                          </a:solidFill>
                          <a:prstDash val="solid"/>
                          <a:headEnd type="none" w="med" len="med"/>
                          <a:tailEnd type="arrow" w="med" len="med"/>
                        </a:ln>
                      </wps:spPr>
                      <wps:bodyPr upright="1"/>
                    </wps:wsp>
                  </a:graphicData>
                </a:graphic>
              </wp:anchor>
            </w:drawing>
          </mc:Choice>
          <mc:Fallback>
            <w:pict>
              <v:line id="直线 113" o:spid="_x0000_s1026" o:spt="20" style="position:absolute;left:0pt;flip:y;margin-left:416.95pt;margin-top:120.7pt;height:65.5pt;width:24.3pt;z-index:251673600;mso-width-relative:page;mso-height-relative:page;" filled="f" stroked="t" coordsize="21600,21600" o:gfxdata="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Tgkg9oAAAALAQAADwAAAAAAAAABACAAAAAiAAAAZHJzL2Rv&#10;d25yZXYueG1sUEsBAhQAFAAAAAgAh07iQG8Y7QD/AQAA7QMAAA4AAAAAAAAAAQAgAAAAKQEAAGRy&#10;cy9lMm9Eb2MueG1sUEsFBgAAAAAGAAYAWQEAAJoFAAAAAA==&#10;">
                <v:fill on="f" focussize="0,0"/>
                <v:stroke color="#FF0000" joinstyle="round" endarrow="open"/>
                <v:imagedata o:title=""/>
                <o:lock v:ext="edit" aspectratio="f"/>
              </v:line>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2535555</wp:posOffset>
                </wp:positionH>
                <wp:positionV relativeFrom="paragraph">
                  <wp:posOffset>1026160</wp:posOffset>
                </wp:positionV>
                <wp:extent cx="2387600" cy="1462405"/>
                <wp:effectExtent l="0" t="0" r="12700" b="4445"/>
                <wp:wrapNone/>
                <wp:docPr id="22" name="直线 111"/>
                <wp:cNvGraphicFramePr/>
                <a:graphic xmlns:a="http://schemas.openxmlformats.org/drawingml/2006/main">
                  <a:graphicData uri="http://schemas.microsoft.com/office/word/2010/wordprocessingShape">
                    <wps:wsp>
                      <wps:cNvCnPr>
                        <a:endCxn id="57" idx="8"/>
                      </wps:cNvCnPr>
                      <wps:spPr>
                        <a:xfrm flipH="1" flipV="1">
                          <a:off x="0" y="0"/>
                          <a:ext cx="2387600" cy="1462405"/>
                        </a:xfrm>
                        <a:prstGeom prst="line">
                          <a:avLst/>
                        </a:prstGeom>
                        <a:ln w="9525" cap="flat" cmpd="sng">
                          <a:solidFill>
                            <a:srgbClr val="FF0000"/>
                          </a:solidFill>
                          <a:prstDash val="solid"/>
                          <a:headEnd type="none" w="med" len="med"/>
                          <a:tailEnd type="arrow" w="med" len="med"/>
                        </a:ln>
                      </wps:spPr>
                      <wps:bodyPr upright="1"/>
                    </wps:wsp>
                  </a:graphicData>
                </a:graphic>
              </wp:anchor>
            </w:drawing>
          </mc:Choice>
          <mc:Fallback>
            <w:pict>
              <v:line id="直线 111" o:spid="_x0000_s1026" o:spt="20" style="position:absolute;left:0pt;flip:x y;margin-left:199.65pt;margin-top:80.8pt;height:115.15pt;width:188pt;z-index:251671552;mso-width-relative:page;mso-height-relative:page;" filled="f" stroked="t" coordsize="21600,21600" o:gfxdata="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45Oj/cAAAACwEA&#10;AA8AAAAAAAAAAQAgAAAAIgAAAGRycy9kb3ducmV2LnhtbFBLAQIUABQAAAAIAIdO4kDXRYHiFgIA&#10;ACEEAAAOAAAAAAAAAAEAIAAAACsBAABkcnMvZTJvRG9jLnhtbFBLBQYAAAAABgAGAFkBAACzBQAA&#10;AAA=&#10;">
                <v:fill on="f" focussize="0,0"/>
                <v:stroke color="#FF0000" joinstyle="round" endarrow="open"/>
                <v:imagedata o:title=""/>
                <o:lock v:ext="edit" aspectratio="f"/>
              </v:lin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3293110</wp:posOffset>
                </wp:positionH>
                <wp:positionV relativeFrom="paragraph">
                  <wp:posOffset>2690495</wp:posOffset>
                </wp:positionV>
                <wp:extent cx="1514475" cy="424180"/>
                <wp:effectExtent l="0" t="4445" r="9525" b="28575"/>
                <wp:wrapNone/>
                <wp:docPr id="18" name="直线 108"/>
                <wp:cNvGraphicFramePr/>
                <a:graphic xmlns:a="http://schemas.openxmlformats.org/drawingml/2006/main">
                  <a:graphicData uri="http://schemas.microsoft.com/office/word/2010/wordprocessingShape">
                    <wps:wsp>
                      <wps:cNvCnPr>
                        <a:endCxn id="58" idx="6"/>
                      </wps:cNvCnPr>
                      <wps:spPr>
                        <a:xfrm flipH="1">
                          <a:off x="0" y="0"/>
                          <a:ext cx="1514475" cy="424180"/>
                        </a:xfrm>
                        <a:prstGeom prst="line">
                          <a:avLst/>
                        </a:prstGeom>
                        <a:ln w="9525" cap="flat" cmpd="sng">
                          <a:solidFill>
                            <a:srgbClr val="FF0000"/>
                          </a:solidFill>
                          <a:prstDash val="solid"/>
                          <a:headEnd type="none" w="med" len="med"/>
                          <a:tailEnd type="arrow" w="med" len="med"/>
                        </a:ln>
                      </wps:spPr>
                      <wps:bodyPr upright="1"/>
                    </wps:wsp>
                  </a:graphicData>
                </a:graphic>
              </wp:anchor>
            </w:drawing>
          </mc:Choice>
          <mc:Fallback>
            <w:pict>
              <v:line id="直线 108" o:spid="_x0000_s1026" o:spt="20" style="position:absolute;left:0pt;flip:x;margin-left:259.3pt;margin-top:211.85pt;height:33.4pt;width:119.25pt;z-index:251669504;mso-width-relative:page;mso-height-relative:page;" filled="f" stroked="t" coordsize="21600,21600" o:gfxdata="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3xr6zZAAAACwEAAA8AAAAAAAAA&#10;AQAgAAAAIgAAAGRycy9kb3ducmV2LnhtbFBLAQIUABQAAAAIAIdO4kCgaddTEAIAABYEAAAOAAAA&#10;AAAAAAEAIAAAACgBAABkcnMvZTJvRG9jLnhtbFBLBQYAAAAABgAGAFkBAACqBQAAAAA=&#10;">
                <v:fill on="f" focussize="0,0"/>
                <v:stroke color="#FF0000" joinstyle="round" endarrow="open"/>
                <v:imagedata o:title=""/>
                <o:lock v:ext="edit" aspectratio="f"/>
              </v:line>
            </w:pict>
          </mc:Fallback>
        </mc:AlternateContent>
      </w:r>
      <w:r>
        <w:drawing>
          <wp:inline distT="0" distB="0" distL="114300" distR="114300">
            <wp:extent cx="9245600" cy="5066665"/>
            <wp:effectExtent l="0" t="0" r="12700" b="635"/>
            <wp:docPr id="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pic:cNvPicPr>
                      <a:picLocks noChangeAspect="1"/>
                    </pic:cNvPicPr>
                  </pic:nvPicPr>
                  <pic:blipFill>
                    <a:blip r:embed="rId37"/>
                    <a:stretch>
                      <a:fillRect/>
                    </a:stretch>
                  </pic:blipFill>
                  <pic:spPr>
                    <a:xfrm>
                      <a:off x="0" y="0"/>
                      <a:ext cx="9245600" cy="5066665"/>
                    </a:xfrm>
                    <a:prstGeom prst="rect">
                      <a:avLst/>
                    </a:prstGeom>
                    <a:noFill/>
                    <a:ln>
                      <a:noFill/>
                    </a:ln>
                  </pic:spPr>
                </pic:pic>
              </a:graphicData>
            </a:graphic>
          </wp:inline>
        </w:drawing>
      </w:r>
    </w:p>
    <w:p w14:paraId="689D2B2C">
      <w:pPr>
        <w:jc w:val="both"/>
        <w:rPr>
          <w:rFonts w:hint="default" w:ascii="Times New Roman" w:hAnsi="Times New Roman" w:cs="Times New Roman"/>
          <w:b/>
          <w:color w:val="auto"/>
          <w:sz w:val="24"/>
        </w:rPr>
        <w:sectPr>
          <w:headerReference r:id="rId14" w:type="default"/>
          <w:footerReference r:id="rId15" w:type="default"/>
          <w:pgSz w:w="16838" w:h="11906" w:orient="landscape"/>
          <w:pgMar w:top="1134" w:right="1134" w:bottom="1134" w:left="1134" w:header="851" w:footer="992" w:gutter="0"/>
          <w:pgBorders>
            <w:top w:val="none" w:sz="0" w:space="0"/>
            <w:left w:val="none" w:sz="0" w:space="0"/>
            <w:bottom w:val="none" w:sz="0" w:space="0"/>
            <w:right w:val="none" w:sz="0" w:space="0"/>
          </w:pgBorders>
          <w:pgNumType w:fmt="numberInDash"/>
          <w:cols w:space="720" w:num="1"/>
          <w:docGrid w:linePitch="312" w:charSpace="0"/>
        </w:sectPr>
      </w:pPr>
    </w:p>
    <w:p w14:paraId="190653C3">
      <w:pPr>
        <w:jc w:val="both"/>
        <w:rPr>
          <w:rFonts w:hint="eastAsia" w:ascii="Times New Roman" w:hAnsi="Times New Roman" w:eastAsia="宋体" w:cs="Times New Roman"/>
          <w:b/>
          <w:color w:val="auto"/>
          <w:sz w:val="24"/>
          <w:lang w:eastAsia="zh-CN"/>
        </w:rPr>
      </w:pPr>
      <w:r>
        <w:rPr>
          <w:rFonts w:hint="default" w:ascii="Times New Roman" w:hAnsi="Times New Roman" w:cs="Times New Roman"/>
          <w:color w:val="auto"/>
        </w:rPr>
        <w:drawing>
          <wp:anchor distT="0" distB="0" distL="114300" distR="114300" simplePos="0" relativeHeight="251677696" behindDoc="0" locked="0" layoutInCell="1" allowOverlap="1">
            <wp:simplePos x="0" y="0"/>
            <wp:positionH relativeFrom="column">
              <wp:posOffset>7531100</wp:posOffset>
            </wp:positionH>
            <wp:positionV relativeFrom="paragraph">
              <wp:posOffset>-49530</wp:posOffset>
            </wp:positionV>
            <wp:extent cx="1474470" cy="1376680"/>
            <wp:effectExtent l="0" t="0" r="11430" b="13970"/>
            <wp:wrapNone/>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35"/>
                    <a:stretch>
                      <a:fillRect/>
                    </a:stretch>
                  </pic:blipFill>
                  <pic:spPr>
                    <a:xfrm>
                      <a:off x="0" y="0"/>
                      <a:ext cx="1474470" cy="1376680"/>
                    </a:xfrm>
                    <a:prstGeom prst="rect">
                      <a:avLst/>
                    </a:prstGeom>
                    <a:noFill/>
                    <a:ln>
                      <a:noFill/>
                    </a:ln>
                  </pic:spPr>
                </pic:pic>
              </a:graphicData>
            </a:graphic>
          </wp:anchor>
        </w:drawing>
      </w:r>
      <w:r>
        <w:rPr>
          <w:rFonts w:hint="default" w:ascii="Times New Roman" w:hAnsi="Times New Roman" w:eastAsia="宋体" w:cs="Times New Roman"/>
          <w:b/>
          <w:color w:val="auto"/>
          <w:sz w:val="24"/>
        </w:rPr>
        <w:t>附图</w:t>
      </w:r>
      <w:r>
        <w:rPr>
          <w:rFonts w:hint="eastAsia" w:ascii="Times New Roman" w:hAnsi="Times New Roman" w:eastAsia="宋体" w:cs="Times New Roman"/>
          <w:b/>
          <w:color w:val="auto"/>
          <w:sz w:val="24"/>
          <w:lang w:val="en-US" w:eastAsia="zh-CN"/>
        </w:rPr>
        <w:t>3、</w:t>
      </w:r>
      <w:r>
        <w:rPr>
          <w:rFonts w:hint="eastAsia" w:cs="Times New Roman"/>
          <w:b/>
          <w:color w:val="auto"/>
          <w:sz w:val="24"/>
          <w:lang w:eastAsia="zh-CN"/>
        </w:rPr>
        <w:t>项目平布面置图</w:t>
      </w: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1:400</w:t>
      </w:r>
      <w:r>
        <w:rPr>
          <w:rFonts w:hint="eastAsia" w:ascii="Times New Roman" w:hAnsi="Times New Roman" w:eastAsia="宋体" w:cs="Times New Roman"/>
          <w:b/>
          <w:color w:val="auto"/>
          <w:sz w:val="24"/>
          <w:lang w:eastAsia="zh-CN"/>
        </w:rPr>
        <w:t>）</w:t>
      </w:r>
    </w:p>
    <w:p w14:paraId="608FEC7F">
      <w:pPr>
        <w:jc w:val="center"/>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lang w:eastAsia="zh-CN"/>
        </w:rPr>
        <w:object>
          <v:shape id="_x0000_i1029" o:spt="75" type="#_x0000_t75" style="height:435.75pt;width:409.5pt;" o:ole="t" filled="f" o:preferrelative="t" stroked="f" coordsize="21600,21600">
            <v:path/>
            <v:fill on="f" focussize="0,0"/>
            <v:stroke on="f"/>
            <v:imagedata r:id="rId39" o:title=""/>
            <o:lock v:ext="edit" aspectratio="f"/>
            <w10:wrap type="none"/>
            <w10:anchorlock/>
          </v:shape>
          <o:OLEObject Type="Embed" ProgID="Visio.Drawing.15" ShapeID="_x0000_i1029" DrawAspect="Content" ObjectID="_1468075729" r:id="rId38">
            <o:LockedField>false</o:LockedField>
          </o:OLEObject>
        </w:object>
      </w:r>
    </w:p>
    <w:p w14:paraId="71DDC5F9">
      <w:pPr>
        <w:ind w:firstLine="5301" w:firstLineChars="2200"/>
        <w:rPr>
          <w:rFonts w:hint="default" w:ascii="Times New Roman" w:hAnsi="Times New Roman" w:cs="Times New Roman"/>
          <w:b/>
          <w:color w:val="auto"/>
          <w:sz w:val="24"/>
          <w:lang w:val="en-US"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pgNumType w:fmt="numberInDash"/>
          <w:cols w:space="720" w:num="1"/>
          <w:docGrid w:linePitch="312" w:charSpace="0"/>
        </w:sectPr>
      </w:pPr>
    </w:p>
    <w:p w14:paraId="620335BF">
      <w:pPr>
        <w:jc w:val="both"/>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附图</w:t>
      </w:r>
      <w:r>
        <w:rPr>
          <w:rFonts w:hint="eastAsia" w:cs="Times New Roman"/>
          <w:b/>
          <w:color w:val="auto"/>
          <w:sz w:val="24"/>
          <w:lang w:val="en-US" w:eastAsia="zh-CN"/>
        </w:rPr>
        <w:t>4</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lang w:val="en-US" w:eastAsia="zh-CN"/>
        </w:rPr>
        <w:t>淄博市淄川区罗村镇国土空间规划（2021-2035）</w:t>
      </w:r>
    </w:p>
    <w:p w14:paraId="37AB0A4F">
      <w:pPr>
        <w:pStyle w:val="14"/>
        <w:rPr>
          <w:rFonts w:hint="default" w:ascii="Times New Roman" w:hAnsi="Times New Roman" w:eastAsia="宋体" w:cs="Times New Roman"/>
          <w:b/>
          <w:bCs/>
          <w:color w:val="auto"/>
          <w:szCs w:val="21"/>
          <w:lang w:val="en-US" w:eastAsia="zh-CN"/>
        </w:rPr>
      </w:pPr>
      <w:r>
        <w:rPr>
          <w:rFonts w:hint="default" w:ascii="Times New Roman" w:hAnsi="Times New Roman" w:cs="Times New Roman"/>
          <w:b/>
          <w:color w:val="auto"/>
          <w:sz w:val="24"/>
        </w:rPr>
        <mc:AlternateContent>
          <mc:Choice Requires="wps">
            <w:drawing>
              <wp:anchor distT="0" distB="0" distL="114300" distR="114300" simplePos="0" relativeHeight="251662336" behindDoc="0" locked="0" layoutInCell="1" allowOverlap="1">
                <wp:simplePos x="0" y="0"/>
                <wp:positionH relativeFrom="column">
                  <wp:posOffset>1802130</wp:posOffset>
                </wp:positionH>
                <wp:positionV relativeFrom="paragraph">
                  <wp:posOffset>2910840</wp:posOffset>
                </wp:positionV>
                <wp:extent cx="1108710" cy="327660"/>
                <wp:effectExtent l="4445" t="5080" r="86995" b="505460"/>
                <wp:wrapNone/>
                <wp:docPr id="3" name="矩形标注 3"/>
                <wp:cNvGraphicFramePr/>
                <a:graphic xmlns:a="http://schemas.openxmlformats.org/drawingml/2006/main">
                  <a:graphicData uri="http://schemas.microsoft.com/office/word/2010/wordprocessingShape">
                    <wps:wsp>
                      <wps:cNvSpPr/>
                      <wps:spPr>
                        <a:xfrm>
                          <a:off x="0" y="0"/>
                          <a:ext cx="1108710" cy="327660"/>
                        </a:xfrm>
                        <a:prstGeom prst="wedgeRectCallout">
                          <a:avLst>
                            <a:gd name="adj1" fmla="val 56128"/>
                            <a:gd name="adj2" fmla="val 194379"/>
                          </a:avLst>
                        </a:prstGeom>
                        <a:solidFill>
                          <a:srgbClr val="FFFFFF"/>
                        </a:solidFill>
                        <a:ln w="9525" cap="flat" cmpd="sng">
                          <a:solidFill>
                            <a:srgbClr val="000000"/>
                          </a:solidFill>
                          <a:prstDash val="solid"/>
                          <a:miter/>
                          <a:headEnd type="none" w="med" len="med"/>
                          <a:tailEnd type="none" w="med" len="med"/>
                        </a:ln>
                      </wps:spPr>
                      <wps:txbx>
                        <w:txbxContent>
                          <w:p w14:paraId="16E759F5">
                            <w:pPr>
                              <w:jc w:val="center"/>
                            </w:pPr>
                            <w:r>
                              <w:rPr>
                                <w:rFonts w:hint="eastAsia"/>
                              </w:rPr>
                              <w:t>项目所在位置</w:t>
                            </w:r>
                          </w:p>
                        </w:txbxContent>
                      </wps:txbx>
                      <wps:bodyPr wrap="square" upright="1"/>
                    </wps:wsp>
                  </a:graphicData>
                </a:graphic>
              </wp:anchor>
            </w:drawing>
          </mc:Choice>
          <mc:Fallback>
            <w:pict>
              <v:shape id="_x0000_s1026" o:spid="_x0000_s1026" o:spt="61" type="#_x0000_t61" style="position:absolute;left:0pt;margin-left:141.9pt;margin-top:229.2pt;height:25.8pt;width:87.3pt;z-index:251662336;mso-width-relative:page;mso-height-relative:page;" fillcolor="#FFFFFF" filled="t" stroked="t" coordsize="21600,21600" o:gfxdata="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FRHENkAAAALAQAADwAAAAAAAAABACAAAAAi&#10;AAAAZHJzL2Rvd25yZXYueG1sUEsBAhQAFAAAAAgAh07iQIieYINCAgAAmwQAAA4AAAAAAAAAAQAg&#10;AAAAKAEAAGRycy9lMm9Eb2MueG1sUEsFBgAAAAAGAAYAWQEAANwFAAAAAA==&#10;" adj="22924,52786">
                <v:fill on="t" focussize="0,0"/>
                <v:stroke color="#000000" joinstyle="miter"/>
                <v:imagedata o:title=""/>
                <o:lock v:ext="edit" aspectratio="f"/>
                <v:textbox>
                  <w:txbxContent>
                    <w:p w14:paraId="16E759F5">
                      <w:pPr>
                        <w:jc w:val="center"/>
                      </w:pPr>
                      <w:r>
                        <w:rPr>
                          <w:rFonts w:hint="eastAsia"/>
                        </w:rPr>
                        <w:t>项目所在位置</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2949575</wp:posOffset>
                </wp:positionH>
                <wp:positionV relativeFrom="paragraph">
                  <wp:posOffset>3707130</wp:posOffset>
                </wp:positionV>
                <wp:extent cx="76200" cy="76200"/>
                <wp:effectExtent l="4445" t="4445" r="14605" b="14605"/>
                <wp:wrapNone/>
                <wp:docPr id="4" name="矩形 84"/>
                <wp:cNvGraphicFramePr/>
                <a:graphic xmlns:a="http://schemas.openxmlformats.org/drawingml/2006/main">
                  <a:graphicData uri="http://schemas.microsoft.com/office/word/2010/wordprocessingShape">
                    <wps:wsp>
                      <wps:cNvSpPr/>
                      <wps:spPr>
                        <a:xfrm>
                          <a:off x="0" y="0"/>
                          <a:ext cx="76200" cy="76200"/>
                        </a:xfrm>
                        <a:prstGeom prst="rect">
                          <a:avLst/>
                        </a:prstGeom>
                        <a:noFill/>
                        <a:ln w="9525"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84" o:spid="_x0000_s1026" o:spt="1" style="position:absolute;left:0pt;margin-left:232.25pt;margin-top:291.9pt;height:6pt;width:6pt;z-index:251663360;mso-width-relative:page;mso-height-relative:page;" filled="f" stroked="t" coordsize="21600,21600" o:gfxdata="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xLZ9naAAAACwEAAA8AAAAA&#10;AAAAAQAgAAAAIgAAAGRycy9kb3ducmV2LnhtbFBLAQIUABQAAAAIAIdO4kBu4/G/EgIAACYEAAAO&#10;AAAAAAAAAAEAIAAAACkBAABkcnMvZTJvRG9jLnhtbFBLBQYAAAAABgAGAFkBAACtBQAAAAA=&#10;">
                <v:fill on="f" focussize="0,0"/>
                <v:stroke color="#FF0000" joinstyle="miter"/>
                <v:imagedata o:title=""/>
                <o:lock v:ext="edit" aspectratio="f"/>
              </v:rect>
            </w:pict>
          </mc:Fallback>
        </mc:AlternateContent>
      </w:r>
    </w:p>
    <w:p w14:paraId="01A8A39B">
      <w:pPr>
        <w:rPr>
          <w:rFonts w:hint="default" w:ascii="Times New Roman" w:hAnsi="Times New Roman" w:eastAsia="宋体" w:cs="Times New Roman"/>
          <w:color w:val="auto"/>
          <w:lang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pgNumType w:fmt="numberInDash"/>
          <w:cols w:space="720" w:num="1"/>
          <w:docGrid w:linePitch="312" w:charSpace="0"/>
        </w:sectPr>
      </w:pPr>
      <w:r>
        <w:rPr>
          <w:rFonts w:ascii="仿宋_GB2312" w:hAnsi="Times New Roman" w:cs="Times New Roman"/>
          <w:szCs w:val="24"/>
        </w:rPr>
        <w:drawing>
          <wp:anchor distT="0" distB="0" distL="114300" distR="114300" simplePos="0" relativeHeight="251659264" behindDoc="0" locked="0" layoutInCell="1" allowOverlap="1">
            <wp:simplePos x="0" y="0"/>
            <wp:positionH relativeFrom="margin">
              <wp:posOffset>858520</wp:posOffset>
            </wp:positionH>
            <wp:positionV relativeFrom="paragraph">
              <wp:posOffset>-146050</wp:posOffset>
            </wp:positionV>
            <wp:extent cx="7723505" cy="5466715"/>
            <wp:effectExtent l="0" t="0" r="10795" b="6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23505" cy="5466715"/>
                    </a:xfrm>
                    <a:prstGeom prst="rect">
                      <a:avLst/>
                    </a:prstGeom>
                  </pic:spPr>
                </pic:pic>
              </a:graphicData>
            </a:graphic>
          </wp:anchor>
        </w:drawing>
      </w:r>
    </w:p>
    <w:p w14:paraId="5846B1BF">
      <w:pPr>
        <w:jc w:val="both"/>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附图</w:t>
      </w:r>
      <w:r>
        <w:rPr>
          <w:rFonts w:hint="eastAsia" w:cs="Times New Roman"/>
          <w:b/>
          <w:color w:val="auto"/>
          <w:sz w:val="24"/>
          <w:lang w:val="en-US" w:eastAsia="zh-CN"/>
        </w:rPr>
        <w:t>5</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lang w:val="en-US" w:eastAsia="zh-CN"/>
        </w:rPr>
        <w:t>淄川区</w:t>
      </w:r>
      <w:r>
        <w:rPr>
          <w:rFonts w:hint="eastAsia" w:ascii="Times New Roman" w:hAnsi="Times New Roman" w:cs="Times New Roman"/>
          <w:b/>
          <w:color w:val="auto"/>
          <w:sz w:val="24"/>
          <w:lang w:val="en-US" w:eastAsia="zh-CN"/>
        </w:rPr>
        <w:t>三区三线</w:t>
      </w:r>
    </w:p>
    <w:p w14:paraId="4E1240E9">
      <w:pPr>
        <w:jc w:val="both"/>
        <w:rPr>
          <w:rFonts w:hint="default" w:ascii="Times New Roman" w:hAnsi="Times New Roman" w:eastAsia="宋体" w:cs="Times New Roman"/>
          <w:b/>
          <w:color w:val="auto"/>
          <w:sz w:val="24"/>
          <w:lang w:val="en-US" w:eastAsia="zh-CN"/>
        </w:rPr>
        <w:sectPr>
          <w:footerReference r:id="rId16" w:type="default"/>
          <w:pgSz w:w="16838" w:h="11906" w:orient="landscape"/>
          <w:pgMar w:top="1134" w:right="1134" w:bottom="1134" w:left="1134"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default" w:ascii="Times New Roman" w:hAnsi="Times New Roman" w:cs="Times New Roman"/>
          <w:color w:val="auto"/>
        </w:rPr>
        <w:drawing>
          <wp:anchor distT="0" distB="0" distL="114300" distR="114300" simplePos="0" relativeHeight="251691008" behindDoc="0" locked="0" layoutInCell="1" allowOverlap="1">
            <wp:simplePos x="0" y="0"/>
            <wp:positionH relativeFrom="column">
              <wp:posOffset>7753985</wp:posOffset>
            </wp:positionH>
            <wp:positionV relativeFrom="paragraph">
              <wp:posOffset>93980</wp:posOffset>
            </wp:positionV>
            <wp:extent cx="1474470" cy="1376680"/>
            <wp:effectExtent l="0" t="0" r="11430" b="1397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5"/>
                    <a:stretch>
                      <a:fillRect/>
                    </a:stretch>
                  </pic:blipFill>
                  <pic:spPr>
                    <a:xfrm>
                      <a:off x="0" y="0"/>
                      <a:ext cx="1474470" cy="1376680"/>
                    </a:xfrm>
                    <a:prstGeom prst="rect">
                      <a:avLst/>
                    </a:prstGeom>
                    <a:noFill/>
                    <a:ln>
                      <a:noFill/>
                    </a:ln>
                  </pic:spPr>
                </pic:pic>
              </a:graphicData>
            </a:graphic>
          </wp:anchor>
        </w:drawing>
      </w:r>
      <w:r>
        <w:rPr>
          <w:rFonts w:hint="default" w:ascii="Times New Roman" w:hAnsi="Times New Roman" w:cs="Times New Roman"/>
          <w:b/>
          <w:color w:val="auto"/>
          <w:sz w:val="24"/>
        </w:rPr>
        <mc:AlternateContent>
          <mc:Choice Requires="wps">
            <w:drawing>
              <wp:anchor distT="0" distB="0" distL="114300" distR="114300" simplePos="0" relativeHeight="251688960" behindDoc="0" locked="0" layoutInCell="1" allowOverlap="1">
                <wp:simplePos x="0" y="0"/>
                <wp:positionH relativeFrom="column">
                  <wp:posOffset>7826375</wp:posOffset>
                </wp:positionH>
                <wp:positionV relativeFrom="paragraph">
                  <wp:posOffset>2839085</wp:posOffset>
                </wp:positionV>
                <wp:extent cx="1108710" cy="315595"/>
                <wp:effectExtent l="335915" t="5080" r="22225" b="174625"/>
                <wp:wrapNone/>
                <wp:docPr id="7" name="矩形标注 7"/>
                <wp:cNvGraphicFramePr/>
                <a:graphic xmlns:a="http://schemas.openxmlformats.org/drawingml/2006/main">
                  <a:graphicData uri="http://schemas.microsoft.com/office/word/2010/wordprocessingShape">
                    <wps:wsp>
                      <wps:cNvSpPr/>
                      <wps:spPr>
                        <a:xfrm>
                          <a:off x="0" y="0"/>
                          <a:ext cx="1108710" cy="315595"/>
                        </a:xfrm>
                        <a:prstGeom prst="wedgeRectCallout">
                          <a:avLst>
                            <a:gd name="adj1" fmla="val -76912"/>
                            <a:gd name="adj2" fmla="val 97481"/>
                          </a:avLst>
                        </a:prstGeom>
                        <a:solidFill>
                          <a:srgbClr val="FFFFFF"/>
                        </a:solidFill>
                        <a:ln w="9525" cap="flat" cmpd="sng">
                          <a:solidFill>
                            <a:srgbClr val="000000"/>
                          </a:solidFill>
                          <a:prstDash val="solid"/>
                          <a:miter/>
                          <a:headEnd type="none" w="med" len="med"/>
                          <a:tailEnd type="none" w="med" len="med"/>
                        </a:ln>
                      </wps:spPr>
                      <wps:txbx>
                        <w:txbxContent>
                          <w:p w14:paraId="1ECCF79F">
                            <w:pPr>
                              <w:jc w:val="center"/>
                            </w:pPr>
                            <w:r>
                              <w:rPr>
                                <w:rFonts w:hint="eastAsia"/>
                              </w:rPr>
                              <w:t>项目所在位置</w:t>
                            </w:r>
                          </w:p>
                        </w:txbxContent>
                      </wps:txbx>
                      <wps:bodyPr wrap="square" upright="1"/>
                    </wps:wsp>
                  </a:graphicData>
                </a:graphic>
              </wp:anchor>
            </w:drawing>
          </mc:Choice>
          <mc:Fallback>
            <w:pict>
              <v:shape id="_x0000_s1026" o:spid="_x0000_s1026" o:spt="61" type="#_x0000_t61" style="position:absolute;left:0pt;margin-left:616.25pt;margin-top:223.55pt;height:24.85pt;width:87.3pt;z-index:251688960;mso-width-relative:page;mso-height-relative:page;" fillcolor="#FFFFFF" filled="t" stroked="t" coordsize="21600,21600" o:gfxdata="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TLJQPYAAAADQEAAA8AAAAAAAAAAQAgAAAAIgAA&#10;AGRycy9kb3ducmV2LnhtbFBLAQIUABQAAAAIAIdO4kAcVsHuQQIAAJsEAAAOAAAAAAAAAAEAIAAA&#10;ACcBAABkcnMvZTJvRG9jLnhtbFBLBQYAAAAABgAGAFkBAADaBQAAAAA=&#10;" adj="-5813,31856">
                <v:fill on="t" focussize="0,0"/>
                <v:stroke color="#000000" joinstyle="miter"/>
                <v:imagedata o:title=""/>
                <o:lock v:ext="edit" aspectratio="f"/>
                <v:textbox>
                  <w:txbxContent>
                    <w:p w14:paraId="1ECCF79F">
                      <w:pPr>
                        <w:jc w:val="center"/>
                      </w:pPr>
                      <w:r>
                        <w:rPr>
                          <w:rFonts w:hint="eastAsia"/>
                        </w:rPr>
                        <w:t>项目所在位置</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89984" behindDoc="0" locked="0" layoutInCell="1" allowOverlap="1">
                <wp:simplePos x="0" y="0"/>
                <wp:positionH relativeFrom="column">
                  <wp:posOffset>7464425</wp:posOffset>
                </wp:positionH>
                <wp:positionV relativeFrom="paragraph">
                  <wp:posOffset>3273425</wp:posOffset>
                </wp:positionV>
                <wp:extent cx="76200" cy="76200"/>
                <wp:effectExtent l="4445" t="4445" r="14605" b="14605"/>
                <wp:wrapNone/>
                <wp:docPr id="11" name="矩形 84"/>
                <wp:cNvGraphicFramePr/>
                <a:graphic xmlns:a="http://schemas.openxmlformats.org/drawingml/2006/main">
                  <a:graphicData uri="http://schemas.microsoft.com/office/word/2010/wordprocessingShape">
                    <wps:wsp>
                      <wps:cNvSpPr/>
                      <wps:spPr>
                        <a:xfrm>
                          <a:off x="0" y="0"/>
                          <a:ext cx="76200" cy="76200"/>
                        </a:xfrm>
                        <a:prstGeom prst="rect">
                          <a:avLst/>
                        </a:prstGeom>
                        <a:noFill/>
                        <a:ln w="9525"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84" o:spid="_x0000_s1026" o:spt="1" style="position:absolute;left:0pt;margin-left:587.75pt;margin-top:257.75pt;height:6pt;width:6pt;z-index:251689984;mso-width-relative:page;mso-height-relative:page;" filled="f" stroked="t" coordsize="21600,21600" o:gfxdata="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V1GI+2QAAAA0BAAAPAAAAAAAA&#10;AAEAIAAAACIAAABkcnMvZG93bnJldi54bWxQSwECFAAUAAAACACHTuJABWfRsRECAAAnBAAADgAA&#10;AAAAAAABACAAAAAoAQAAZHJzL2Uyb0RvYy54bWxQSwUGAAAAAAYABgBZAQAAqwUAAAAA&#10;">
                <v:fill on="f" focussize="0,0"/>
                <v:stroke color="#FF0000" joinstyle="miter"/>
                <v:imagedata o:title=""/>
                <o:lock v:ext="edit" aspectratio="f"/>
              </v:rect>
            </w:pict>
          </mc:Fallback>
        </mc:AlternateContent>
      </w:r>
      <w:r>
        <w:rPr>
          <w:rFonts w:hint="default" w:ascii="Times New Roman" w:hAnsi="Times New Roman" w:eastAsia="宋体" w:cs="Times New Roman"/>
          <w:color w:val="auto"/>
          <w:lang w:eastAsia="zh-CN"/>
        </w:rPr>
        <w:drawing>
          <wp:inline distT="0" distB="0" distL="114300" distR="114300">
            <wp:extent cx="9246870" cy="5655945"/>
            <wp:effectExtent l="9525" t="9525" r="20955" b="11430"/>
            <wp:docPr id="50" name="图片 213" descr="172299937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3" descr="1722999370574"/>
                    <pic:cNvPicPr>
                      <a:picLocks noChangeAspect="1"/>
                    </pic:cNvPicPr>
                  </pic:nvPicPr>
                  <pic:blipFill>
                    <a:blip r:embed="rId41"/>
                    <a:stretch>
                      <a:fillRect/>
                    </a:stretch>
                  </pic:blipFill>
                  <pic:spPr>
                    <a:xfrm>
                      <a:off x="0" y="0"/>
                      <a:ext cx="9246870" cy="565594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6D6C04C6">
      <w:pPr>
        <w:jc w:val="both"/>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附图</w:t>
      </w:r>
      <w:r>
        <w:rPr>
          <w:rFonts w:hint="eastAsia" w:cs="Times New Roman"/>
          <w:b/>
          <w:color w:val="auto"/>
          <w:sz w:val="24"/>
          <w:lang w:val="en-US" w:eastAsia="zh-CN"/>
        </w:rPr>
        <w:t>6</w:t>
      </w:r>
      <w:r>
        <w:rPr>
          <w:rFonts w:hint="default" w:ascii="Times New Roman" w:hAnsi="Times New Roman" w:cs="Times New Roman"/>
          <w:b/>
          <w:color w:val="auto"/>
          <w:sz w:val="24"/>
          <w:lang w:eastAsia="zh-CN"/>
        </w:rPr>
        <w:t>、</w:t>
      </w:r>
      <w:r>
        <w:rPr>
          <w:rFonts w:hint="default" w:ascii="Times New Roman" w:hAnsi="Times New Roman" w:eastAsia="宋体" w:cs="Times New Roman"/>
          <w:b/>
          <w:color w:val="auto"/>
          <w:sz w:val="24"/>
          <w:lang w:val="en-US" w:eastAsia="zh-CN"/>
        </w:rPr>
        <w:t>淄博市环境管控单元分布图</w:t>
      </w:r>
    </w:p>
    <w:p w14:paraId="2FA05DC2">
      <w:pPr>
        <w:tabs>
          <w:tab w:val="left" w:pos="2853"/>
        </w:tabs>
        <w:rPr>
          <w:rFonts w:hint="default" w:ascii="Times New Roman" w:hAnsi="Times New Roman" w:eastAsia="宋体" w:cs="Times New Roman"/>
          <w:b/>
          <w:bCs/>
          <w:color w:val="auto"/>
          <w:szCs w:val="21"/>
          <w:lang w:val="en-US" w:eastAsia="zh-CN"/>
        </w:rPr>
      </w:pPr>
      <w:r>
        <w:rPr>
          <w:rFonts w:hint="default" w:ascii="Times New Roman" w:hAnsi="Times New Roman" w:cs="Times New Roman"/>
          <w:color w:val="auto"/>
        </w:rPr>
        <mc:AlternateContent>
          <mc:Choice Requires="wps">
            <w:drawing>
              <wp:anchor distT="0" distB="0" distL="114300" distR="114300" simplePos="0" relativeHeight="251660288" behindDoc="0" locked="0" layoutInCell="1" allowOverlap="1">
                <wp:simplePos x="0" y="0"/>
                <wp:positionH relativeFrom="margin">
                  <wp:posOffset>3115945</wp:posOffset>
                </wp:positionH>
                <wp:positionV relativeFrom="paragraph">
                  <wp:posOffset>3178175</wp:posOffset>
                </wp:positionV>
                <wp:extent cx="944880" cy="266700"/>
                <wp:effectExtent l="4445" t="5080" r="22225" b="356870"/>
                <wp:wrapNone/>
                <wp:docPr id="1" name="对话气泡: 矩形 1"/>
                <wp:cNvGraphicFramePr/>
                <a:graphic xmlns:a="http://schemas.openxmlformats.org/drawingml/2006/main">
                  <a:graphicData uri="http://schemas.microsoft.com/office/word/2010/wordprocessingShape">
                    <wps:wsp>
                      <wps:cNvSpPr/>
                      <wps:spPr>
                        <a:xfrm>
                          <a:off x="0" y="0"/>
                          <a:ext cx="944880" cy="266700"/>
                        </a:xfrm>
                        <a:prstGeom prst="wedgeRectCallout">
                          <a:avLst>
                            <a:gd name="adj1" fmla="val -40324"/>
                            <a:gd name="adj2" fmla="val 174764"/>
                          </a:avLst>
                        </a:prstGeom>
                        <a:solidFill>
                          <a:srgbClr val="FFFFFF"/>
                        </a:solidFill>
                        <a:ln w="9525" cap="flat" cmpd="sng">
                          <a:solidFill>
                            <a:srgbClr val="000000"/>
                          </a:solidFill>
                          <a:prstDash val="solid"/>
                          <a:miter/>
                          <a:headEnd type="none" w="med" len="med"/>
                          <a:tailEnd type="none" w="med" len="med"/>
                        </a:ln>
                      </wps:spPr>
                      <wps:txbx>
                        <w:txbxContent>
                          <w:p w14:paraId="150584AA">
                            <w:pPr>
                              <w:spacing w:line="240" w:lineRule="auto"/>
                              <w:ind w:firstLine="0" w:firstLineChars="0"/>
                              <w:rPr>
                                <w:b/>
                                <w:bCs/>
                              </w:rPr>
                            </w:pPr>
                            <w:r>
                              <w:rPr>
                                <w:rFonts w:hint="eastAsia"/>
                                <w:b/>
                                <w:bCs/>
                              </w:rPr>
                              <w:t>本项目位置</w:t>
                            </w:r>
                          </w:p>
                        </w:txbxContent>
                      </wps:txbx>
                      <wps:bodyPr vert="horz" wrap="square" anchor="t" anchorCtr="0" upright="1"/>
                    </wps:wsp>
                  </a:graphicData>
                </a:graphic>
              </wp:anchor>
            </w:drawing>
          </mc:Choice>
          <mc:Fallback>
            <w:pict>
              <v:shape id="对话气泡: 矩形 1" o:spid="_x0000_s1026" o:spt="61" type="#_x0000_t61" style="position:absolute;left:0pt;margin-left:245.35pt;margin-top:250.25pt;height:21pt;width:74.4pt;mso-position-horizontal-relative:margin;z-index:251660288;mso-width-relative:page;mso-height-relative:page;" fillcolor="#FFFFFF" filled="t" stroked="t" coordsize="21600,21600" o:gfxdata="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vsWpd2gAAAAsBAAAPAAAAAAAAAAEAIAAAACIAAABkcnMvZG93bnJldi54bWxQSwECFAAU&#10;AAAACACHTuJAU/KY22ECAADIBAAADgAAAAAAAAABACAAAAApAQAAZHJzL2Uyb0RvYy54bWxQSwUG&#10;AAAAAAYABgBZAQAA/AUAAAAA&#10;" adj="2090,48549">
                <v:fill on="t" focussize="0,0"/>
                <v:stroke color="#000000" joinstyle="miter"/>
                <v:imagedata o:title=""/>
                <o:lock v:ext="edit" aspectratio="f"/>
                <v:textbox>
                  <w:txbxContent>
                    <w:p w14:paraId="150584AA">
                      <w:pPr>
                        <w:spacing w:line="240" w:lineRule="auto"/>
                        <w:ind w:firstLine="0" w:firstLineChars="0"/>
                        <w:rPr>
                          <w:b/>
                          <w:bCs/>
                        </w:rPr>
                      </w:pPr>
                      <w:r>
                        <w:rPr>
                          <w:rFonts w:hint="eastAsia"/>
                          <w:b/>
                          <w:bCs/>
                        </w:rPr>
                        <w:t>本项目位置</w:t>
                      </w:r>
                    </w:p>
                  </w:txbxContent>
                </v:textbox>
              </v:shape>
            </w:pict>
          </mc:Fallback>
        </mc:AlternateContent>
      </w:r>
      <w:r>
        <w:rPr>
          <w:rFonts w:hint="default" w:ascii="Times New Roman" w:hAnsi="Times New Roman" w:cs="Times New Roman"/>
          <w:color w:val="auto"/>
        </w:rPr>
        <w:drawing>
          <wp:anchor distT="0" distB="0" distL="114300" distR="114300" simplePos="0" relativeHeight="251678720" behindDoc="0" locked="0" layoutInCell="1" allowOverlap="1">
            <wp:simplePos x="0" y="0"/>
            <wp:positionH relativeFrom="column">
              <wp:posOffset>3928110</wp:posOffset>
            </wp:positionH>
            <wp:positionV relativeFrom="paragraph">
              <wp:posOffset>186055</wp:posOffset>
            </wp:positionV>
            <wp:extent cx="1474470" cy="1376680"/>
            <wp:effectExtent l="0" t="0" r="11430" b="13970"/>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35"/>
                    <a:stretch>
                      <a:fillRect/>
                    </a:stretch>
                  </pic:blipFill>
                  <pic:spPr>
                    <a:xfrm>
                      <a:off x="0" y="0"/>
                      <a:ext cx="1474470" cy="1376680"/>
                    </a:xfrm>
                    <a:prstGeom prst="rect">
                      <a:avLst/>
                    </a:prstGeom>
                    <a:noFill/>
                    <a:ln>
                      <a:noFill/>
                    </a:ln>
                  </pic:spPr>
                </pic:pic>
              </a:graphicData>
            </a:graphic>
          </wp:anchor>
        </w:drawing>
      </w:r>
      <w:r>
        <w:rPr>
          <w:rFonts w:hint="default" w:ascii="Times New Roman" w:hAnsi="Times New Roman" w:eastAsia="方正小标宋简体" w:cs="Times New Roman"/>
          <w:color w:val="auto"/>
          <w:sz w:val="44"/>
          <w:szCs w:val="44"/>
        </w:rPr>
        <w:drawing>
          <wp:inline distT="0" distB="0" distL="114300" distR="114300">
            <wp:extent cx="5640070" cy="8253730"/>
            <wp:effectExtent l="0" t="0" r="17780" b="13970"/>
            <wp:docPr id="51"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descr="图片1"/>
                    <pic:cNvPicPr>
                      <a:picLocks noChangeAspect="1"/>
                    </pic:cNvPicPr>
                  </pic:nvPicPr>
                  <pic:blipFill>
                    <a:blip r:embed="rId42"/>
                    <a:srcRect l="2634" r="719"/>
                    <a:stretch>
                      <a:fillRect/>
                    </a:stretch>
                  </pic:blipFill>
                  <pic:spPr>
                    <a:xfrm>
                      <a:off x="0" y="0"/>
                      <a:ext cx="5640070" cy="8253730"/>
                    </a:xfrm>
                    <a:prstGeom prst="rect">
                      <a:avLst/>
                    </a:prstGeom>
                    <a:noFill/>
                    <a:ln>
                      <a:noFill/>
                    </a:ln>
                  </pic:spPr>
                </pic:pic>
              </a:graphicData>
            </a:graphic>
          </wp:inline>
        </w:drawing>
      </w:r>
    </w:p>
    <w:p w14:paraId="4A1F17CC">
      <w:pPr>
        <w:jc w:val="both"/>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附图</w:t>
      </w:r>
      <w:r>
        <w:rPr>
          <w:rFonts w:hint="eastAsia" w:cs="Times New Roman"/>
          <w:b/>
          <w:color w:val="auto"/>
          <w:sz w:val="24"/>
          <w:lang w:val="en-US" w:eastAsia="zh-CN"/>
        </w:rPr>
        <w:t>7</w:t>
      </w:r>
      <w:r>
        <w:rPr>
          <w:rFonts w:hint="default" w:ascii="Times New Roman" w:hAnsi="Times New Roman" w:cs="Times New Roman"/>
          <w:b/>
          <w:color w:val="auto"/>
          <w:sz w:val="24"/>
          <w:lang w:eastAsia="zh-CN"/>
        </w:rPr>
        <w:t>、</w:t>
      </w:r>
      <w:r>
        <w:rPr>
          <w:rFonts w:hint="default" w:ascii="Times New Roman" w:hAnsi="Times New Roman" w:eastAsia="宋体" w:cs="Times New Roman"/>
          <w:b/>
          <w:color w:val="auto"/>
          <w:sz w:val="24"/>
          <w:lang w:val="en-US" w:eastAsia="zh-CN"/>
        </w:rPr>
        <w:t>工程师现场勘查照片</w:t>
      </w:r>
    </w:p>
    <w:p w14:paraId="407B803D">
      <w:pPr>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drawing>
          <wp:inline distT="0" distB="0" distL="114300" distR="114300">
            <wp:extent cx="5433060" cy="4074795"/>
            <wp:effectExtent l="0" t="0" r="15240" b="1905"/>
            <wp:docPr id="69" name="图片 69" descr="e6d235fc18b341de98197b0103e57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e6d235fc18b341de98197b0103e579bd"/>
                    <pic:cNvPicPr>
                      <a:picLocks noChangeAspect="1"/>
                    </pic:cNvPicPr>
                  </pic:nvPicPr>
                  <pic:blipFill>
                    <a:blip r:embed="rId43"/>
                    <a:stretch>
                      <a:fillRect/>
                    </a:stretch>
                  </pic:blipFill>
                  <pic:spPr>
                    <a:xfrm>
                      <a:off x="0" y="0"/>
                      <a:ext cx="5433060" cy="4074795"/>
                    </a:xfrm>
                    <a:prstGeom prst="rect">
                      <a:avLst/>
                    </a:prstGeom>
                  </pic:spPr>
                </pic:pic>
              </a:graphicData>
            </a:graphic>
          </wp:inline>
        </w:drawing>
      </w:r>
      <w:r>
        <w:rPr>
          <w:rFonts w:hint="default" w:ascii="Times New Roman" w:hAnsi="Times New Roman" w:eastAsia="宋体" w:cs="Times New Roman"/>
          <w:b/>
          <w:color w:val="auto"/>
          <w:sz w:val="24"/>
          <w:lang w:val="en-US" w:eastAsia="zh-CN"/>
        </w:rPr>
        <w:drawing>
          <wp:inline distT="0" distB="0" distL="114300" distR="114300">
            <wp:extent cx="5400040" cy="4050665"/>
            <wp:effectExtent l="0" t="0" r="10160" b="6985"/>
            <wp:docPr id="71" name="图片 71" descr="a3586e583278ff2925238b62380fb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a3586e583278ff2925238b62380fbfac"/>
                    <pic:cNvPicPr>
                      <a:picLocks noChangeAspect="1"/>
                    </pic:cNvPicPr>
                  </pic:nvPicPr>
                  <pic:blipFill>
                    <a:blip r:embed="rId44"/>
                    <a:stretch>
                      <a:fillRect/>
                    </a:stretch>
                  </pic:blipFill>
                  <pic:spPr>
                    <a:xfrm>
                      <a:off x="0" y="0"/>
                      <a:ext cx="5400040" cy="4050665"/>
                    </a:xfrm>
                    <a:prstGeom prst="rect">
                      <a:avLst/>
                    </a:prstGeom>
                  </pic:spPr>
                </pic:pic>
              </a:graphicData>
            </a:graphic>
          </wp:inline>
        </w:drawing>
      </w:r>
    </w:p>
    <w:sectPr>
      <w:pgSz w:w="11906" w:h="16838"/>
      <w:pgMar w:top="1701" w:right="1531" w:bottom="1701"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宋体-18030">
    <w:altName w:val="宋体"/>
    <w:panose1 w:val="02010609060001010101"/>
    <w:charset w:val="86"/>
    <w:family w:val="modern"/>
    <w:pitch w:val="default"/>
    <w:sig w:usb0="00000000" w:usb1="00000000" w:usb2="000A005E" w:usb3="00000000" w:csb0="00040001" w:csb1="00000000"/>
  </w:font>
  <w:font w:name="新宋体-18030">
    <w:altName w:val="宋体"/>
    <w:panose1 w:val="02010609060001010101"/>
    <w:charset w:val="86"/>
    <w:family w:val="modern"/>
    <w:pitch w:val="default"/>
    <w:sig w:usb0="00000000" w:usb1="00000000" w:usb2="000A005E" w:usb3="00000000" w:csb0="00040001" w:csb1="00000000"/>
  </w:font>
  <w:font w:name="TimesNewRomanPSMT">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小标宋简体">
    <w:panose1 w:val="03000509000000000000"/>
    <w:charset w:val="86"/>
    <w:family w:val="script"/>
    <w:pitch w:val="default"/>
    <w:sig w:usb0="00000001" w:usb1="080E0000" w:usb2="00000000" w:usb3="00000000" w:csb0="0004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BCF65">
    <w:pPr>
      <w:pStyle w:val="24"/>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94982">
    <w:pPr>
      <w:pStyle w:val="2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AA5001F">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w8oc4AgAAcA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JDDyhzgCAABwBAAADgAAAAAAAAABACAAAAAfAQAAZHJzL2Uyb0RvYy54&#10;bWxQSwUGAAAAAAYABgBZAQAAyQUAAAAA&#10;">
              <v:fill on="f" focussize="0,0"/>
              <v:stroke on="f" weight="0.5pt"/>
              <v:imagedata o:title=""/>
              <o:lock v:ext="edit" aspectratio="f"/>
              <v:textbox inset="0mm,0mm,0mm,0mm" style="mso-fit-shape-to-text:t;">
                <w:txbxContent>
                  <w:p w14:paraId="7AA5001F">
                    <w:pPr>
                      <w:pStyle w:val="2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宋体"/>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1A418">
    <w:pPr>
      <w:pStyle w:val="24"/>
      <w:framePr w:wrap="around" w:vAnchor="text" w:hAnchor="margin" w:xAlign="center" w:y="1"/>
      <w:rPr>
        <w:rStyle w:val="40"/>
      </w:rPr>
    </w:pPr>
    <w:r>
      <w:fldChar w:fldCharType="begin"/>
    </w:r>
    <w:r>
      <w:rPr>
        <w:rStyle w:val="40"/>
      </w:rPr>
      <w:instrText xml:space="preserve">PAGE  </w:instrText>
    </w:r>
    <w:r>
      <w:fldChar w:fldCharType="end"/>
    </w:r>
  </w:p>
  <w:p w14:paraId="4CA25A6F">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0D1EA">
    <w:pPr>
      <w:pStyle w:val="24"/>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83D939">
                          <w:pPr>
                            <w:pStyle w:val="24"/>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PAGE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rPr>
                            <w:t xml:space="preserve"> </w:t>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J2rBdXgAQAAwgMAAA4AAAAA&#10;AAAAAQAgAAAAHgEAAGRycy9lMm9Eb2MueG1sUEsFBgAAAAAGAAYAWQEAAHAFAAAAAA==&#10;">
              <v:fill on="f" focussize="0,0"/>
              <v:stroke on="f"/>
              <v:imagedata o:title=""/>
              <o:lock v:ext="edit" aspectratio="f"/>
              <v:textbox inset="0mm,0mm,0mm,0mm" style="mso-fit-shape-to-text:t;">
                <w:txbxContent>
                  <w:p w14:paraId="0983D939">
                    <w:pPr>
                      <w:pStyle w:val="24"/>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PAGE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6ED2D">
    <w:pPr>
      <w:pStyle w:val="24"/>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4050B9">
                          <w:pPr>
                            <w:pStyle w:val="24"/>
                          </w:pPr>
                          <w:r>
                            <w:fldChar w:fldCharType="begin"/>
                          </w:r>
                          <w:r>
                            <w:instrText xml:space="preserve"> PAGE  \* MERGEFORMAT </w:instrText>
                          </w:r>
                          <w:r>
                            <w:fldChar w:fldCharType="separate"/>
                          </w:r>
                          <w:r>
                            <w:t>- 57 -</w:t>
                          </w:r>
                          <w:r>
                            <w:fldChar w:fldCharType="end"/>
                          </w:r>
                        </w:p>
                      </w:txbxContent>
                    </wps:txbx>
                    <wps:bodyPr vert="horz" wrap="none" lIns="0" tIns="0" rIns="0" bIns="0" anchor="t" anchorCtr="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o5uy4QEAAMIDAAAOAAAA&#10;AAAAAAEAIAAAAB4BAABkcnMvZTJvRG9jLnhtbFBLBQYAAAAABgAGAFkBAABxBQAAAAA=&#10;">
              <v:fill on="f" focussize="0,0"/>
              <v:stroke on="f"/>
              <v:imagedata o:title=""/>
              <o:lock v:ext="edit" aspectratio="f"/>
              <v:textbox inset="0mm,0mm,0mm,0mm" style="mso-fit-shape-to-text:t;">
                <w:txbxContent>
                  <w:p w14:paraId="504050B9">
                    <w:pPr>
                      <w:pStyle w:val="24"/>
                    </w:pPr>
                    <w:r>
                      <w:fldChar w:fldCharType="begin"/>
                    </w:r>
                    <w:r>
                      <w:instrText xml:space="preserve"> PAGE  \* MERGEFORMAT </w:instrText>
                    </w:r>
                    <w:r>
                      <w:fldChar w:fldCharType="separate"/>
                    </w:r>
                    <w:r>
                      <w:t>- 57 -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31AEB">
    <w:pPr>
      <w:pStyle w:val="24"/>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ED8736">
                          <w:pPr>
                            <w:pStyle w:val="24"/>
                          </w:pPr>
                          <w:r>
                            <w:fldChar w:fldCharType="begin"/>
                          </w:r>
                          <w:r>
                            <w:instrText xml:space="preserve"> PAGE  \* MERGEFORMAT </w:instrText>
                          </w:r>
                          <w:r>
                            <w:fldChar w:fldCharType="separate"/>
                          </w:r>
                          <w:r>
                            <w:t>- 3 -</w:t>
                          </w:r>
                          <w:r>
                            <w:fldChar w:fldCharType="end"/>
                          </w:r>
                        </w:p>
                      </w:txbxContent>
                    </wps:txbx>
                    <wps:bodyPr vert="horz" wrap="none" lIns="0" tIns="0" rIns="0" bIns="0" anchor="t" anchorCtr="0" upright="0">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KLXWvfgAQAAwgMAAA4AAAAA&#10;AAAAAQAgAAAAHgEAAGRycy9lMm9Eb2MueG1sUEsFBgAAAAAGAAYAWQEAAHAFAAAAAA==&#10;">
              <v:fill on="f" focussize="0,0"/>
              <v:stroke on="f"/>
              <v:imagedata o:title=""/>
              <o:lock v:ext="edit" aspectratio="f"/>
              <v:textbox inset="0mm,0mm,0mm,0mm" style="mso-fit-shape-to-text:t;">
                <w:txbxContent>
                  <w:p w14:paraId="20ED8736">
                    <w:pPr>
                      <w:pStyle w:val="24"/>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D35E1">
    <w:pPr>
      <w:pStyle w:val="24"/>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C0D950">
                          <w:pPr>
                            <w:pStyle w:val="24"/>
                          </w:pPr>
                          <w:r>
                            <w:fldChar w:fldCharType="begin"/>
                          </w:r>
                          <w:r>
                            <w:instrText xml:space="preserve"> PAGE  \* MERGEFORMAT </w:instrText>
                          </w:r>
                          <w:r>
                            <w:fldChar w:fldCharType="separate"/>
                          </w:r>
                          <w:r>
                            <w:t>- 5 -</w:t>
                          </w:r>
                          <w:r>
                            <w:fldChar w:fldCharType="end"/>
                          </w:r>
                        </w:p>
                      </w:txbxContent>
                    </wps:txbx>
                    <wps:bodyPr vert="horz" wrap="none" lIns="0" tIns="0" rIns="0" bIns="0" anchor="t" anchorCtr="0" upright="0">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lAZWh+IBAADCAwAADgAA&#10;AAAAAAABACAAAAAeAQAAZHJzL2Uyb0RvYy54bWxQSwUGAAAAAAYABgBZAQAAcgUAAAAA&#10;">
              <v:fill on="f" focussize="0,0"/>
              <v:stroke on="f"/>
              <v:imagedata o:title=""/>
              <o:lock v:ext="edit" aspectratio="f"/>
              <v:textbox inset="0mm,0mm,0mm,0mm" style="mso-fit-shape-to-text:t;">
                <w:txbxContent>
                  <w:p w14:paraId="4AC0D950">
                    <w:pPr>
                      <w:pStyle w:val="24"/>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A5A61">
    <w:pPr>
      <w:pStyle w:val="24"/>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A474">
    <w:pPr>
      <w:pStyle w:val="24"/>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4DD5">
    <w:pPr>
      <w:pStyle w:val="24"/>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5D8608">
                          <w:pPr>
                            <w:pStyle w:val="2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UJBg4AgAAcA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a5QkGDgCAABwBAAADgAAAAAAAAABACAAAAAfAQAAZHJzL2Uyb0RvYy54&#10;bWxQSwUGAAAAAAYABgBZAQAAyQUAAAAA&#10;">
              <v:fill on="f" focussize="0,0"/>
              <v:stroke on="f" weight="0.5pt"/>
              <v:imagedata o:title=""/>
              <o:lock v:ext="edit" aspectratio="f"/>
              <v:textbox inset="0mm,0mm,0mm,0mm" style="mso-fit-shape-to-text:t;">
                <w:txbxContent>
                  <w:p w14:paraId="635D8608">
                    <w:pPr>
                      <w:pStyle w:val="24"/>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5183B">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E3BFB">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BF2C5">
    <w:pPr>
      <w:pStyle w:val="2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50EBE">
    <w:pPr>
      <w:pStyle w:val="25"/>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E02ED"/>
    <w:multiLevelType w:val="singleLevel"/>
    <w:tmpl w:val="9F7E02ED"/>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1">
    <w:nsid w:val="CF9A556B"/>
    <w:multiLevelType w:val="singleLevel"/>
    <w:tmpl w:val="CF9A556B"/>
    <w:lvl w:ilvl="0" w:tentative="0">
      <w:start w:val="1"/>
      <w:numFmt w:val="decimal"/>
      <w:suff w:val="nothing"/>
      <w:lvlText w:val="%1、"/>
      <w:lvlJc w:val="left"/>
    </w:lvl>
  </w:abstractNum>
  <w:abstractNum w:abstractNumId="2">
    <w:nsid w:val="DAD5A6D5"/>
    <w:multiLevelType w:val="singleLevel"/>
    <w:tmpl w:val="DAD5A6D5"/>
    <w:lvl w:ilvl="0" w:tentative="0">
      <w:start w:val="3"/>
      <w:numFmt w:val="chineseCounting"/>
      <w:suff w:val="nothing"/>
      <w:lvlText w:val="%1、"/>
      <w:lvlJc w:val="left"/>
      <w:rPr>
        <w:rFonts w:hint="eastAsia"/>
      </w:rPr>
    </w:lvl>
  </w:abstractNum>
  <w:abstractNum w:abstractNumId="3">
    <w:nsid w:val="555E2CB4"/>
    <w:multiLevelType w:val="singleLevel"/>
    <w:tmpl w:val="555E2CB4"/>
    <w:lvl w:ilvl="0" w:tentative="0">
      <w:start w:val="5"/>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1ZmY4NzgwYzZmM2U2M2IwYjYzMzhkNmJkZDc0MDUifQ=="/>
  </w:docVars>
  <w:rsids>
    <w:rsidRoot w:val="00172A27"/>
    <w:rsid w:val="000050B2"/>
    <w:rsid w:val="000060B3"/>
    <w:rsid w:val="00023000"/>
    <w:rsid w:val="00042539"/>
    <w:rsid w:val="00042D0C"/>
    <w:rsid w:val="0004364B"/>
    <w:rsid w:val="00061B1F"/>
    <w:rsid w:val="00071578"/>
    <w:rsid w:val="000733C4"/>
    <w:rsid w:val="00074783"/>
    <w:rsid w:val="0008070B"/>
    <w:rsid w:val="000810AC"/>
    <w:rsid w:val="00081A02"/>
    <w:rsid w:val="00082231"/>
    <w:rsid w:val="00092D38"/>
    <w:rsid w:val="0009377B"/>
    <w:rsid w:val="00097B0B"/>
    <w:rsid w:val="000A20C9"/>
    <w:rsid w:val="000B058F"/>
    <w:rsid w:val="000B4467"/>
    <w:rsid w:val="000B4DB9"/>
    <w:rsid w:val="000C024B"/>
    <w:rsid w:val="000C09AC"/>
    <w:rsid w:val="000C767F"/>
    <w:rsid w:val="000D5A44"/>
    <w:rsid w:val="000E3ED2"/>
    <w:rsid w:val="00131F42"/>
    <w:rsid w:val="001357F1"/>
    <w:rsid w:val="00140FA8"/>
    <w:rsid w:val="00142FEB"/>
    <w:rsid w:val="00143A2D"/>
    <w:rsid w:val="00145A41"/>
    <w:rsid w:val="00150FFD"/>
    <w:rsid w:val="00151675"/>
    <w:rsid w:val="001570FF"/>
    <w:rsid w:val="00157435"/>
    <w:rsid w:val="0017403C"/>
    <w:rsid w:val="0017504D"/>
    <w:rsid w:val="0017671A"/>
    <w:rsid w:val="00177422"/>
    <w:rsid w:val="0018099E"/>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141E"/>
    <w:rsid w:val="002125B4"/>
    <w:rsid w:val="002155B8"/>
    <w:rsid w:val="00224839"/>
    <w:rsid w:val="002249B2"/>
    <w:rsid w:val="00225378"/>
    <w:rsid w:val="00226574"/>
    <w:rsid w:val="002278EC"/>
    <w:rsid w:val="0023280E"/>
    <w:rsid w:val="002377D1"/>
    <w:rsid w:val="002506BC"/>
    <w:rsid w:val="0025299C"/>
    <w:rsid w:val="00254345"/>
    <w:rsid w:val="00264557"/>
    <w:rsid w:val="002805AB"/>
    <w:rsid w:val="00284204"/>
    <w:rsid w:val="00291773"/>
    <w:rsid w:val="002A168C"/>
    <w:rsid w:val="002A3DC7"/>
    <w:rsid w:val="002B49E2"/>
    <w:rsid w:val="002B7B00"/>
    <w:rsid w:val="002B7B47"/>
    <w:rsid w:val="002B7C44"/>
    <w:rsid w:val="002C2B17"/>
    <w:rsid w:val="002D3DD0"/>
    <w:rsid w:val="002E1F3A"/>
    <w:rsid w:val="002E298A"/>
    <w:rsid w:val="00301978"/>
    <w:rsid w:val="003023AB"/>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2DA2"/>
    <w:rsid w:val="003B420D"/>
    <w:rsid w:val="003C6C16"/>
    <w:rsid w:val="003D794D"/>
    <w:rsid w:val="003E3058"/>
    <w:rsid w:val="003E76A9"/>
    <w:rsid w:val="003F0809"/>
    <w:rsid w:val="003F6A8C"/>
    <w:rsid w:val="003F755C"/>
    <w:rsid w:val="004052F1"/>
    <w:rsid w:val="00406F01"/>
    <w:rsid w:val="00416D50"/>
    <w:rsid w:val="00416FD5"/>
    <w:rsid w:val="00417772"/>
    <w:rsid w:val="00420E6A"/>
    <w:rsid w:val="00425A9E"/>
    <w:rsid w:val="00426D6B"/>
    <w:rsid w:val="00431E6C"/>
    <w:rsid w:val="00433CE7"/>
    <w:rsid w:val="004479E5"/>
    <w:rsid w:val="00452738"/>
    <w:rsid w:val="00456091"/>
    <w:rsid w:val="00466321"/>
    <w:rsid w:val="00484B9B"/>
    <w:rsid w:val="004855F6"/>
    <w:rsid w:val="0048661E"/>
    <w:rsid w:val="00490B57"/>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05DD"/>
    <w:rsid w:val="00542E07"/>
    <w:rsid w:val="00545424"/>
    <w:rsid w:val="0054548D"/>
    <w:rsid w:val="00554A7B"/>
    <w:rsid w:val="0055572C"/>
    <w:rsid w:val="0056106A"/>
    <w:rsid w:val="005720AE"/>
    <w:rsid w:val="00581E3E"/>
    <w:rsid w:val="00594D77"/>
    <w:rsid w:val="005969E4"/>
    <w:rsid w:val="005A06B7"/>
    <w:rsid w:val="005A1759"/>
    <w:rsid w:val="005A3C52"/>
    <w:rsid w:val="005A68A7"/>
    <w:rsid w:val="005D36AB"/>
    <w:rsid w:val="005E4F63"/>
    <w:rsid w:val="00617CC3"/>
    <w:rsid w:val="006377A6"/>
    <w:rsid w:val="00637A3D"/>
    <w:rsid w:val="006411EF"/>
    <w:rsid w:val="0065769C"/>
    <w:rsid w:val="006748B8"/>
    <w:rsid w:val="006775C3"/>
    <w:rsid w:val="006927C1"/>
    <w:rsid w:val="0069290A"/>
    <w:rsid w:val="0069775A"/>
    <w:rsid w:val="00697813"/>
    <w:rsid w:val="006A3EE8"/>
    <w:rsid w:val="006A72BF"/>
    <w:rsid w:val="006B03F2"/>
    <w:rsid w:val="006B37DC"/>
    <w:rsid w:val="006B4F68"/>
    <w:rsid w:val="006C0592"/>
    <w:rsid w:val="006C272E"/>
    <w:rsid w:val="006C5479"/>
    <w:rsid w:val="006D13B5"/>
    <w:rsid w:val="006E12FF"/>
    <w:rsid w:val="006E2A6B"/>
    <w:rsid w:val="006E607E"/>
    <w:rsid w:val="00706C5D"/>
    <w:rsid w:val="00732922"/>
    <w:rsid w:val="0075162E"/>
    <w:rsid w:val="00754034"/>
    <w:rsid w:val="00756556"/>
    <w:rsid w:val="007618C4"/>
    <w:rsid w:val="00767980"/>
    <w:rsid w:val="00770B19"/>
    <w:rsid w:val="0077463F"/>
    <w:rsid w:val="007754BF"/>
    <w:rsid w:val="007836EA"/>
    <w:rsid w:val="00784A7E"/>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44285"/>
    <w:rsid w:val="00870620"/>
    <w:rsid w:val="0087135F"/>
    <w:rsid w:val="00872D94"/>
    <w:rsid w:val="00880364"/>
    <w:rsid w:val="00891592"/>
    <w:rsid w:val="00891E9E"/>
    <w:rsid w:val="00893649"/>
    <w:rsid w:val="008A2F68"/>
    <w:rsid w:val="008B4FA6"/>
    <w:rsid w:val="008B5282"/>
    <w:rsid w:val="008B7C17"/>
    <w:rsid w:val="008C2D01"/>
    <w:rsid w:val="008C40E6"/>
    <w:rsid w:val="008D0F7A"/>
    <w:rsid w:val="008D16A8"/>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10A1"/>
    <w:rsid w:val="00982438"/>
    <w:rsid w:val="0098404C"/>
    <w:rsid w:val="00985283"/>
    <w:rsid w:val="00995992"/>
    <w:rsid w:val="009A03E5"/>
    <w:rsid w:val="009A0852"/>
    <w:rsid w:val="009A0F3B"/>
    <w:rsid w:val="009A1BB4"/>
    <w:rsid w:val="009A2628"/>
    <w:rsid w:val="009A3200"/>
    <w:rsid w:val="009A5857"/>
    <w:rsid w:val="009B0897"/>
    <w:rsid w:val="009B7BD9"/>
    <w:rsid w:val="009C7DD5"/>
    <w:rsid w:val="009E01E3"/>
    <w:rsid w:val="009E227D"/>
    <w:rsid w:val="009E5019"/>
    <w:rsid w:val="00A04F1B"/>
    <w:rsid w:val="00A0501B"/>
    <w:rsid w:val="00A139CE"/>
    <w:rsid w:val="00A14947"/>
    <w:rsid w:val="00A16BE5"/>
    <w:rsid w:val="00A32A83"/>
    <w:rsid w:val="00A368DB"/>
    <w:rsid w:val="00A41D95"/>
    <w:rsid w:val="00A423AA"/>
    <w:rsid w:val="00A53EC6"/>
    <w:rsid w:val="00A55C0F"/>
    <w:rsid w:val="00A6244D"/>
    <w:rsid w:val="00A8713F"/>
    <w:rsid w:val="00A90BA1"/>
    <w:rsid w:val="00A97A9A"/>
    <w:rsid w:val="00AA0671"/>
    <w:rsid w:val="00AA2531"/>
    <w:rsid w:val="00AB1E09"/>
    <w:rsid w:val="00AB5330"/>
    <w:rsid w:val="00AB7747"/>
    <w:rsid w:val="00AC14CE"/>
    <w:rsid w:val="00AC2A56"/>
    <w:rsid w:val="00AD055E"/>
    <w:rsid w:val="00AD47A7"/>
    <w:rsid w:val="00AE30C4"/>
    <w:rsid w:val="00AF0CBF"/>
    <w:rsid w:val="00AF257F"/>
    <w:rsid w:val="00AF33CF"/>
    <w:rsid w:val="00AF4D50"/>
    <w:rsid w:val="00AF6179"/>
    <w:rsid w:val="00B00565"/>
    <w:rsid w:val="00B1295A"/>
    <w:rsid w:val="00B20A45"/>
    <w:rsid w:val="00B22C5C"/>
    <w:rsid w:val="00B24F30"/>
    <w:rsid w:val="00B25C21"/>
    <w:rsid w:val="00B2683C"/>
    <w:rsid w:val="00B31ABF"/>
    <w:rsid w:val="00B33BE3"/>
    <w:rsid w:val="00B53B5D"/>
    <w:rsid w:val="00B6055E"/>
    <w:rsid w:val="00B6317D"/>
    <w:rsid w:val="00B71F65"/>
    <w:rsid w:val="00B7723F"/>
    <w:rsid w:val="00B80534"/>
    <w:rsid w:val="00B83D81"/>
    <w:rsid w:val="00B8433C"/>
    <w:rsid w:val="00B87491"/>
    <w:rsid w:val="00BA29E9"/>
    <w:rsid w:val="00BA7142"/>
    <w:rsid w:val="00BA7CA7"/>
    <w:rsid w:val="00BB237C"/>
    <w:rsid w:val="00BB41A3"/>
    <w:rsid w:val="00BC32DC"/>
    <w:rsid w:val="00BC35B6"/>
    <w:rsid w:val="00BC3A1F"/>
    <w:rsid w:val="00BD1B51"/>
    <w:rsid w:val="00BD4596"/>
    <w:rsid w:val="00BE1405"/>
    <w:rsid w:val="00BE312D"/>
    <w:rsid w:val="00BE32F3"/>
    <w:rsid w:val="00BF1C20"/>
    <w:rsid w:val="00C10578"/>
    <w:rsid w:val="00C135BC"/>
    <w:rsid w:val="00C15C95"/>
    <w:rsid w:val="00C2596A"/>
    <w:rsid w:val="00C27537"/>
    <w:rsid w:val="00C328FE"/>
    <w:rsid w:val="00C33507"/>
    <w:rsid w:val="00C36B5B"/>
    <w:rsid w:val="00C4409D"/>
    <w:rsid w:val="00C44E72"/>
    <w:rsid w:val="00C45A06"/>
    <w:rsid w:val="00C47E5B"/>
    <w:rsid w:val="00C61E4B"/>
    <w:rsid w:val="00C64BFF"/>
    <w:rsid w:val="00C704E9"/>
    <w:rsid w:val="00C763C9"/>
    <w:rsid w:val="00C80057"/>
    <w:rsid w:val="00C82232"/>
    <w:rsid w:val="00C82913"/>
    <w:rsid w:val="00C85F20"/>
    <w:rsid w:val="00C972B1"/>
    <w:rsid w:val="00CA2CCE"/>
    <w:rsid w:val="00CA43FD"/>
    <w:rsid w:val="00CA7EF8"/>
    <w:rsid w:val="00CB33A4"/>
    <w:rsid w:val="00CC489B"/>
    <w:rsid w:val="00CC4F00"/>
    <w:rsid w:val="00CD2BCD"/>
    <w:rsid w:val="00CD3536"/>
    <w:rsid w:val="00CD3A4C"/>
    <w:rsid w:val="00CE10E9"/>
    <w:rsid w:val="00CE2910"/>
    <w:rsid w:val="00CE5393"/>
    <w:rsid w:val="00CF36BE"/>
    <w:rsid w:val="00CF6000"/>
    <w:rsid w:val="00D003F3"/>
    <w:rsid w:val="00D02373"/>
    <w:rsid w:val="00D0364F"/>
    <w:rsid w:val="00D06834"/>
    <w:rsid w:val="00D24FF0"/>
    <w:rsid w:val="00D308ED"/>
    <w:rsid w:val="00D348C5"/>
    <w:rsid w:val="00D36D86"/>
    <w:rsid w:val="00D428AA"/>
    <w:rsid w:val="00D50A34"/>
    <w:rsid w:val="00D53EFA"/>
    <w:rsid w:val="00D94A7C"/>
    <w:rsid w:val="00D95896"/>
    <w:rsid w:val="00DB2983"/>
    <w:rsid w:val="00DC1257"/>
    <w:rsid w:val="00DC3DC0"/>
    <w:rsid w:val="00DC5B2B"/>
    <w:rsid w:val="00DD318D"/>
    <w:rsid w:val="00DF09EA"/>
    <w:rsid w:val="00DF2E12"/>
    <w:rsid w:val="00DF514A"/>
    <w:rsid w:val="00DF6690"/>
    <w:rsid w:val="00DF6804"/>
    <w:rsid w:val="00E0358D"/>
    <w:rsid w:val="00E03DCF"/>
    <w:rsid w:val="00E04323"/>
    <w:rsid w:val="00E070A2"/>
    <w:rsid w:val="00E2656A"/>
    <w:rsid w:val="00E412D0"/>
    <w:rsid w:val="00E56322"/>
    <w:rsid w:val="00E60982"/>
    <w:rsid w:val="00E6284A"/>
    <w:rsid w:val="00E62C62"/>
    <w:rsid w:val="00E654C1"/>
    <w:rsid w:val="00E65D97"/>
    <w:rsid w:val="00E72A5A"/>
    <w:rsid w:val="00E73354"/>
    <w:rsid w:val="00E9242D"/>
    <w:rsid w:val="00EB5255"/>
    <w:rsid w:val="00EB5B25"/>
    <w:rsid w:val="00EB5C47"/>
    <w:rsid w:val="00ED0639"/>
    <w:rsid w:val="00ED1E2A"/>
    <w:rsid w:val="00EF3127"/>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A7CB8"/>
    <w:rsid w:val="00FB503A"/>
    <w:rsid w:val="00FB516C"/>
    <w:rsid w:val="00FB7DDD"/>
    <w:rsid w:val="00FC02BF"/>
    <w:rsid w:val="00FD0236"/>
    <w:rsid w:val="00FD18F4"/>
    <w:rsid w:val="00FD54DB"/>
    <w:rsid w:val="00FD619F"/>
    <w:rsid w:val="010158D6"/>
    <w:rsid w:val="010C5839"/>
    <w:rsid w:val="01155EFB"/>
    <w:rsid w:val="01290F7E"/>
    <w:rsid w:val="013435B5"/>
    <w:rsid w:val="01350C9C"/>
    <w:rsid w:val="01366559"/>
    <w:rsid w:val="01396E1E"/>
    <w:rsid w:val="013C06BC"/>
    <w:rsid w:val="01444AF2"/>
    <w:rsid w:val="01447C0F"/>
    <w:rsid w:val="014A102B"/>
    <w:rsid w:val="014A7E1C"/>
    <w:rsid w:val="01562C2C"/>
    <w:rsid w:val="015754F6"/>
    <w:rsid w:val="01583748"/>
    <w:rsid w:val="015D1E09"/>
    <w:rsid w:val="015E047B"/>
    <w:rsid w:val="015F4A27"/>
    <w:rsid w:val="016025FC"/>
    <w:rsid w:val="016A206F"/>
    <w:rsid w:val="016D6AC7"/>
    <w:rsid w:val="0170465E"/>
    <w:rsid w:val="01714809"/>
    <w:rsid w:val="01722330"/>
    <w:rsid w:val="01771818"/>
    <w:rsid w:val="017D31AE"/>
    <w:rsid w:val="01916C5A"/>
    <w:rsid w:val="01925EE9"/>
    <w:rsid w:val="019623AB"/>
    <w:rsid w:val="01A06883"/>
    <w:rsid w:val="01AA4CF6"/>
    <w:rsid w:val="01B315B0"/>
    <w:rsid w:val="01B45EC4"/>
    <w:rsid w:val="01B56A63"/>
    <w:rsid w:val="01BF5575"/>
    <w:rsid w:val="01C25065"/>
    <w:rsid w:val="01C34939"/>
    <w:rsid w:val="01C73C8F"/>
    <w:rsid w:val="01CE57B8"/>
    <w:rsid w:val="01D31020"/>
    <w:rsid w:val="01D33634"/>
    <w:rsid w:val="01D34B7C"/>
    <w:rsid w:val="01D453F0"/>
    <w:rsid w:val="01D90B5E"/>
    <w:rsid w:val="01DB2F22"/>
    <w:rsid w:val="01DB6127"/>
    <w:rsid w:val="01DC0480"/>
    <w:rsid w:val="01E1230C"/>
    <w:rsid w:val="01E17FFA"/>
    <w:rsid w:val="01E40F90"/>
    <w:rsid w:val="01EE7C08"/>
    <w:rsid w:val="01F42D45"/>
    <w:rsid w:val="01F812B2"/>
    <w:rsid w:val="01FD42EF"/>
    <w:rsid w:val="01FE5971"/>
    <w:rsid w:val="02003F90"/>
    <w:rsid w:val="020227A1"/>
    <w:rsid w:val="02027416"/>
    <w:rsid w:val="020402CA"/>
    <w:rsid w:val="020F0807"/>
    <w:rsid w:val="02110373"/>
    <w:rsid w:val="021B6DEC"/>
    <w:rsid w:val="021D693B"/>
    <w:rsid w:val="021E07EB"/>
    <w:rsid w:val="022E0268"/>
    <w:rsid w:val="023A4BFB"/>
    <w:rsid w:val="023C3E8A"/>
    <w:rsid w:val="024C492F"/>
    <w:rsid w:val="026378B5"/>
    <w:rsid w:val="02697903"/>
    <w:rsid w:val="02747437"/>
    <w:rsid w:val="027475EC"/>
    <w:rsid w:val="02755A93"/>
    <w:rsid w:val="027A5940"/>
    <w:rsid w:val="02810A7C"/>
    <w:rsid w:val="02883D06"/>
    <w:rsid w:val="02897931"/>
    <w:rsid w:val="028B18FB"/>
    <w:rsid w:val="029029F1"/>
    <w:rsid w:val="02946700"/>
    <w:rsid w:val="02961D10"/>
    <w:rsid w:val="029A1BD0"/>
    <w:rsid w:val="029F7154"/>
    <w:rsid w:val="02A4476B"/>
    <w:rsid w:val="02A824AD"/>
    <w:rsid w:val="02B32C00"/>
    <w:rsid w:val="02B86A83"/>
    <w:rsid w:val="02BC1AB4"/>
    <w:rsid w:val="02BE582C"/>
    <w:rsid w:val="02BF15A4"/>
    <w:rsid w:val="02C72207"/>
    <w:rsid w:val="02CD5A6F"/>
    <w:rsid w:val="02D07464"/>
    <w:rsid w:val="02D3157B"/>
    <w:rsid w:val="02DA6AC8"/>
    <w:rsid w:val="02DC336F"/>
    <w:rsid w:val="02DD2621"/>
    <w:rsid w:val="02DD6B97"/>
    <w:rsid w:val="02DD7B4E"/>
    <w:rsid w:val="02E01C47"/>
    <w:rsid w:val="02E132C9"/>
    <w:rsid w:val="02E17A33"/>
    <w:rsid w:val="02E37041"/>
    <w:rsid w:val="02E62FD5"/>
    <w:rsid w:val="02ED1C6E"/>
    <w:rsid w:val="02F0687C"/>
    <w:rsid w:val="02F41532"/>
    <w:rsid w:val="02F4707C"/>
    <w:rsid w:val="02F84729"/>
    <w:rsid w:val="02F92D08"/>
    <w:rsid w:val="02F96569"/>
    <w:rsid w:val="02FE20CD"/>
    <w:rsid w:val="02FE3E7B"/>
    <w:rsid w:val="03001A0A"/>
    <w:rsid w:val="03045209"/>
    <w:rsid w:val="03092820"/>
    <w:rsid w:val="030E7E36"/>
    <w:rsid w:val="0314369E"/>
    <w:rsid w:val="03157C90"/>
    <w:rsid w:val="031A4A2D"/>
    <w:rsid w:val="03217B69"/>
    <w:rsid w:val="03232CF9"/>
    <w:rsid w:val="0323640E"/>
    <w:rsid w:val="0331568B"/>
    <w:rsid w:val="03367AB9"/>
    <w:rsid w:val="033A4153"/>
    <w:rsid w:val="033E4DA4"/>
    <w:rsid w:val="0341667A"/>
    <w:rsid w:val="03422E78"/>
    <w:rsid w:val="03463A74"/>
    <w:rsid w:val="034649C6"/>
    <w:rsid w:val="0348159A"/>
    <w:rsid w:val="034870A7"/>
    <w:rsid w:val="034F09E1"/>
    <w:rsid w:val="035E01C7"/>
    <w:rsid w:val="0361265C"/>
    <w:rsid w:val="036208AE"/>
    <w:rsid w:val="036D2DAF"/>
    <w:rsid w:val="036D7252"/>
    <w:rsid w:val="036E30C9"/>
    <w:rsid w:val="03710AF1"/>
    <w:rsid w:val="038928AB"/>
    <w:rsid w:val="038C592B"/>
    <w:rsid w:val="03972E1B"/>
    <w:rsid w:val="039B3DC0"/>
    <w:rsid w:val="039B791C"/>
    <w:rsid w:val="039C5442"/>
    <w:rsid w:val="039E2B42"/>
    <w:rsid w:val="039E450E"/>
    <w:rsid w:val="03A27FDA"/>
    <w:rsid w:val="03A5079A"/>
    <w:rsid w:val="03AF33C7"/>
    <w:rsid w:val="03B3040D"/>
    <w:rsid w:val="03B54905"/>
    <w:rsid w:val="03BB7FBE"/>
    <w:rsid w:val="03BF2FC9"/>
    <w:rsid w:val="03BF759D"/>
    <w:rsid w:val="03CA6453"/>
    <w:rsid w:val="03CC41AB"/>
    <w:rsid w:val="03CE7CF1"/>
    <w:rsid w:val="03CF5817"/>
    <w:rsid w:val="03D10B54"/>
    <w:rsid w:val="03E07A24"/>
    <w:rsid w:val="03E37F54"/>
    <w:rsid w:val="03E870E6"/>
    <w:rsid w:val="03EA7B21"/>
    <w:rsid w:val="03EC461B"/>
    <w:rsid w:val="03F14EDE"/>
    <w:rsid w:val="03F359AA"/>
    <w:rsid w:val="03F4527E"/>
    <w:rsid w:val="03FB1D6E"/>
    <w:rsid w:val="03FE4B43"/>
    <w:rsid w:val="03FF5215"/>
    <w:rsid w:val="040556DD"/>
    <w:rsid w:val="0405748B"/>
    <w:rsid w:val="04096F7B"/>
    <w:rsid w:val="040C70AC"/>
    <w:rsid w:val="041A1DAA"/>
    <w:rsid w:val="041B6CAE"/>
    <w:rsid w:val="041D744C"/>
    <w:rsid w:val="04264057"/>
    <w:rsid w:val="0426756C"/>
    <w:rsid w:val="042F4508"/>
    <w:rsid w:val="04310280"/>
    <w:rsid w:val="04387860"/>
    <w:rsid w:val="043D6C25"/>
    <w:rsid w:val="04446205"/>
    <w:rsid w:val="04473600"/>
    <w:rsid w:val="0451447E"/>
    <w:rsid w:val="04543648"/>
    <w:rsid w:val="04552A50"/>
    <w:rsid w:val="04575F38"/>
    <w:rsid w:val="045B52FD"/>
    <w:rsid w:val="045D72C7"/>
    <w:rsid w:val="045F1712"/>
    <w:rsid w:val="046248DD"/>
    <w:rsid w:val="04635ABA"/>
    <w:rsid w:val="04640655"/>
    <w:rsid w:val="04697A1A"/>
    <w:rsid w:val="04702B56"/>
    <w:rsid w:val="04754611"/>
    <w:rsid w:val="04762137"/>
    <w:rsid w:val="04763EE5"/>
    <w:rsid w:val="04784101"/>
    <w:rsid w:val="04785EAF"/>
    <w:rsid w:val="047B14FB"/>
    <w:rsid w:val="047D1EEE"/>
    <w:rsid w:val="048D6780"/>
    <w:rsid w:val="04936632"/>
    <w:rsid w:val="04A258FF"/>
    <w:rsid w:val="04AB1EA0"/>
    <w:rsid w:val="04B2316F"/>
    <w:rsid w:val="04B53428"/>
    <w:rsid w:val="04B64F01"/>
    <w:rsid w:val="04B862AB"/>
    <w:rsid w:val="04B92804"/>
    <w:rsid w:val="04BB2603"/>
    <w:rsid w:val="04BC3FEE"/>
    <w:rsid w:val="04BD38C2"/>
    <w:rsid w:val="04BF588C"/>
    <w:rsid w:val="04BF7082"/>
    <w:rsid w:val="04C2712A"/>
    <w:rsid w:val="04C812E2"/>
    <w:rsid w:val="04C9495C"/>
    <w:rsid w:val="04D167A0"/>
    <w:rsid w:val="04E1377D"/>
    <w:rsid w:val="04E35A1E"/>
    <w:rsid w:val="04E62626"/>
    <w:rsid w:val="04E672BC"/>
    <w:rsid w:val="04EB26C1"/>
    <w:rsid w:val="04F41E13"/>
    <w:rsid w:val="04F574FF"/>
    <w:rsid w:val="04F75026"/>
    <w:rsid w:val="050634BB"/>
    <w:rsid w:val="051319C5"/>
    <w:rsid w:val="05145BD8"/>
    <w:rsid w:val="051A0D14"/>
    <w:rsid w:val="051B5E9A"/>
    <w:rsid w:val="051E6A56"/>
    <w:rsid w:val="053C0C8A"/>
    <w:rsid w:val="05410997"/>
    <w:rsid w:val="05487A70"/>
    <w:rsid w:val="054A19C3"/>
    <w:rsid w:val="054A4FDA"/>
    <w:rsid w:val="054B35C3"/>
    <w:rsid w:val="054D2E98"/>
    <w:rsid w:val="05577DE1"/>
    <w:rsid w:val="055A3F23"/>
    <w:rsid w:val="055A5762"/>
    <w:rsid w:val="056145E3"/>
    <w:rsid w:val="05614B95"/>
    <w:rsid w:val="05726749"/>
    <w:rsid w:val="0575419C"/>
    <w:rsid w:val="05760640"/>
    <w:rsid w:val="057757D1"/>
    <w:rsid w:val="05790165"/>
    <w:rsid w:val="057A17B3"/>
    <w:rsid w:val="057F0CBE"/>
    <w:rsid w:val="05841A3B"/>
    <w:rsid w:val="05911B9F"/>
    <w:rsid w:val="059960DD"/>
    <w:rsid w:val="059A678C"/>
    <w:rsid w:val="059C0C51"/>
    <w:rsid w:val="059D61AC"/>
    <w:rsid w:val="05A76A4C"/>
    <w:rsid w:val="05AB5E10"/>
    <w:rsid w:val="05AC2571"/>
    <w:rsid w:val="05B13C4F"/>
    <w:rsid w:val="05BB0A35"/>
    <w:rsid w:val="05C62623"/>
    <w:rsid w:val="05C66327"/>
    <w:rsid w:val="05CC64B2"/>
    <w:rsid w:val="05DB66F5"/>
    <w:rsid w:val="05DC421B"/>
    <w:rsid w:val="05DD06BF"/>
    <w:rsid w:val="05DE0ED6"/>
    <w:rsid w:val="05E25CD6"/>
    <w:rsid w:val="05E65BAD"/>
    <w:rsid w:val="05E772CE"/>
    <w:rsid w:val="05EF21A1"/>
    <w:rsid w:val="05F477B7"/>
    <w:rsid w:val="05F83EAE"/>
    <w:rsid w:val="05F96B7B"/>
    <w:rsid w:val="05FA6D67"/>
    <w:rsid w:val="05FB28F4"/>
    <w:rsid w:val="05FC5058"/>
    <w:rsid w:val="060004A8"/>
    <w:rsid w:val="0600615C"/>
    <w:rsid w:val="0607573C"/>
    <w:rsid w:val="06093262"/>
    <w:rsid w:val="060D7C05"/>
    <w:rsid w:val="061233A4"/>
    <w:rsid w:val="06163BAC"/>
    <w:rsid w:val="06180BE3"/>
    <w:rsid w:val="061A763E"/>
    <w:rsid w:val="062005AC"/>
    <w:rsid w:val="062173A7"/>
    <w:rsid w:val="06265C73"/>
    <w:rsid w:val="062B505D"/>
    <w:rsid w:val="06344057"/>
    <w:rsid w:val="06367DD0"/>
    <w:rsid w:val="0639341C"/>
    <w:rsid w:val="063E7D85"/>
    <w:rsid w:val="0644195F"/>
    <w:rsid w:val="06451DC1"/>
    <w:rsid w:val="06562220"/>
    <w:rsid w:val="06575D97"/>
    <w:rsid w:val="065A3ABE"/>
    <w:rsid w:val="066A7A79"/>
    <w:rsid w:val="066F5412"/>
    <w:rsid w:val="06732DD2"/>
    <w:rsid w:val="067410D2"/>
    <w:rsid w:val="06755A67"/>
    <w:rsid w:val="0676235A"/>
    <w:rsid w:val="067A4160"/>
    <w:rsid w:val="067E27BC"/>
    <w:rsid w:val="0687687D"/>
    <w:rsid w:val="068E3E81"/>
    <w:rsid w:val="068F128E"/>
    <w:rsid w:val="06905732"/>
    <w:rsid w:val="069A2A70"/>
    <w:rsid w:val="06A116ED"/>
    <w:rsid w:val="06A65982"/>
    <w:rsid w:val="06A938AC"/>
    <w:rsid w:val="06AD62E4"/>
    <w:rsid w:val="06AE3E0A"/>
    <w:rsid w:val="06AE7966"/>
    <w:rsid w:val="06B01930"/>
    <w:rsid w:val="06B11926"/>
    <w:rsid w:val="06B43B46"/>
    <w:rsid w:val="06B86DA7"/>
    <w:rsid w:val="06B8791C"/>
    <w:rsid w:val="06C5794E"/>
    <w:rsid w:val="06CB4DDC"/>
    <w:rsid w:val="06D41A55"/>
    <w:rsid w:val="06D90654"/>
    <w:rsid w:val="06DA4BFF"/>
    <w:rsid w:val="06E3397F"/>
    <w:rsid w:val="06E415DA"/>
    <w:rsid w:val="06E65A30"/>
    <w:rsid w:val="06F2019A"/>
    <w:rsid w:val="06F54E7E"/>
    <w:rsid w:val="06F55739"/>
    <w:rsid w:val="06F7130D"/>
    <w:rsid w:val="06F9146A"/>
    <w:rsid w:val="070B300A"/>
    <w:rsid w:val="070F7ECF"/>
    <w:rsid w:val="07100BC6"/>
    <w:rsid w:val="07126147"/>
    <w:rsid w:val="071579E5"/>
    <w:rsid w:val="0726771F"/>
    <w:rsid w:val="07293586"/>
    <w:rsid w:val="07295285"/>
    <w:rsid w:val="072C1FA0"/>
    <w:rsid w:val="07300ECC"/>
    <w:rsid w:val="07320597"/>
    <w:rsid w:val="073836D3"/>
    <w:rsid w:val="073A6A62"/>
    <w:rsid w:val="073B1607"/>
    <w:rsid w:val="073C55D1"/>
    <w:rsid w:val="073C699B"/>
    <w:rsid w:val="073E6F3C"/>
    <w:rsid w:val="0741116F"/>
    <w:rsid w:val="0744651C"/>
    <w:rsid w:val="074B2551"/>
    <w:rsid w:val="074D717F"/>
    <w:rsid w:val="075D7DCE"/>
    <w:rsid w:val="07636392"/>
    <w:rsid w:val="076606C8"/>
    <w:rsid w:val="07697EE6"/>
    <w:rsid w:val="076F3599"/>
    <w:rsid w:val="07723089"/>
    <w:rsid w:val="077548AF"/>
    <w:rsid w:val="07770C56"/>
    <w:rsid w:val="077E71C0"/>
    <w:rsid w:val="079364BB"/>
    <w:rsid w:val="0793709D"/>
    <w:rsid w:val="07937C68"/>
    <w:rsid w:val="079528D4"/>
    <w:rsid w:val="079923C4"/>
    <w:rsid w:val="079C1EB4"/>
    <w:rsid w:val="079D5D01"/>
    <w:rsid w:val="079D7363"/>
    <w:rsid w:val="079E3E7E"/>
    <w:rsid w:val="07A019A5"/>
    <w:rsid w:val="07A0211C"/>
    <w:rsid w:val="07A70F85"/>
    <w:rsid w:val="07AA2823"/>
    <w:rsid w:val="07AA637F"/>
    <w:rsid w:val="07B05960"/>
    <w:rsid w:val="07B0770E"/>
    <w:rsid w:val="07BA4A6A"/>
    <w:rsid w:val="07BB67DE"/>
    <w:rsid w:val="07BD1346"/>
    <w:rsid w:val="07C733D5"/>
    <w:rsid w:val="07C82CA9"/>
    <w:rsid w:val="07C83968"/>
    <w:rsid w:val="07CB629E"/>
    <w:rsid w:val="07CE417C"/>
    <w:rsid w:val="07D1251D"/>
    <w:rsid w:val="07D15C84"/>
    <w:rsid w:val="07D61314"/>
    <w:rsid w:val="07D8750A"/>
    <w:rsid w:val="07E6312F"/>
    <w:rsid w:val="07E96D56"/>
    <w:rsid w:val="07EF0236"/>
    <w:rsid w:val="07F16273"/>
    <w:rsid w:val="07F4584C"/>
    <w:rsid w:val="07F47375"/>
    <w:rsid w:val="07F65A68"/>
    <w:rsid w:val="07FE491D"/>
    <w:rsid w:val="0802440D"/>
    <w:rsid w:val="0806526F"/>
    <w:rsid w:val="080B6520"/>
    <w:rsid w:val="080C528C"/>
    <w:rsid w:val="082E6EC7"/>
    <w:rsid w:val="083D5445"/>
    <w:rsid w:val="0840235A"/>
    <w:rsid w:val="085831B1"/>
    <w:rsid w:val="085B58CB"/>
    <w:rsid w:val="085D1644"/>
    <w:rsid w:val="085F2ABF"/>
    <w:rsid w:val="085F6817"/>
    <w:rsid w:val="08687FE8"/>
    <w:rsid w:val="08767C22"/>
    <w:rsid w:val="087846CF"/>
    <w:rsid w:val="087A1F0C"/>
    <w:rsid w:val="088017D6"/>
    <w:rsid w:val="08805332"/>
    <w:rsid w:val="088123BC"/>
    <w:rsid w:val="088274F0"/>
    <w:rsid w:val="089718A3"/>
    <w:rsid w:val="08972F2D"/>
    <w:rsid w:val="08A07782"/>
    <w:rsid w:val="08A52FEB"/>
    <w:rsid w:val="08A90D2D"/>
    <w:rsid w:val="08A94275"/>
    <w:rsid w:val="08AE52CD"/>
    <w:rsid w:val="08B55488"/>
    <w:rsid w:val="08BF32EA"/>
    <w:rsid w:val="08C8043F"/>
    <w:rsid w:val="08C8368E"/>
    <w:rsid w:val="08CD7283"/>
    <w:rsid w:val="08CF1E16"/>
    <w:rsid w:val="08D31906"/>
    <w:rsid w:val="08D5567E"/>
    <w:rsid w:val="08D613F6"/>
    <w:rsid w:val="08DA2C94"/>
    <w:rsid w:val="08DD52E4"/>
    <w:rsid w:val="08E04023"/>
    <w:rsid w:val="08E2175A"/>
    <w:rsid w:val="08E720CC"/>
    <w:rsid w:val="08F43AA3"/>
    <w:rsid w:val="08F55D20"/>
    <w:rsid w:val="08FD4BD5"/>
    <w:rsid w:val="08FE1D39"/>
    <w:rsid w:val="09023F99"/>
    <w:rsid w:val="090B4153"/>
    <w:rsid w:val="090B5543"/>
    <w:rsid w:val="090D25F9"/>
    <w:rsid w:val="09147C79"/>
    <w:rsid w:val="09161438"/>
    <w:rsid w:val="091F0FEF"/>
    <w:rsid w:val="092217DD"/>
    <w:rsid w:val="092403B3"/>
    <w:rsid w:val="09246605"/>
    <w:rsid w:val="09280DA2"/>
    <w:rsid w:val="09291BFC"/>
    <w:rsid w:val="0932635B"/>
    <w:rsid w:val="0937305E"/>
    <w:rsid w:val="093A7294"/>
    <w:rsid w:val="093C6053"/>
    <w:rsid w:val="093D3223"/>
    <w:rsid w:val="094445B2"/>
    <w:rsid w:val="094748D9"/>
    <w:rsid w:val="094C7564"/>
    <w:rsid w:val="094E3FC1"/>
    <w:rsid w:val="09524F20"/>
    <w:rsid w:val="09537312"/>
    <w:rsid w:val="09545C4B"/>
    <w:rsid w:val="095567BF"/>
    <w:rsid w:val="0959154C"/>
    <w:rsid w:val="095A2027"/>
    <w:rsid w:val="095A5B83"/>
    <w:rsid w:val="095B41AD"/>
    <w:rsid w:val="095D48EC"/>
    <w:rsid w:val="09622C8A"/>
    <w:rsid w:val="096B4234"/>
    <w:rsid w:val="0979602F"/>
    <w:rsid w:val="097A67FC"/>
    <w:rsid w:val="097E5D15"/>
    <w:rsid w:val="0983157E"/>
    <w:rsid w:val="098B21E0"/>
    <w:rsid w:val="09945539"/>
    <w:rsid w:val="099C263F"/>
    <w:rsid w:val="099C619C"/>
    <w:rsid w:val="099E0166"/>
    <w:rsid w:val="09A90D29"/>
    <w:rsid w:val="09B01645"/>
    <w:rsid w:val="09B01C47"/>
    <w:rsid w:val="09B26FEE"/>
    <w:rsid w:val="09B554AF"/>
    <w:rsid w:val="09B72FD5"/>
    <w:rsid w:val="09B80B68"/>
    <w:rsid w:val="09C120A6"/>
    <w:rsid w:val="09C94AB7"/>
    <w:rsid w:val="09CB082F"/>
    <w:rsid w:val="09DA51A9"/>
    <w:rsid w:val="09DB3168"/>
    <w:rsid w:val="09DE0562"/>
    <w:rsid w:val="09DE67B4"/>
    <w:rsid w:val="09DE7C9B"/>
    <w:rsid w:val="09E214C0"/>
    <w:rsid w:val="09E22B15"/>
    <w:rsid w:val="09EA6F07"/>
    <w:rsid w:val="09EE3807"/>
    <w:rsid w:val="09F9539C"/>
    <w:rsid w:val="0A0124A3"/>
    <w:rsid w:val="0A050710"/>
    <w:rsid w:val="0A07615D"/>
    <w:rsid w:val="0A0A1357"/>
    <w:rsid w:val="0A0F3905"/>
    <w:rsid w:val="0A1102E2"/>
    <w:rsid w:val="0A110938"/>
    <w:rsid w:val="0A125155"/>
    <w:rsid w:val="0A187F18"/>
    <w:rsid w:val="0A1A3D63"/>
    <w:rsid w:val="0A1B6FC9"/>
    <w:rsid w:val="0A1E1F37"/>
    <w:rsid w:val="0A263993"/>
    <w:rsid w:val="0A2D3AC2"/>
    <w:rsid w:val="0A314B36"/>
    <w:rsid w:val="0A341FB8"/>
    <w:rsid w:val="0A375EC4"/>
    <w:rsid w:val="0A3B3C06"/>
    <w:rsid w:val="0A3D5E32"/>
    <w:rsid w:val="0A3D797F"/>
    <w:rsid w:val="0A41654B"/>
    <w:rsid w:val="0A424F95"/>
    <w:rsid w:val="0A541EFC"/>
    <w:rsid w:val="0A544CC8"/>
    <w:rsid w:val="0A565E2C"/>
    <w:rsid w:val="0A566A16"/>
    <w:rsid w:val="0A5739E9"/>
    <w:rsid w:val="0A5922DF"/>
    <w:rsid w:val="0A596A08"/>
    <w:rsid w:val="0A5B7E05"/>
    <w:rsid w:val="0A5D3D18"/>
    <w:rsid w:val="0A5D5410"/>
    <w:rsid w:val="0A5E16A3"/>
    <w:rsid w:val="0A60366D"/>
    <w:rsid w:val="0A622F41"/>
    <w:rsid w:val="0A667856"/>
    <w:rsid w:val="0A6845A4"/>
    <w:rsid w:val="0A710A18"/>
    <w:rsid w:val="0A726EFC"/>
    <w:rsid w:val="0A740EC6"/>
    <w:rsid w:val="0A752C53"/>
    <w:rsid w:val="0A79500D"/>
    <w:rsid w:val="0A7D4792"/>
    <w:rsid w:val="0A863FDE"/>
    <w:rsid w:val="0A870BFA"/>
    <w:rsid w:val="0A8A06EA"/>
    <w:rsid w:val="0A8C009F"/>
    <w:rsid w:val="0A8F5D00"/>
    <w:rsid w:val="0A9428B8"/>
    <w:rsid w:val="0A951569"/>
    <w:rsid w:val="0A9872DF"/>
    <w:rsid w:val="0A9E3C73"/>
    <w:rsid w:val="0AA255B6"/>
    <w:rsid w:val="0AA51080"/>
    <w:rsid w:val="0AA755DF"/>
    <w:rsid w:val="0AA90B70"/>
    <w:rsid w:val="0AAE1DC2"/>
    <w:rsid w:val="0AAF1EFF"/>
    <w:rsid w:val="0ABA1A7A"/>
    <w:rsid w:val="0ABD087A"/>
    <w:rsid w:val="0AC27E20"/>
    <w:rsid w:val="0AC41808"/>
    <w:rsid w:val="0AC51722"/>
    <w:rsid w:val="0AC52104"/>
    <w:rsid w:val="0AC6703C"/>
    <w:rsid w:val="0AC7549A"/>
    <w:rsid w:val="0AD1181D"/>
    <w:rsid w:val="0AD41965"/>
    <w:rsid w:val="0ADF27E4"/>
    <w:rsid w:val="0AE07925"/>
    <w:rsid w:val="0AE47DFA"/>
    <w:rsid w:val="0AE724F0"/>
    <w:rsid w:val="0AE918B4"/>
    <w:rsid w:val="0AED4ED7"/>
    <w:rsid w:val="0AEE0C79"/>
    <w:rsid w:val="0AF10769"/>
    <w:rsid w:val="0AF3628F"/>
    <w:rsid w:val="0AF50259"/>
    <w:rsid w:val="0AF618DB"/>
    <w:rsid w:val="0AFD0EBC"/>
    <w:rsid w:val="0B095AB3"/>
    <w:rsid w:val="0B0B182B"/>
    <w:rsid w:val="0B0E6394"/>
    <w:rsid w:val="0B0F188B"/>
    <w:rsid w:val="0B120D44"/>
    <w:rsid w:val="0B1F3EA8"/>
    <w:rsid w:val="0B252B64"/>
    <w:rsid w:val="0B364677"/>
    <w:rsid w:val="0B460AB5"/>
    <w:rsid w:val="0B4D7D2D"/>
    <w:rsid w:val="0B5243BB"/>
    <w:rsid w:val="0B5F3B76"/>
    <w:rsid w:val="0B6251C3"/>
    <w:rsid w:val="0B651B02"/>
    <w:rsid w:val="0B6947A3"/>
    <w:rsid w:val="0B6A290B"/>
    <w:rsid w:val="0B6D6042"/>
    <w:rsid w:val="0B772A1C"/>
    <w:rsid w:val="0B7D045A"/>
    <w:rsid w:val="0B81451E"/>
    <w:rsid w:val="0B837613"/>
    <w:rsid w:val="0B841BD3"/>
    <w:rsid w:val="0B84338B"/>
    <w:rsid w:val="0B845139"/>
    <w:rsid w:val="0B846A84"/>
    <w:rsid w:val="0B892750"/>
    <w:rsid w:val="0B8A2CB3"/>
    <w:rsid w:val="0B8B296C"/>
    <w:rsid w:val="0B900784"/>
    <w:rsid w:val="0B917FB3"/>
    <w:rsid w:val="0B931810"/>
    <w:rsid w:val="0B9D61FB"/>
    <w:rsid w:val="0BA23811"/>
    <w:rsid w:val="0BA457DB"/>
    <w:rsid w:val="0BA871AF"/>
    <w:rsid w:val="0BAE1C83"/>
    <w:rsid w:val="0BB04180"/>
    <w:rsid w:val="0BB07CE3"/>
    <w:rsid w:val="0BB27EF8"/>
    <w:rsid w:val="0BC35C62"/>
    <w:rsid w:val="0BC55E7E"/>
    <w:rsid w:val="0BCA3494"/>
    <w:rsid w:val="0BD27BF6"/>
    <w:rsid w:val="0BD738A8"/>
    <w:rsid w:val="0BDA11FD"/>
    <w:rsid w:val="0BE8061C"/>
    <w:rsid w:val="0BED2CDE"/>
    <w:rsid w:val="0BF12B54"/>
    <w:rsid w:val="0BF30E45"/>
    <w:rsid w:val="0BF56037"/>
    <w:rsid w:val="0BF71DAF"/>
    <w:rsid w:val="0BF83BD6"/>
    <w:rsid w:val="0BFA56BE"/>
    <w:rsid w:val="0BFF758A"/>
    <w:rsid w:val="0C0011BA"/>
    <w:rsid w:val="0C0263B4"/>
    <w:rsid w:val="0C040028"/>
    <w:rsid w:val="0C0544CC"/>
    <w:rsid w:val="0C0A3890"/>
    <w:rsid w:val="0C0B585A"/>
    <w:rsid w:val="0C0D15D3"/>
    <w:rsid w:val="0C12226C"/>
    <w:rsid w:val="0C14470F"/>
    <w:rsid w:val="0C144DE8"/>
    <w:rsid w:val="0C161698"/>
    <w:rsid w:val="0C1666D9"/>
    <w:rsid w:val="0C175FAD"/>
    <w:rsid w:val="0C1E10EA"/>
    <w:rsid w:val="0C2228AF"/>
    <w:rsid w:val="0C2263B9"/>
    <w:rsid w:val="0C2506CA"/>
    <w:rsid w:val="0C263F95"/>
    <w:rsid w:val="0C2C32DA"/>
    <w:rsid w:val="0C2D57D1"/>
    <w:rsid w:val="0C335B09"/>
    <w:rsid w:val="0C350433"/>
    <w:rsid w:val="0C3B3C7D"/>
    <w:rsid w:val="0C453C2D"/>
    <w:rsid w:val="0C476893"/>
    <w:rsid w:val="0C4840C9"/>
    <w:rsid w:val="0C4A7332"/>
    <w:rsid w:val="0C541442"/>
    <w:rsid w:val="0C556015"/>
    <w:rsid w:val="0C582584"/>
    <w:rsid w:val="0C682524"/>
    <w:rsid w:val="0C6C00A7"/>
    <w:rsid w:val="0C6D745E"/>
    <w:rsid w:val="0C6E0E1D"/>
    <w:rsid w:val="0C721436"/>
    <w:rsid w:val="0C797D50"/>
    <w:rsid w:val="0C7A0ECA"/>
    <w:rsid w:val="0C7E65A6"/>
    <w:rsid w:val="0C810882"/>
    <w:rsid w:val="0C8278CB"/>
    <w:rsid w:val="0C831DFB"/>
    <w:rsid w:val="0C880C59"/>
    <w:rsid w:val="0C883B2F"/>
    <w:rsid w:val="0C886EAB"/>
    <w:rsid w:val="0C89186A"/>
    <w:rsid w:val="0C923562"/>
    <w:rsid w:val="0C9703DB"/>
    <w:rsid w:val="0C9E0E40"/>
    <w:rsid w:val="0CA15669"/>
    <w:rsid w:val="0CA5180B"/>
    <w:rsid w:val="0CA737D5"/>
    <w:rsid w:val="0CA75583"/>
    <w:rsid w:val="0CA86C70"/>
    <w:rsid w:val="0CAB2EAE"/>
    <w:rsid w:val="0CAF4438"/>
    <w:rsid w:val="0CC47EE3"/>
    <w:rsid w:val="0CD143AE"/>
    <w:rsid w:val="0CD30126"/>
    <w:rsid w:val="0CD43E9E"/>
    <w:rsid w:val="0CDB1EA2"/>
    <w:rsid w:val="0CDE0DB3"/>
    <w:rsid w:val="0CEA0AB3"/>
    <w:rsid w:val="0CEC2F96"/>
    <w:rsid w:val="0CF06F2A"/>
    <w:rsid w:val="0CF70BBD"/>
    <w:rsid w:val="0D076022"/>
    <w:rsid w:val="0D0C53E6"/>
    <w:rsid w:val="0D0E73B0"/>
    <w:rsid w:val="0D162709"/>
    <w:rsid w:val="0D1D28A2"/>
    <w:rsid w:val="0D200E92"/>
    <w:rsid w:val="0D2766C4"/>
    <w:rsid w:val="0D2F0D3A"/>
    <w:rsid w:val="0D33389B"/>
    <w:rsid w:val="0D3A63F7"/>
    <w:rsid w:val="0D3D7C96"/>
    <w:rsid w:val="0D467272"/>
    <w:rsid w:val="0D556D8D"/>
    <w:rsid w:val="0D5F19BA"/>
    <w:rsid w:val="0D621C7D"/>
    <w:rsid w:val="0D646FD0"/>
    <w:rsid w:val="0D660F9A"/>
    <w:rsid w:val="0D692839"/>
    <w:rsid w:val="0D705208"/>
    <w:rsid w:val="0D7169EE"/>
    <w:rsid w:val="0D7A2C98"/>
    <w:rsid w:val="0D7F321E"/>
    <w:rsid w:val="0D8021AC"/>
    <w:rsid w:val="0D80268F"/>
    <w:rsid w:val="0D803BF8"/>
    <w:rsid w:val="0D815DD4"/>
    <w:rsid w:val="0D84401D"/>
    <w:rsid w:val="0D8633EB"/>
    <w:rsid w:val="0D865199"/>
    <w:rsid w:val="0D8C7028"/>
    <w:rsid w:val="0D8E04F1"/>
    <w:rsid w:val="0D906017"/>
    <w:rsid w:val="0D927FE1"/>
    <w:rsid w:val="0D951880"/>
    <w:rsid w:val="0D955AAF"/>
    <w:rsid w:val="0DA25D4B"/>
    <w:rsid w:val="0DA63A8D"/>
    <w:rsid w:val="0DAB10A3"/>
    <w:rsid w:val="0DAD2B87"/>
    <w:rsid w:val="0DAF0B93"/>
    <w:rsid w:val="0DB43078"/>
    <w:rsid w:val="0DB53CD0"/>
    <w:rsid w:val="0DB624FC"/>
    <w:rsid w:val="0DC161D1"/>
    <w:rsid w:val="0DC350E0"/>
    <w:rsid w:val="0DD2616E"/>
    <w:rsid w:val="0DD35A97"/>
    <w:rsid w:val="0DD35E02"/>
    <w:rsid w:val="0DD7115C"/>
    <w:rsid w:val="0DD759F4"/>
    <w:rsid w:val="0DDA3736"/>
    <w:rsid w:val="0DDC300B"/>
    <w:rsid w:val="0DE3083D"/>
    <w:rsid w:val="0DE95727"/>
    <w:rsid w:val="0DEA1BCB"/>
    <w:rsid w:val="0DF07539"/>
    <w:rsid w:val="0DF540CC"/>
    <w:rsid w:val="0DF91E0E"/>
    <w:rsid w:val="0DFC545B"/>
    <w:rsid w:val="0E0B7D94"/>
    <w:rsid w:val="0E0D776A"/>
    <w:rsid w:val="0E1A2554"/>
    <w:rsid w:val="0E1F739B"/>
    <w:rsid w:val="0E222820"/>
    <w:rsid w:val="0E2441A3"/>
    <w:rsid w:val="0E2A338D"/>
    <w:rsid w:val="0E2C21E4"/>
    <w:rsid w:val="0E3147CF"/>
    <w:rsid w:val="0E356BBF"/>
    <w:rsid w:val="0E372937"/>
    <w:rsid w:val="0E373F1B"/>
    <w:rsid w:val="0E444851"/>
    <w:rsid w:val="0E455CF9"/>
    <w:rsid w:val="0E526540"/>
    <w:rsid w:val="0E5434E9"/>
    <w:rsid w:val="0E584FB4"/>
    <w:rsid w:val="0E5A03D3"/>
    <w:rsid w:val="0E5D6E92"/>
    <w:rsid w:val="0E5F55B1"/>
    <w:rsid w:val="0E5F60C6"/>
    <w:rsid w:val="0E604A69"/>
    <w:rsid w:val="0E625C06"/>
    <w:rsid w:val="0E6A4ABA"/>
    <w:rsid w:val="0E6A6868"/>
    <w:rsid w:val="0E6A79B7"/>
    <w:rsid w:val="0E6B152D"/>
    <w:rsid w:val="0E707BF7"/>
    <w:rsid w:val="0E73034D"/>
    <w:rsid w:val="0E732258"/>
    <w:rsid w:val="0E762DB7"/>
    <w:rsid w:val="0E772D33"/>
    <w:rsid w:val="0E7B6CC7"/>
    <w:rsid w:val="0E7C659C"/>
    <w:rsid w:val="0E7E6D1D"/>
    <w:rsid w:val="0E8042DE"/>
    <w:rsid w:val="0E811E04"/>
    <w:rsid w:val="0E8912B7"/>
    <w:rsid w:val="0E8A550D"/>
    <w:rsid w:val="0E9F6F26"/>
    <w:rsid w:val="0EA0228A"/>
    <w:rsid w:val="0EA10C39"/>
    <w:rsid w:val="0EA33B28"/>
    <w:rsid w:val="0EB1363B"/>
    <w:rsid w:val="0EB36461"/>
    <w:rsid w:val="0EB77646"/>
    <w:rsid w:val="0EC3241C"/>
    <w:rsid w:val="0EC56195"/>
    <w:rsid w:val="0ECA0760"/>
    <w:rsid w:val="0ECA37AB"/>
    <w:rsid w:val="0ECE759F"/>
    <w:rsid w:val="0ED14B39"/>
    <w:rsid w:val="0ED939EE"/>
    <w:rsid w:val="0EE67DAC"/>
    <w:rsid w:val="0EF32D02"/>
    <w:rsid w:val="0EF549B6"/>
    <w:rsid w:val="0EF83E74"/>
    <w:rsid w:val="0EF935B0"/>
    <w:rsid w:val="0EFC4554"/>
    <w:rsid w:val="0EFD76DC"/>
    <w:rsid w:val="0F006637"/>
    <w:rsid w:val="0F022F45"/>
    <w:rsid w:val="0F053294"/>
    <w:rsid w:val="0F0740B7"/>
    <w:rsid w:val="0F096081"/>
    <w:rsid w:val="0F12423D"/>
    <w:rsid w:val="0F13775A"/>
    <w:rsid w:val="0F1A028E"/>
    <w:rsid w:val="0F1E7653"/>
    <w:rsid w:val="0F1F3AF7"/>
    <w:rsid w:val="0F256C33"/>
    <w:rsid w:val="0F2733BC"/>
    <w:rsid w:val="0F2A73D0"/>
    <w:rsid w:val="0F2C5B85"/>
    <w:rsid w:val="0F2C6214"/>
    <w:rsid w:val="0F2D7FC5"/>
    <w:rsid w:val="0F303BB7"/>
    <w:rsid w:val="0F3052F1"/>
    <w:rsid w:val="0F35418F"/>
    <w:rsid w:val="0F3644C0"/>
    <w:rsid w:val="0F386966"/>
    <w:rsid w:val="0F3A26DF"/>
    <w:rsid w:val="0F3A448D"/>
    <w:rsid w:val="0F3D3F7D"/>
    <w:rsid w:val="0F4157E3"/>
    <w:rsid w:val="0F4C2412"/>
    <w:rsid w:val="0F5016BA"/>
    <w:rsid w:val="0F5D461F"/>
    <w:rsid w:val="0F5F45FE"/>
    <w:rsid w:val="0F64150A"/>
    <w:rsid w:val="0F6634D4"/>
    <w:rsid w:val="0F67175D"/>
    <w:rsid w:val="0F696B20"/>
    <w:rsid w:val="0F6B614E"/>
    <w:rsid w:val="0F73505C"/>
    <w:rsid w:val="0F7D081D"/>
    <w:rsid w:val="0F7F416C"/>
    <w:rsid w:val="0F8B4CE8"/>
    <w:rsid w:val="0F900C4F"/>
    <w:rsid w:val="0F9022FF"/>
    <w:rsid w:val="0F9067A2"/>
    <w:rsid w:val="0F930041"/>
    <w:rsid w:val="0F9718DF"/>
    <w:rsid w:val="0F985657"/>
    <w:rsid w:val="0F9A112B"/>
    <w:rsid w:val="0F9A317D"/>
    <w:rsid w:val="0F9F0794"/>
    <w:rsid w:val="0FA311DA"/>
    <w:rsid w:val="0FA4722F"/>
    <w:rsid w:val="0FB0474F"/>
    <w:rsid w:val="0FB12275"/>
    <w:rsid w:val="0FB73D2F"/>
    <w:rsid w:val="0FC401FA"/>
    <w:rsid w:val="0FC63F72"/>
    <w:rsid w:val="0FC71A98"/>
    <w:rsid w:val="0FC85F3C"/>
    <w:rsid w:val="0FD84356"/>
    <w:rsid w:val="0FDC19E8"/>
    <w:rsid w:val="0FE06513"/>
    <w:rsid w:val="0FE91A0F"/>
    <w:rsid w:val="0FE97C61"/>
    <w:rsid w:val="0FED59A3"/>
    <w:rsid w:val="0FF54858"/>
    <w:rsid w:val="0FF85798"/>
    <w:rsid w:val="10042CED"/>
    <w:rsid w:val="10073757"/>
    <w:rsid w:val="100D7DF3"/>
    <w:rsid w:val="10152804"/>
    <w:rsid w:val="101F18BD"/>
    <w:rsid w:val="10246EEB"/>
    <w:rsid w:val="102869DB"/>
    <w:rsid w:val="102B2027"/>
    <w:rsid w:val="102C368A"/>
    <w:rsid w:val="102D2243"/>
    <w:rsid w:val="10354C54"/>
    <w:rsid w:val="103C6032"/>
    <w:rsid w:val="103D3B3E"/>
    <w:rsid w:val="103F5849"/>
    <w:rsid w:val="104B4477"/>
    <w:rsid w:val="104B58B5"/>
    <w:rsid w:val="104F21BA"/>
    <w:rsid w:val="10530694"/>
    <w:rsid w:val="105312C0"/>
    <w:rsid w:val="10596222"/>
    <w:rsid w:val="105964EA"/>
    <w:rsid w:val="10596B94"/>
    <w:rsid w:val="1060257A"/>
    <w:rsid w:val="10613C9B"/>
    <w:rsid w:val="106B68C8"/>
    <w:rsid w:val="106D2F64"/>
    <w:rsid w:val="106F1CCE"/>
    <w:rsid w:val="10732DF0"/>
    <w:rsid w:val="107870C0"/>
    <w:rsid w:val="107A6B0B"/>
    <w:rsid w:val="107B6C56"/>
    <w:rsid w:val="10863144"/>
    <w:rsid w:val="10881228"/>
    <w:rsid w:val="108C633A"/>
    <w:rsid w:val="10944070"/>
    <w:rsid w:val="109553F2"/>
    <w:rsid w:val="10980BF3"/>
    <w:rsid w:val="109934BB"/>
    <w:rsid w:val="109F4086"/>
    <w:rsid w:val="10A02A15"/>
    <w:rsid w:val="10A054E6"/>
    <w:rsid w:val="10A342B4"/>
    <w:rsid w:val="10A51DDA"/>
    <w:rsid w:val="10A55A69"/>
    <w:rsid w:val="10B63710"/>
    <w:rsid w:val="10C806C9"/>
    <w:rsid w:val="10CC380A"/>
    <w:rsid w:val="10D177B4"/>
    <w:rsid w:val="10D4446D"/>
    <w:rsid w:val="10D45E87"/>
    <w:rsid w:val="10D821AF"/>
    <w:rsid w:val="10D92C55"/>
    <w:rsid w:val="10E2045D"/>
    <w:rsid w:val="10E70644"/>
    <w:rsid w:val="10EA0134"/>
    <w:rsid w:val="10F10820"/>
    <w:rsid w:val="10F1501F"/>
    <w:rsid w:val="10F16DCD"/>
    <w:rsid w:val="10F259CB"/>
    <w:rsid w:val="10F354AA"/>
    <w:rsid w:val="110C1E59"/>
    <w:rsid w:val="110D1458"/>
    <w:rsid w:val="110E3732"/>
    <w:rsid w:val="111156C1"/>
    <w:rsid w:val="1118788E"/>
    <w:rsid w:val="111C2F7A"/>
    <w:rsid w:val="111C5B2B"/>
    <w:rsid w:val="1122248D"/>
    <w:rsid w:val="11230F50"/>
    <w:rsid w:val="11290813"/>
    <w:rsid w:val="11306187"/>
    <w:rsid w:val="113A382E"/>
    <w:rsid w:val="113D2012"/>
    <w:rsid w:val="114A128D"/>
    <w:rsid w:val="11537A88"/>
    <w:rsid w:val="11553800"/>
    <w:rsid w:val="11576BB6"/>
    <w:rsid w:val="115C2CBB"/>
    <w:rsid w:val="115E01DA"/>
    <w:rsid w:val="116204FA"/>
    <w:rsid w:val="11621A79"/>
    <w:rsid w:val="11665CA1"/>
    <w:rsid w:val="116752E1"/>
    <w:rsid w:val="116B3023"/>
    <w:rsid w:val="11785740"/>
    <w:rsid w:val="117B6FDE"/>
    <w:rsid w:val="11800151"/>
    <w:rsid w:val="1182036D"/>
    <w:rsid w:val="1184411A"/>
    <w:rsid w:val="1193257A"/>
    <w:rsid w:val="11944992"/>
    <w:rsid w:val="11951E4E"/>
    <w:rsid w:val="11A56D5B"/>
    <w:rsid w:val="11BA7B07"/>
    <w:rsid w:val="11BB6C8F"/>
    <w:rsid w:val="11BD1A9D"/>
    <w:rsid w:val="11BD3153"/>
    <w:rsid w:val="11D33AE4"/>
    <w:rsid w:val="11DA5EF4"/>
    <w:rsid w:val="11E32DE3"/>
    <w:rsid w:val="11E95EFF"/>
    <w:rsid w:val="11F052D6"/>
    <w:rsid w:val="11F823DD"/>
    <w:rsid w:val="12011292"/>
    <w:rsid w:val="12035223"/>
    <w:rsid w:val="12064AFA"/>
    <w:rsid w:val="12071F57"/>
    <w:rsid w:val="12080872"/>
    <w:rsid w:val="120A0438"/>
    <w:rsid w:val="120B3EBE"/>
    <w:rsid w:val="12106795"/>
    <w:rsid w:val="1211524D"/>
    <w:rsid w:val="121951D4"/>
    <w:rsid w:val="121A2353"/>
    <w:rsid w:val="122D46DF"/>
    <w:rsid w:val="123029BC"/>
    <w:rsid w:val="12305C9C"/>
    <w:rsid w:val="1232769D"/>
    <w:rsid w:val="12374CB3"/>
    <w:rsid w:val="123C051C"/>
    <w:rsid w:val="123D6042"/>
    <w:rsid w:val="123F625E"/>
    <w:rsid w:val="124421F7"/>
    <w:rsid w:val="12490E8B"/>
    <w:rsid w:val="124949E7"/>
    <w:rsid w:val="12521AED"/>
    <w:rsid w:val="12543AB7"/>
    <w:rsid w:val="12595693"/>
    <w:rsid w:val="125C296C"/>
    <w:rsid w:val="125C3704"/>
    <w:rsid w:val="126535FF"/>
    <w:rsid w:val="12677142"/>
    <w:rsid w:val="12687563"/>
    <w:rsid w:val="127952CC"/>
    <w:rsid w:val="12796516"/>
    <w:rsid w:val="127E013D"/>
    <w:rsid w:val="12850115"/>
    <w:rsid w:val="128A6C79"/>
    <w:rsid w:val="128F2D41"/>
    <w:rsid w:val="12906AB9"/>
    <w:rsid w:val="12910332"/>
    <w:rsid w:val="12971BF6"/>
    <w:rsid w:val="129A4008"/>
    <w:rsid w:val="12A6008B"/>
    <w:rsid w:val="12A762DD"/>
    <w:rsid w:val="12AD578C"/>
    <w:rsid w:val="12B411CC"/>
    <w:rsid w:val="12B56C34"/>
    <w:rsid w:val="12B75316"/>
    <w:rsid w:val="12BD702D"/>
    <w:rsid w:val="12BD714C"/>
    <w:rsid w:val="12C329EB"/>
    <w:rsid w:val="12C35AA1"/>
    <w:rsid w:val="12C64289"/>
    <w:rsid w:val="12C80001"/>
    <w:rsid w:val="12CB7FFE"/>
    <w:rsid w:val="12CD2621"/>
    <w:rsid w:val="12CE41C9"/>
    <w:rsid w:val="12D53D40"/>
    <w:rsid w:val="12E0534B"/>
    <w:rsid w:val="12E07ADD"/>
    <w:rsid w:val="12E30515"/>
    <w:rsid w:val="12E34DDA"/>
    <w:rsid w:val="12EC00F2"/>
    <w:rsid w:val="12F55709"/>
    <w:rsid w:val="12F60DD0"/>
    <w:rsid w:val="13015FE8"/>
    <w:rsid w:val="130A23C8"/>
    <w:rsid w:val="130D5CAA"/>
    <w:rsid w:val="131068CB"/>
    <w:rsid w:val="13140A84"/>
    <w:rsid w:val="13160B8C"/>
    <w:rsid w:val="13161004"/>
    <w:rsid w:val="13196AAF"/>
    <w:rsid w:val="131C20FB"/>
    <w:rsid w:val="13207E3D"/>
    <w:rsid w:val="13220EF9"/>
    <w:rsid w:val="13250FB0"/>
    <w:rsid w:val="13257202"/>
    <w:rsid w:val="132D60B6"/>
    <w:rsid w:val="133108B1"/>
    <w:rsid w:val="13370C17"/>
    <w:rsid w:val="13382A5C"/>
    <w:rsid w:val="13384870"/>
    <w:rsid w:val="133E0380"/>
    <w:rsid w:val="13511DA5"/>
    <w:rsid w:val="13535210"/>
    <w:rsid w:val="13557860"/>
    <w:rsid w:val="135950FD"/>
    <w:rsid w:val="135D0D26"/>
    <w:rsid w:val="13653AA2"/>
    <w:rsid w:val="136A2E67"/>
    <w:rsid w:val="136A69FC"/>
    <w:rsid w:val="136E13F9"/>
    <w:rsid w:val="13765CAF"/>
    <w:rsid w:val="13853A9D"/>
    <w:rsid w:val="13944A2F"/>
    <w:rsid w:val="13951726"/>
    <w:rsid w:val="13963C5C"/>
    <w:rsid w:val="13A33471"/>
    <w:rsid w:val="13A66595"/>
    <w:rsid w:val="13A740BB"/>
    <w:rsid w:val="13A9462C"/>
    <w:rsid w:val="13AB678F"/>
    <w:rsid w:val="13B10A95"/>
    <w:rsid w:val="13B660AC"/>
    <w:rsid w:val="13BA3DEE"/>
    <w:rsid w:val="13BF6E98"/>
    <w:rsid w:val="13BF7F65"/>
    <w:rsid w:val="13C02329"/>
    <w:rsid w:val="13C133CE"/>
    <w:rsid w:val="13C36177"/>
    <w:rsid w:val="13C50F53"/>
    <w:rsid w:val="13C92283"/>
    <w:rsid w:val="13D660DB"/>
    <w:rsid w:val="13DC24DA"/>
    <w:rsid w:val="13DD5D2E"/>
    <w:rsid w:val="13E40E6B"/>
    <w:rsid w:val="13F41A5D"/>
    <w:rsid w:val="13F54E26"/>
    <w:rsid w:val="13F5606B"/>
    <w:rsid w:val="13F60B9E"/>
    <w:rsid w:val="13FC4E78"/>
    <w:rsid w:val="14032F9A"/>
    <w:rsid w:val="14065285"/>
    <w:rsid w:val="140908D1"/>
    <w:rsid w:val="140D728C"/>
    <w:rsid w:val="14101C60"/>
    <w:rsid w:val="14164D9C"/>
    <w:rsid w:val="14186072"/>
    <w:rsid w:val="141A663B"/>
    <w:rsid w:val="141D612B"/>
    <w:rsid w:val="1424570B"/>
    <w:rsid w:val="142602DA"/>
    <w:rsid w:val="14270D58"/>
    <w:rsid w:val="14276FAA"/>
    <w:rsid w:val="142E65C5"/>
    <w:rsid w:val="14396509"/>
    <w:rsid w:val="143C4803"/>
    <w:rsid w:val="143C61AE"/>
    <w:rsid w:val="143D6B19"/>
    <w:rsid w:val="143E2A83"/>
    <w:rsid w:val="143E753F"/>
    <w:rsid w:val="14416FC6"/>
    <w:rsid w:val="14447B5C"/>
    <w:rsid w:val="144E09DA"/>
    <w:rsid w:val="14505FA8"/>
    <w:rsid w:val="14506500"/>
    <w:rsid w:val="14522278"/>
    <w:rsid w:val="14524026"/>
    <w:rsid w:val="145241BB"/>
    <w:rsid w:val="14575AE1"/>
    <w:rsid w:val="145853B5"/>
    <w:rsid w:val="14587163"/>
    <w:rsid w:val="145C6C53"/>
    <w:rsid w:val="14636234"/>
    <w:rsid w:val="14667AD2"/>
    <w:rsid w:val="14681A9C"/>
    <w:rsid w:val="14691987"/>
    <w:rsid w:val="146E6C7B"/>
    <w:rsid w:val="147214E9"/>
    <w:rsid w:val="147B758D"/>
    <w:rsid w:val="1483359D"/>
    <w:rsid w:val="148443FC"/>
    <w:rsid w:val="148B12E6"/>
    <w:rsid w:val="149208C7"/>
    <w:rsid w:val="1494463F"/>
    <w:rsid w:val="14952156"/>
    <w:rsid w:val="1497412F"/>
    <w:rsid w:val="14985835"/>
    <w:rsid w:val="149D171D"/>
    <w:rsid w:val="149F05A5"/>
    <w:rsid w:val="14AD5701"/>
    <w:rsid w:val="14B73D4F"/>
    <w:rsid w:val="14B922F8"/>
    <w:rsid w:val="14BA1BCC"/>
    <w:rsid w:val="14BF2B65"/>
    <w:rsid w:val="14C11377"/>
    <w:rsid w:val="14C5501A"/>
    <w:rsid w:val="14C667C2"/>
    <w:rsid w:val="14CA0ED3"/>
    <w:rsid w:val="14DB5560"/>
    <w:rsid w:val="14DC7D94"/>
    <w:rsid w:val="14DD2C3C"/>
    <w:rsid w:val="14E76E65"/>
    <w:rsid w:val="14EA24B1"/>
    <w:rsid w:val="14ED7F17"/>
    <w:rsid w:val="14F80B71"/>
    <w:rsid w:val="14FB646C"/>
    <w:rsid w:val="14FC0436"/>
    <w:rsid w:val="15054DD7"/>
    <w:rsid w:val="150C0BC9"/>
    <w:rsid w:val="150C46E3"/>
    <w:rsid w:val="150E72EC"/>
    <w:rsid w:val="15221E0D"/>
    <w:rsid w:val="15243815"/>
    <w:rsid w:val="152C7D6F"/>
    <w:rsid w:val="152D05F0"/>
    <w:rsid w:val="152D239E"/>
    <w:rsid w:val="15311E8E"/>
    <w:rsid w:val="1532259A"/>
    <w:rsid w:val="153320AA"/>
    <w:rsid w:val="1537146E"/>
    <w:rsid w:val="153A3325"/>
    <w:rsid w:val="15400323"/>
    <w:rsid w:val="154020D1"/>
    <w:rsid w:val="15436924"/>
    <w:rsid w:val="15436ADA"/>
    <w:rsid w:val="15466355"/>
    <w:rsid w:val="15471D38"/>
    <w:rsid w:val="15490101"/>
    <w:rsid w:val="154A2F50"/>
    <w:rsid w:val="154D2A40"/>
    <w:rsid w:val="15511B43"/>
    <w:rsid w:val="15522BCF"/>
    <w:rsid w:val="155301D7"/>
    <w:rsid w:val="155344FA"/>
    <w:rsid w:val="15697A03"/>
    <w:rsid w:val="15717B63"/>
    <w:rsid w:val="15761F97"/>
    <w:rsid w:val="157F2B4B"/>
    <w:rsid w:val="15806971"/>
    <w:rsid w:val="15882F8B"/>
    <w:rsid w:val="15887BBF"/>
    <w:rsid w:val="158C1F5E"/>
    <w:rsid w:val="158F3058"/>
    <w:rsid w:val="159424D1"/>
    <w:rsid w:val="1598015F"/>
    <w:rsid w:val="159B19FD"/>
    <w:rsid w:val="159E3610"/>
    <w:rsid w:val="15AB60E4"/>
    <w:rsid w:val="15AC59B8"/>
    <w:rsid w:val="15B64A89"/>
    <w:rsid w:val="15C135E0"/>
    <w:rsid w:val="15C63491"/>
    <w:rsid w:val="15CA1987"/>
    <w:rsid w:val="15CE592F"/>
    <w:rsid w:val="15D46BD0"/>
    <w:rsid w:val="15D46CBD"/>
    <w:rsid w:val="15DA6411"/>
    <w:rsid w:val="15DD3DC4"/>
    <w:rsid w:val="15E038B4"/>
    <w:rsid w:val="15E05662"/>
    <w:rsid w:val="15E9458A"/>
    <w:rsid w:val="160457F4"/>
    <w:rsid w:val="16075022"/>
    <w:rsid w:val="16087E1D"/>
    <w:rsid w:val="160A3100"/>
    <w:rsid w:val="161B669A"/>
    <w:rsid w:val="161C2B3E"/>
    <w:rsid w:val="161D2B21"/>
    <w:rsid w:val="161D68B6"/>
    <w:rsid w:val="161F3D65"/>
    <w:rsid w:val="16210154"/>
    <w:rsid w:val="162776F9"/>
    <w:rsid w:val="16322361"/>
    <w:rsid w:val="164D3FE5"/>
    <w:rsid w:val="164F2A01"/>
    <w:rsid w:val="1650051A"/>
    <w:rsid w:val="16581113"/>
    <w:rsid w:val="16581F4E"/>
    <w:rsid w:val="165C3BCA"/>
    <w:rsid w:val="16612C47"/>
    <w:rsid w:val="166567A5"/>
    <w:rsid w:val="16685D83"/>
    <w:rsid w:val="16696085"/>
    <w:rsid w:val="167504A0"/>
    <w:rsid w:val="167A5AB7"/>
    <w:rsid w:val="167F317C"/>
    <w:rsid w:val="16816E45"/>
    <w:rsid w:val="16832492"/>
    <w:rsid w:val="169D1F69"/>
    <w:rsid w:val="16A0669F"/>
    <w:rsid w:val="16A3500D"/>
    <w:rsid w:val="16A50D85"/>
    <w:rsid w:val="16A7036B"/>
    <w:rsid w:val="16AB5C70"/>
    <w:rsid w:val="16AD3796"/>
    <w:rsid w:val="16AE11E8"/>
    <w:rsid w:val="16AE5760"/>
    <w:rsid w:val="16B54D41"/>
    <w:rsid w:val="16B55AB3"/>
    <w:rsid w:val="16B70AB9"/>
    <w:rsid w:val="16BD3139"/>
    <w:rsid w:val="16BE143E"/>
    <w:rsid w:val="16BF1736"/>
    <w:rsid w:val="16C07FEF"/>
    <w:rsid w:val="16C15493"/>
    <w:rsid w:val="16C64858"/>
    <w:rsid w:val="16C84A74"/>
    <w:rsid w:val="16CB6312"/>
    <w:rsid w:val="16CB705D"/>
    <w:rsid w:val="16D056D6"/>
    <w:rsid w:val="16D615D8"/>
    <w:rsid w:val="16E3540A"/>
    <w:rsid w:val="16E51568"/>
    <w:rsid w:val="16E82A20"/>
    <w:rsid w:val="16E878A8"/>
    <w:rsid w:val="16ED44DA"/>
    <w:rsid w:val="16EE0361"/>
    <w:rsid w:val="16F615E1"/>
    <w:rsid w:val="16FF7D6A"/>
    <w:rsid w:val="17006A33"/>
    <w:rsid w:val="170610F8"/>
    <w:rsid w:val="170F7470"/>
    <w:rsid w:val="17172581"/>
    <w:rsid w:val="171750B3"/>
    <w:rsid w:val="171F03F3"/>
    <w:rsid w:val="1720225E"/>
    <w:rsid w:val="17237EFC"/>
    <w:rsid w:val="172A3039"/>
    <w:rsid w:val="172A4DE7"/>
    <w:rsid w:val="17314DB3"/>
    <w:rsid w:val="173220AD"/>
    <w:rsid w:val="17347CCD"/>
    <w:rsid w:val="173C0FBE"/>
    <w:rsid w:val="174001C6"/>
    <w:rsid w:val="17410382"/>
    <w:rsid w:val="174452FC"/>
    <w:rsid w:val="174A116E"/>
    <w:rsid w:val="175D4C5F"/>
    <w:rsid w:val="175E3991"/>
    <w:rsid w:val="17626C76"/>
    <w:rsid w:val="17701D14"/>
    <w:rsid w:val="17735226"/>
    <w:rsid w:val="1774709D"/>
    <w:rsid w:val="17771FF6"/>
    <w:rsid w:val="17792D99"/>
    <w:rsid w:val="177B7D38"/>
    <w:rsid w:val="177C2D11"/>
    <w:rsid w:val="177C7F0A"/>
    <w:rsid w:val="1787048B"/>
    <w:rsid w:val="178829CA"/>
    <w:rsid w:val="1789621C"/>
    <w:rsid w:val="178E7858"/>
    <w:rsid w:val="17936E30"/>
    <w:rsid w:val="17984446"/>
    <w:rsid w:val="179E7583"/>
    <w:rsid w:val="17A51B0E"/>
    <w:rsid w:val="17A728DB"/>
    <w:rsid w:val="17A74689"/>
    <w:rsid w:val="17AB69E5"/>
    <w:rsid w:val="17B83B4A"/>
    <w:rsid w:val="17B9260F"/>
    <w:rsid w:val="17B943BD"/>
    <w:rsid w:val="17BF715C"/>
    <w:rsid w:val="17C02320"/>
    <w:rsid w:val="17C0399D"/>
    <w:rsid w:val="17C63699"/>
    <w:rsid w:val="17CA6350"/>
    <w:rsid w:val="17CE0CD4"/>
    <w:rsid w:val="17CF19E0"/>
    <w:rsid w:val="17D11706"/>
    <w:rsid w:val="17D17D9B"/>
    <w:rsid w:val="17D34DF7"/>
    <w:rsid w:val="17DF606D"/>
    <w:rsid w:val="17E01949"/>
    <w:rsid w:val="17E04987"/>
    <w:rsid w:val="17E07B9B"/>
    <w:rsid w:val="17E27FC0"/>
    <w:rsid w:val="17EA27C8"/>
    <w:rsid w:val="17F51899"/>
    <w:rsid w:val="17F90BAA"/>
    <w:rsid w:val="18025D64"/>
    <w:rsid w:val="18041ADC"/>
    <w:rsid w:val="180513B0"/>
    <w:rsid w:val="181066D2"/>
    <w:rsid w:val="18175989"/>
    <w:rsid w:val="181A13D3"/>
    <w:rsid w:val="181B0BD3"/>
    <w:rsid w:val="182757CA"/>
    <w:rsid w:val="182B2BB2"/>
    <w:rsid w:val="183323C1"/>
    <w:rsid w:val="1833416F"/>
    <w:rsid w:val="1838202B"/>
    <w:rsid w:val="183879D7"/>
    <w:rsid w:val="183D6D9C"/>
    <w:rsid w:val="18403E12"/>
    <w:rsid w:val="184243B2"/>
    <w:rsid w:val="18477C1A"/>
    <w:rsid w:val="18482B9D"/>
    <w:rsid w:val="185C36C6"/>
    <w:rsid w:val="185D4305"/>
    <w:rsid w:val="186407CC"/>
    <w:rsid w:val="1864257A"/>
    <w:rsid w:val="18645C61"/>
    <w:rsid w:val="186C142F"/>
    <w:rsid w:val="18700F1F"/>
    <w:rsid w:val="187355C6"/>
    <w:rsid w:val="187E258F"/>
    <w:rsid w:val="187F409E"/>
    <w:rsid w:val="1881312C"/>
    <w:rsid w:val="18932590"/>
    <w:rsid w:val="18952734"/>
    <w:rsid w:val="189959D5"/>
    <w:rsid w:val="189C7F66"/>
    <w:rsid w:val="189F35B2"/>
    <w:rsid w:val="189F624C"/>
    <w:rsid w:val="18A1557C"/>
    <w:rsid w:val="18A8170F"/>
    <w:rsid w:val="18AB28D3"/>
    <w:rsid w:val="18AC1971"/>
    <w:rsid w:val="18B52DD6"/>
    <w:rsid w:val="18BC5F12"/>
    <w:rsid w:val="18C179CD"/>
    <w:rsid w:val="18C474BD"/>
    <w:rsid w:val="18C82B09"/>
    <w:rsid w:val="18C94AD3"/>
    <w:rsid w:val="18C970A9"/>
    <w:rsid w:val="18CC3B4F"/>
    <w:rsid w:val="18CD6371"/>
    <w:rsid w:val="18CE5C46"/>
    <w:rsid w:val="18D21BDA"/>
    <w:rsid w:val="18D41876"/>
    <w:rsid w:val="18D53478"/>
    <w:rsid w:val="18D70F9E"/>
    <w:rsid w:val="18D71108"/>
    <w:rsid w:val="18DA0A8E"/>
    <w:rsid w:val="18DA45EA"/>
    <w:rsid w:val="18DC65B5"/>
    <w:rsid w:val="18DC773B"/>
    <w:rsid w:val="18DE2E43"/>
    <w:rsid w:val="18E11E1D"/>
    <w:rsid w:val="18E13BCB"/>
    <w:rsid w:val="18F72A3C"/>
    <w:rsid w:val="18F77CFC"/>
    <w:rsid w:val="18F95391"/>
    <w:rsid w:val="18FA6A3B"/>
    <w:rsid w:val="19015E07"/>
    <w:rsid w:val="190340B4"/>
    <w:rsid w:val="190873AA"/>
    <w:rsid w:val="190E33B2"/>
    <w:rsid w:val="191044B0"/>
    <w:rsid w:val="19151AC7"/>
    <w:rsid w:val="19185113"/>
    <w:rsid w:val="1927569A"/>
    <w:rsid w:val="192979C9"/>
    <w:rsid w:val="192A5572"/>
    <w:rsid w:val="192F0DDA"/>
    <w:rsid w:val="193B777F"/>
    <w:rsid w:val="19436799"/>
    <w:rsid w:val="19452F6C"/>
    <w:rsid w:val="19456052"/>
    <w:rsid w:val="194859F8"/>
    <w:rsid w:val="194918D8"/>
    <w:rsid w:val="19552135"/>
    <w:rsid w:val="19553E0D"/>
    <w:rsid w:val="19573E8D"/>
    <w:rsid w:val="19584882"/>
    <w:rsid w:val="19600F94"/>
    <w:rsid w:val="196352F5"/>
    <w:rsid w:val="19677F5C"/>
    <w:rsid w:val="19697BC5"/>
    <w:rsid w:val="197118BE"/>
    <w:rsid w:val="197665C1"/>
    <w:rsid w:val="197D2EBD"/>
    <w:rsid w:val="19882298"/>
    <w:rsid w:val="198F7ACB"/>
    <w:rsid w:val="19916D03"/>
    <w:rsid w:val="1992225D"/>
    <w:rsid w:val="19940C3D"/>
    <w:rsid w:val="19946E8F"/>
    <w:rsid w:val="199C5D44"/>
    <w:rsid w:val="19A928E0"/>
    <w:rsid w:val="19B1359D"/>
    <w:rsid w:val="19BE5CBA"/>
    <w:rsid w:val="19BF7536"/>
    <w:rsid w:val="19CC27E2"/>
    <w:rsid w:val="19CC3F9A"/>
    <w:rsid w:val="19D7052B"/>
    <w:rsid w:val="19DB4ABE"/>
    <w:rsid w:val="19DC3AAE"/>
    <w:rsid w:val="19DF40F0"/>
    <w:rsid w:val="19E00326"/>
    <w:rsid w:val="19EC0A79"/>
    <w:rsid w:val="19EF056A"/>
    <w:rsid w:val="1A051B3B"/>
    <w:rsid w:val="1A0E09F0"/>
    <w:rsid w:val="1A1324AA"/>
    <w:rsid w:val="1A143B2C"/>
    <w:rsid w:val="1A147FD0"/>
    <w:rsid w:val="1A1C66C0"/>
    <w:rsid w:val="1A1D6E85"/>
    <w:rsid w:val="1A204BC7"/>
    <w:rsid w:val="1A253F8B"/>
    <w:rsid w:val="1A2828EF"/>
    <w:rsid w:val="1A2C7EE9"/>
    <w:rsid w:val="1A361CF4"/>
    <w:rsid w:val="1A3E3269"/>
    <w:rsid w:val="1A42393B"/>
    <w:rsid w:val="1A4373AE"/>
    <w:rsid w:val="1A476CAC"/>
    <w:rsid w:val="1A481505"/>
    <w:rsid w:val="1A4B1C44"/>
    <w:rsid w:val="1A4C59BC"/>
    <w:rsid w:val="1A4E44C3"/>
    <w:rsid w:val="1A5A3C35"/>
    <w:rsid w:val="1A634553"/>
    <w:rsid w:val="1A676352"/>
    <w:rsid w:val="1A6D6D72"/>
    <w:rsid w:val="1A6E148E"/>
    <w:rsid w:val="1A6F2200"/>
    <w:rsid w:val="1A7458B9"/>
    <w:rsid w:val="1A75606A"/>
    <w:rsid w:val="1A7B2F83"/>
    <w:rsid w:val="1A7D5B75"/>
    <w:rsid w:val="1A7E3C31"/>
    <w:rsid w:val="1A7E4151"/>
    <w:rsid w:val="1A807414"/>
    <w:rsid w:val="1A861305"/>
    <w:rsid w:val="1A8B2040"/>
    <w:rsid w:val="1A9023F8"/>
    <w:rsid w:val="1A9058A9"/>
    <w:rsid w:val="1A935399"/>
    <w:rsid w:val="1A9A2283"/>
    <w:rsid w:val="1A9D1D74"/>
    <w:rsid w:val="1AAD45DE"/>
    <w:rsid w:val="1AAD645B"/>
    <w:rsid w:val="1ABC669E"/>
    <w:rsid w:val="1ABD6B02"/>
    <w:rsid w:val="1AC775D5"/>
    <w:rsid w:val="1AD61006"/>
    <w:rsid w:val="1ADD7BFB"/>
    <w:rsid w:val="1ADF35D3"/>
    <w:rsid w:val="1ADF413A"/>
    <w:rsid w:val="1AE4406F"/>
    <w:rsid w:val="1AEB2ADF"/>
    <w:rsid w:val="1AEB6F83"/>
    <w:rsid w:val="1AFA5418"/>
    <w:rsid w:val="1B0032DD"/>
    <w:rsid w:val="1B046F80"/>
    <w:rsid w:val="1B063DBD"/>
    <w:rsid w:val="1B0F622D"/>
    <w:rsid w:val="1B1239F4"/>
    <w:rsid w:val="1B146617"/>
    <w:rsid w:val="1B1640E1"/>
    <w:rsid w:val="1B1C0EEA"/>
    <w:rsid w:val="1B1C713C"/>
    <w:rsid w:val="1B293607"/>
    <w:rsid w:val="1B3267B5"/>
    <w:rsid w:val="1B387BCB"/>
    <w:rsid w:val="1B40161D"/>
    <w:rsid w:val="1B41324C"/>
    <w:rsid w:val="1B420427"/>
    <w:rsid w:val="1B441859"/>
    <w:rsid w:val="1B4B17D0"/>
    <w:rsid w:val="1B4C5F5B"/>
    <w:rsid w:val="1B4C6558"/>
    <w:rsid w:val="1B5E1503"/>
    <w:rsid w:val="1B612DA1"/>
    <w:rsid w:val="1B6606B1"/>
    <w:rsid w:val="1B6F1962"/>
    <w:rsid w:val="1B7E3953"/>
    <w:rsid w:val="1B8046EC"/>
    <w:rsid w:val="1B812F99"/>
    <w:rsid w:val="1B876601"/>
    <w:rsid w:val="1B882A24"/>
    <w:rsid w:val="1B8A3271"/>
    <w:rsid w:val="1B8C2514"/>
    <w:rsid w:val="1B8D2C3F"/>
    <w:rsid w:val="1B950C9D"/>
    <w:rsid w:val="1B9A62B3"/>
    <w:rsid w:val="1B9C202B"/>
    <w:rsid w:val="1BA01B1B"/>
    <w:rsid w:val="1BA02D05"/>
    <w:rsid w:val="1BA03591"/>
    <w:rsid w:val="1BA052D9"/>
    <w:rsid w:val="1BA3160C"/>
    <w:rsid w:val="1BA57132"/>
    <w:rsid w:val="1BAB4125"/>
    <w:rsid w:val="1BB03B3E"/>
    <w:rsid w:val="1BB43819"/>
    <w:rsid w:val="1BBB4BA7"/>
    <w:rsid w:val="1BBE6F12"/>
    <w:rsid w:val="1BC01FA0"/>
    <w:rsid w:val="1BC341DC"/>
    <w:rsid w:val="1BC407B7"/>
    <w:rsid w:val="1BC91BBD"/>
    <w:rsid w:val="1BCD48DA"/>
    <w:rsid w:val="1BD564B6"/>
    <w:rsid w:val="1BD6553D"/>
    <w:rsid w:val="1BE31D2D"/>
    <w:rsid w:val="1BE55780"/>
    <w:rsid w:val="1BE74187"/>
    <w:rsid w:val="1BF15652"/>
    <w:rsid w:val="1BF400B9"/>
    <w:rsid w:val="1BF956CF"/>
    <w:rsid w:val="1C057BD0"/>
    <w:rsid w:val="1C0E7EC3"/>
    <w:rsid w:val="1C0F6CA1"/>
    <w:rsid w:val="1C14601F"/>
    <w:rsid w:val="1C1549BE"/>
    <w:rsid w:val="1C1C4F1A"/>
    <w:rsid w:val="1C2376BB"/>
    <w:rsid w:val="1C24690F"/>
    <w:rsid w:val="1C265672"/>
    <w:rsid w:val="1C2A29A7"/>
    <w:rsid w:val="1C2C33AF"/>
    <w:rsid w:val="1C3034D1"/>
    <w:rsid w:val="1C35703B"/>
    <w:rsid w:val="1C380166"/>
    <w:rsid w:val="1C4050AC"/>
    <w:rsid w:val="1C444B9D"/>
    <w:rsid w:val="1C4F52EF"/>
    <w:rsid w:val="1C5054AF"/>
    <w:rsid w:val="1C55007C"/>
    <w:rsid w:val="1C5965AA"/>
    <w:rsid w:val="1C5E7925"/>
    <w:rsid w:val="1C6B037B"/>
    <w:rsid w:val="1C796955"/>
    <w:rsid w:val="1C7A05BE"/>
    <w:rsid w:val="1C7A65EA"/>
    <w:rsid w:val="1C7D00AF"/>
    <w:rsid w:val="1C7F5BD5"/>
    <w:rsid w:val="1C81555D"/>
    <w:rsid w:val="1C830AE6"/>
    <w:rsid w:val="1C8615F4"/>
    <w:rsid w:val="1C8B27CB"/>
    <w:rsid w:val="1C8E5E18"/>
    <w:rsid w:val="1C907DE2"/>
    <w:rsid w:val="1C9378D2"/>
    <w:rsid w:val="1C962F1E"/>
    <w:rsid w:val="1C9B0535"/>
    <w:rsid w:val="1C9B1AA4"/>
    <w:rsid w:val="1C9D24FF"/>
    <w:rsid w:val="1CA078F9"/>
    <w:rsid w:val="1CA23B7D"/>
    <w:rsid w:val="1CA4563B"/>
    <w:rsid w:val="1CA90EA4"/>
    <w:rsid w:val="1CAC44F0"/>
    <w:rsid w:val="1CAD0994"/>
    <w:rsid w:val="1CAD4C91"/>
    <w:rsid w:val="1CAF74D8"/>
    <w:rsid w:val="1CB11B06"/>
    <w:rsid w:val="1CB26FA1"/>
    <w:rsid w:val="1CB304A3"/>
    <w:rsid w:val="1CBA4E5F"/>
    <w:rsid w:val="1CBF4223"/>
    <w:rsid w:val="1CBF5FD1"/>
    <w:rsid w:val="1CCE090A"/>
    <w:rsid w:val="1CCF29AD"/>
    <w:rsid w:val="1CD04682"/>
    <w:rsid w:val="1CD1447D"/>
    <w:rsid w:val="1CDB647D"/>
    <w:rsid w:val="1CDB6B83"/>
    <w:rsid w:val="1CDD6D9F"/>
    <w:rsid w:val="1CE0619C"/>
    <w:rsid w:val="1CE819CC"/>
    <w:rsid w:val="1CEB5018"/>
    <w:rsid w:val="1CF33ECD"/>
    <w:rsid w:val="1CF85987"/>
    <w:rsid w:val="1CFA6464"/>
    <w:rsid w:val="1CFC7225"/>
    <w:rsid w:val="1CFD070F"/>
    <w:rsid w:val="1CFE394E"/>
    <w:rsid w:val="1D012A8E"/>
    <w:rsid w:val="1D0936F0"/>
    <w:rsid w:val="1D107795"/>
    <w:rsid w:val="1D13631D"/>
    <w:rsid w:val="1D187DD7"/>
    <w:rsid w:val="1D1F4CC2"/>
    <w:rsid w:val="1D210A3A"/>
    <w:rsid w:val="1D234A18"/>
    <w:rsid w:val="1D24677C"/>
    <w:rsid w:val="1D251426"/>
    <w:rsid w:val="1D2542EE"/>
    <w:rsid w:val="1D2547F1"/>
    <w:rsid w:val="1D291FE4"/>
    <w:rsid w:val="1D2C2A82"/>
    <w:rsid w:val="1D306ECF"/>
    <w:rsid w:val="1D37025D"/>
    <w:rsid w:val="1D37585D"/>
    <w:rsid w:val="1D3A1AFC"/>
    <w:rsid w:val="1D3A7D4E"/>
    <w:rsid w:val="1D3B36F4"/>
    <w:rsid w:val="1D3C1D18"/>
    <w:rsid w:val="1D4F671F"/>
    <w:rsid w:val="1D5148BC"/>
    <w:rsid w:val="1D5A6425"/>
    <w:rsid w:val="1D5C4168"/>
    <w:rsid w:val="1D5F6196"/>
    <w:rsid w:val="1D6132A5"/>
    <w:rsid w:val="1D6D7BEB"/>
    <w:rsid w:val="1D703D1D"/>
    <w:rsid w:val="1D801128"/>
    <w:rsid w:val="1D801C31"/>
    <w:rsid w:val="1D8524D4"/>
    <w:rsid w:val="1D862F93"/>
    <w:rsid w:val="1D890952"/>
    <w:rsid w:val="1D8E56D5"/>
    <w:rsid w:val="1D933C61"/>
    <w:rsid w:val="1D9F5E03"/>
    <w:rsid w:val="1DA56E9E"/>
    <w:rsid w:val="1DA678D8"/>
    <w:rsid w:val="1DA84CB7"/>
    <w:rsid w:val="1DA962DF"/>
    <w:rsid w:val="1DAB1E82"/>
    <w:rsid w:val="1DB96EC4"/>
    <w:rsid w:val="1DBA103F"/>
    <w:rsid w:val="1DC37071"/>
    <w:rsid w:val="1DC37D43"/>
    <w:rsid w:val="1DC75A85"/>
    <w:rsid w:val="1DCA7323"/>
    <w:rsid w:val="1DD314C1"/>
    <w:rsid w:val="1DD520AF"/>
    <w:rsid w:val="1DD66886"/>
    <w:rsid w:val="1DD7559C"/>
    <w:rsid w:val="1DD87373"/>
    <w:rsid w:val="1DDB0EA7"/>
    <w:rsid w:val="1DDC0E05"/>
    <w:rsid w:val="1DDD721A"/>
    <w:rsid w:val="1DDF4451"/>
    <w:rsid w:val="1DE04881"/>
    <w:rsid w:val="1DE1641B"/>
    <w:rsid w:val="1DE303E5"/>
    <w:rsid w:val="1DE657E0"/>
    <w:rsid w:val="1DE8740B"/>
    <w:rsid w:val="1DEE1760"/>
    <w:rsid w:val="1DF261E4"/>
    <w:rsid w:val="1DF92FB2"/>
    <w:rsid w:val="1DFE6553"/>
    <w:rsid w:val="1DFF017B"/>
    <w:rsid w:val="1E0246BD"/>
    <w:rsid w:val="1E0349E4"/>
    <w:rsid w:val="1E0C793C"/>
    <w:rsid w:val="1E0D7210"/>
    <w:rsid w:val="1E0F2F88"/>
    <w:rsid w:val="1E104084"/>
    <w:rsid w:val="1E105529"/>
    <w:rsid w:val="1E157715"/>
    <w:rsid w:val="1E16257B"/>
    <w:rsid w:val="1E1A44C4"/>
    <w:rsid w:val="1E1D66E0"/>
    <w:rsid w:val="1E1F199E"/>
    <w:rsid w:val="1E27272C"/>
    <w:rsid w:val="1E360515"/>
    <w:rsid w:val="1E37428D"/>
    <w:rsid w:val="1E3824DF"/>
    <w:rsid w:val="1E390005"/>
    <w:rsid w:val="1E391DB3"/>
    <w:rsid w:val="1E4C7D38"/>
    <w:rsid w:val="1E5135A1"/>
    <w:rsid w:val="1E59323C"/>
    <w:rsid w:val="1E5D2262"/>
    <w:rsid w:val="1E5F5CBE"/>
    <w:rsid w:val="1E5F6569"/>
    <w:rsid w:val="1E62755C"/>
    <w:rsid w:val="1E6908EA"/>
    <w:rsid w:val="1E69544E"/>
    <w:rsid w:val="1E6A6411"/>
    <w:rsid w:val="1E6A71B4"/>
    <w:rsid w:val="1E733517"/>
    <w:rsid w:val="1E7352C5"/>
    <w:rsid w:val="1E74676F"/>
    <w:rsid w:val="1E7601F6"/>
    <w:rsid w:val="1E7828DC"/>
    <w:rsid w:val="1E7A43DA"/>
    <w:rsid w:val="1E7B23CC"/>
    <w:rsid w:val="1E7D6144"/>
    <w:rsid w:val="1E7E1EBC"/>
    <w:rsid w:val="1E823334"/>
    <w:rsid w:val="1E85324A"/>
    <w:rsid w:val="1E870D71"/>
    <w:rsid w:val="1E8768B2"/>
    <w:rsid w:val="1E894C50"/>
    <w:rsid w:val="1E8C45D9"/>
    <w:rsid w:val="1E9763AE"/>
    <w:rsid w:val="1EA442D4"/>
    <w:rsid w:val="1EA732A6"/>
    <w:rsid w:val="1EA96F39"/>
    <w:rsid w:val="1EAC07D7"/>
    <w:rsid w:val="1EAD74F0"/>
    <w:rsid w:val="1EAF2075"/>
    <w:rsid w:val="1EB15DEE"/>
    <w:rsid w:val="1EB94CCE"/>
    <w:rsid w:val="1EB96D3B"/>
    <w:rsid w:val="1EBB4EBE"/>
    <w:rsid w:val="1EBD29E4"/>
    <w:rsid w:val="1EBF050A"/>
    <w:rsid w:val="1EBF34C5"/>
    <w:rsid w:val="1EC6316C"/>
    <w:rsid w:val="1EC975DB"/>
    <w:rsid w:val="1EE7460E"/>
    <w:rsid w:val="1EE951E5"/>
    <w:rsid w:val="1EE97E37"/>
    <w:rsid w:val="1EED34C2"/>
    <w:rsid w:val="1EF26B32"/>
    <w:rsid w:val="1EF34658"/>
    <w:rsid w:val="1EF5217E"/>
    <w:rsid w:val="1EF87EC0"/>
    <w:rsid w:val="1EF949F7"/>
    <w:rsid w:val="1EFE2F32"/>
    <w:rsid w:val="1F022AED"/>
    <w:rsid w:val="1F055CE3"/>
    <w:rsid w:val="1F095C2A"/>
    <w:rsid w:val="1F0A3F2F"/>
    <w:rsid w:val="1F0C74C8"/>
    <w:rsid w:val="1F134CFA"/>
    <w:rsid w:val="1F161D61"/>
    <w:rsid w:val="1F176598"/>
    <w:rsid w:val="1F180379"/>
    <w:rsid w:val="1F182311"/>
    <w:rsid w:val="1F191DDB"/>
    <w:rsid w:val="1F1D16D5"/>
    <w:rsid w:val="1F1F070A"/>
    <w:rsid w:val="1F232E78"/>
    <w:rsid w:val="1F2760B0"/>
    <w:rsid w:val="1F281D5F"/>
    <w:rsid w:val="1F2C1918"/>
    <w:rsid w:val="1F2E15CE"/>
    <w:rsid w:val="1F301408"/>
    <w:rsid w:val="1F3046EB"/>
    <w:rsid w:val="1F310CB4"/>
    <w:rsid w:val="1F32696E"/>
    <w:rsid w:val="1F3C5FFF"/>
    <w:rsid w:val="1F425618"/>
    <w:rsid w:val="1F4560C7"/>
    <w:rsid w:val="1F4D79F0"/>
    <w:rsid w:val="1F52137F"/>
    <w:rsid w:val="1F5350F7"/>
    <w:rsid w:val="1F576995"/>
    <w:rsid w:val="1F5C21FD"/>
    <w:rsid w:val="1F5D59C8"/>
    <w:rsid w:val="1F6625C9"/>
    <w:rsid w:val="1F6F5FDA"/>
    <w:rsid w:val="1F703EFB"/>
    <w:rsid w:val="1F721A21"/>
    <w:rsid w:val="1F737547"/>
    <w:rsid w:val="1F745799"/>
    <w:rsid w:val="1F78690B"/>
    <w:rsid w:val="1F7E2174"/>
    <w:rsid w:val="1F906AC3"/>
    <w:rsid w:val="1F925C1F"/>
    <w:rsid w:val="1F986C6B"/>
    <w:rsid w:val="1F9C1D5B"/>
    <w:rsid w:val="1FA616CA"/>
    <w:rsid w:val="1FA83694"/>
    <w:rsid w:val="1FAB4F33"/>
    <w:rsid w:val="1FB43DE7"/>
    <w:rsid w:val="1FB82B0F"/>
    <w:rsid w:val="1FBD5480"/>
    <w:rsid w:val="1FBF3DAB"/>
    <w:rsid w:val="1FC57DA2"/>
    <w:rsid w:val="1FC73179"/>
    <w:rsid w:val="1FCD4EA9"/>
    <w:rsid w:val="1FCE0A74"/>
    <w:rsid w:val="1FD14111"/>
    <w:rsid w:val="1FD72769"/>
    <w:rsid w:val="1FDC564F"/>
    <w:rsid w:val="1FE7539E"/>
    <w:rsid w:val="1FEA5A5B"/>
    <w:rsid w:val="1FEC1E8F"/>
    <w:rsid w:val="1FEF4E1F"/>
    <w:rsid w:val="1FF22B62"/>
    <w:rsid w:val="1FF70178"/>
    <w:rsid w:val="1FF73CD4"/>
    <w:rsid w:val="1FFB1928"/>
    <w:rsid w:val="200143C1"/>
    <w:rsid w:val="20087C8F"/>
    <w:rsid w:val="200B777F"/>
    <w:rsid w:val="200F101E"/>
    <w:rsid w:val="200F54C2"/>
    <w:rsid w:val="20102174"/>
    <w:rsid w:val="20112FE8"/>
    <w:rsid w:val="201725C8"/>
    <w:rsid w:val="20174D7D"/>
    <w:rsid w:val="201B5C14"/>
    <w:rsid w:val="201E1010"/>
    <w:rsid w:val="201E5705"/>
    <w:rsid w:val="20254CE5"/>
    <w:rsid w:val="202D3637"/>
    <w:rsid w:val="20304A05"/>
    <w:rsid w:val="203171E6"/>
    <w:rsid w:val="2035608B"/>
    <w:rsid w:val="20361304"/>
    <w:rsid w:val="203805B3"/>
    <w:rsid w:val="204038CD"/>
    <w:rsid w:val="20485E60"/>
    <w:rsid w:val="20511636"/>
    <w:rsid w:val="20562EBF"/>
    <w:rsid w:val="20601879"/>
    <w:rsid w:val="206104AB"/>
    <w:rsid w:val="20625AE6"/>
    <w:rsid w:val="20665761"/>
    <w:rsid w:val="206661A3"/>
    <w:rsid w:val="20671BE0"/>
    <w:rsid w:val="206770AC"/>
    <w:rsid w:val="20682625"/>
    <w:rsid w:val="206D7BD6"/>
    <w:rsid w:val="20765541"/>
    <w:rsid w:val="208F040C"/>
    <w:rsid w:val="20915ED7"/>
    <w:rsid w:val="20947775"/>
    <w:rsid w:val="20963CB8"/>
    <w:rsid w:val="209A67D6"/>
    <w:rsid w:val="209B0B03"/>
    <w:rsid w:val="209D2ACD"/>
    <w:rsid w:val="209E3FA3"/>
    <w:rsid w:val="20A81A1B"/>
    <w:rsid w:val="20A976C4"/>
    <w:rsid w:val="20AD0A3C"/>
    <w:rsid w:val="20B07FB6"/>
    <w:rsid w:val="20B53D8C"/>
    <w:rsid w:val="20B646FB"/>
    <w:rsid w:val="20BA2413"/>
    <w:rsid w:val="20BF5AA4"/>
    <w:rsid w:val="20C01CFC"/>
    <w:rsid w:val="20C22534"/>
    <w:rsid w:val="20C279F7"/>
    <w:rsid w:val="20C77B4A"/>
    <w:rsid w:val="20CB68DC"/>
    <w:rsid w:val="20CC33B3"/>
    <w:rsid w:val="20CC5F0A"/>
    <w:rsid w:val="20CE0ED9"/>
    <w:rsid w:val="20D30AF2"/>
    <w:rsid w:val="20D56D75"/>
    <w:rsid w:val="20D67D8D"/>
    <w:rsid w:val="20DF30E6"/>
    <w:rsid w:val="20E00C0C"/>
    <w:rsid w:val="20ED20DF"/>
    <w:rsid w:val="20EF0E4F"/>
    <w:rsid w:val="20F00473"/>
    <w:rsid w:val="20F9067E"/>
    <w:rsid w:val="20FA5AB6"/>
    <w:rsid w:val="20FB77F4"/>
    <w:rsid w:val="21030097"/>
    <w:rsid w:val="2107263D"/>
    <w:rsid w:val="210769FB"/>
    <w:rsid w:val="210F3FE9"/>
    <w:rsid w:val="2112345C"/>
    <w:rsid w:val="211262ED"/>
    <w:rsid w:val="2113605E"/>
    <w:rsid w:val="21150E6D"/>
    <w:rsid w:val="211663DC"/>
    <w:rsid w:val="21186F74"/>
    <w:rsid w:val="211F7986"/>
    <w:rsid w:val="212263A4"/>
    <w:rsid w:val="212678E0"/>
    <w:rsid w:val="212C7C17"/>
    <w:rsid w:val="212D6F54"/>
    <w:rsid w:val="2130769E"/>
    <w:rsid w:val="21354AB4"/>
    <w:rsid w:val="213B74B1"/>
    <w:rsid w:val="213C1917"/>
    <w:rsid w:val="213F1C3D"/>
    <w:rsid w:val="213F6C51"/>
    <w:rsid w:val="214007BA"/>
    <w:rsid w:val="21414DE3"/>
    <w:rsid w:val="21423675"/>
    <w:rsid w:val="215018EE"/>
    <w:rsid w:val="21562C7C"/>
    <w:rsid w:val="215772C1"/>
    <w:rsid w:val="21584C46"/>
    <w:rsid w:val="215A2310"/>
    <w:rsid w:val="215D768B"/>
    <w:rsid w:val="216D4A20"/>
    <w:rsid w:val="216E1E94"/>
    <w:rsid w:val="21723F5A"/>
    <w:rsid w:val="21731A80"/>
    <w:rsid w:val="217771F7"/>
    <w:rsid w:val="217A4BBD"/>
    <w:rsid w:val="217C26E3"/>
    <w:rsid w:val="217C6C4C"/>
    <w:rsid w:val="2186530F"/>
    <w:rsid w:val="21867BCC"/>
    <w:rsid w:val="21894E00"/>
    <w:rsid w:val="218D2B42"/>
    <w:rsid w:val="21902632"/>
    <w:rsid w:val="21964FBA"/>
    <w:rsid w:val="2198641B"/>
    <w:rsid w:val="219D08AB"/>
    <w:rsid w:val="219D2C92"/>
    <w:rsid w:val="21A25EC1"/>
    <w:rsid w:val="21A734D8"/>
    <w:rsid w:val="21A84BD4"/>
    <w:rsid w:val="21A8713A"/>
    <w:rsid w:val="21A954A2"/>
    <w:rsid w:val="21AF72D1"/>
    <w:rsid w:val="21B208BE"/>
    <w:rsid w:val="21B53E47"/>
    <w:rsid w:val="21B71ED5"/>
    <w:rsid w:val="21BA1CD2"/>
    <w:rsid w:val="21BE719F"/>
    <w:rsid w:val="21C04125"/>
    <w:rsid w:val="21D249F9"/>
    <w:rsid w:val="21D610A3"/>
    <w:rsid w:val="21D73DBD"/>
    <w:rsid w:val="21DC7625"/>
    <w:rsid w:val="21DE318A"/>
    <w:rsid w:val="21E5472C"/>
    <w:rsid w:val="21EF55AB"/>
    <w:rsid w:val="21EF5B80"/>
    <w:rsid w:val="21F02E07"/>
    <w:rsid w:val="21F26EE5"/>
    <w:rsid w:val="21FD1DAD"/>
    <w:rsid w:val="22032E04"/>
    <w:rsid w:val="22042688"/>
    <w:rsid w:val="220742E6"/>
    <w:rsid w:val="220F3557"/>
    <w:rsid w:val="22145011"/>
    <w:rsid w:val="22162B37"/>
    <w:rsid w:val="222A4D23"/>
    <w:rsid w:val="222B5EB7"/>
    <w:rsid w:val="22316A32"/>
    <w:rsid w:val="223236E9"/>
    <w:rsid w:val="2234120F"/>
    <w:rsid w:val="22361F30"/>
    <w:rsid w:val="223C00C4"/>
    <w:rsid w:val="223C39BA"/>
    <w:rsid w:val="22486A69"/>
    <w:rsid w:val="2249740C"/>
    <w:rsid w:val="224C4C48"/>
    <w:rsid w:val="224F429B"/>
    <w:rsid w:val="22513B9B"/>
    <w:rsid w:val="22553C2E"/>
    <w:rsid w:val="22576990"/>
    <w:rsid w:val="225A62F8"/>
    <w:rsid w:val="225E44DE"/>
    <w:rsid w:val="22617B2B"/>
    <w:rsid w:val="226A2E83"/>
    <w:rsid w:val="226D64CF"/>
    <w:rsid w:val="226F0499"/>
    <w:rsid w:val="22803731"/>
    <w:rsid w:val="22806203"/>
    <w:rsid w:val="22814ABB"/>
    <w:rsid w:val="22833F45"/>
    <w:rsid w:val="22903A0E"/>
    <w:rsid w:val="22A243CB"/>
    <w:rsid w:val="22A719E1"/>
    <w:rsid w:val="22AB4DEA"/>
    <w:rsid w:val="22B055DC"/>
    <w:rsid w:val="22BF26D4"/>
    <w:rsid w:val="22C00CF5"/>
    <w:rsid w:val="22C04851"/>
    <w:rsid w:val="22C5630B"/>
    <w:rsid w:val="22D8603F"/>
    <w:rsid w:val="22DA21F5"/>
    <w:rsid w:val="22E00434"/>
    <w:rsid w:val="22EA5B1F"/>
    <w:rsid w:val="22EC6DCC"/>
    <w:rsid w:val="22F15352"/>
    <w:rsid w:val="22F455A3"/>
    <w:rsid w:val="22F47480"/>
    <w:rsid w:val="22F66958"/>
    <w:rsid w:val="22F8048F"/>
    <w:rsid w:val="22F84732"/>
    <w:rsid w:val="22FD5AA5"/>
    <w:rsid w:val="23103A2A"/>
    <w:rsid w:val="231D1CA3"/>
    <w:rsid w:val="231D28C9"/>
    <w:rsid w:val="2322375E"/>
    <w:rsid w:val="2322550C"/>
    <w:rsid w:val="232313A6"/>
    <w:rsid w:val="23250B58"/>
    <w:rsid w:val="23272B22"/>
    <w:rsid w:val="2329689A"/>
    <w:rsid w:val="232A43C0"/>
    <w:rsid w:val="232B323E"/>
    <w:rsid w:val="232E3EB1"/>
    <w:rsid w:val="23452FA8"/>
    <w:rsid w:val="23494ECF"/>
    <w:rsid w:val="234B235B"/>
    <w:rsid w:val="234C07DB"/>
    <w:rsid w:val="234F56DB"/>
    <w:rsid w:val="235F050E"/>
    <w:rsid w:val="235F3CE9"/>
    <w:rsid w:val="23614286"/>
    <w:rsid w:val="236E69A3"/>
    <w:rsid w:val="23713D9D"/>
    <w:rsid w:val="23760A55"/>
    <w:rsid w:val="2376432F"/>
    <w:rsid w:val="237A0EA4"/>
    <w:rsid w:val="237B2E16"/>
    <w:rsid w:val="237F295E"/>
    <w:rsid w:val="23887F96"/>
    <w:rsid w:val="238D507B"/>
    <w:rsid w:val="238E5B20"/>
    <w:rsid w:val="238F22A9"/>
    <w:rsid w:val="238F343A"/>
    <w:rsid w:val="23902475"/>
    <w:rsid w:val="239432C7"/>
    <w:rsid w:val="23955CDE"/>
    <w:rsid w:val="23957A8C"/>
    <w:rsid w:val="23987286"/>
    <w:rsid w:val="23997852"/>
    <w:rsid w:val="239E037C"/>
    <w:rsid w:val="23A10B26"/>
    <w:rsid w:val="23A423C5"/>
    <w:rsid w:val="23A47C26"/>
    <w:rsid w:val="23AC7F56"/>
    <w:rsid w:val="23AE0B4E"/>
    <w:rsid w:val="23B07E0C"/>
    <w:rsid w:val="23B24756"/>
    <w:rsid w:val="23B51EDC"/>
    <w:rsid w:val="23B96153"/>
    <w:rsid w:val="23BF7B2A"/>
    <w:rsid w:val="23C02C18"/>
    <w:rsid w:val="23C14D25"/>
    <w:rsid w:val="23C623BF"/>
    <w:rsid w:val="23C70504"/>
    <w:rsid w:val="23CB16FF"/>
    <w:rsid w:val="23D23F80"/>
    <w:rsid w:val="23D762F6"/>
    <w:rsid w:val="23DE1C48"/>
    <w:rsid w:val="23E746D1"/>
    <w:rsid w:val="23EE53EE"/>
    <w:rsid w:val="23F8626D"/>
    <w:rsid w:val="240210CD"/>
    <w:rsid w:val="240D3AC6"/>
    <w:rsid w:val="240F73B9"/>
    <w:rsid w:val="24134E54"/>
    <w:rsid w:val="24172B97"/>
    <w:rsid w:val="24194B61"/>
    <w:rsid w:val="24212E47"/>
    <w:rsid w:val="242552B4"/>
    <w:rsid w:val="2426102C"/>
    <w:rsid w:val="24341478"/>
    <w:rsid w:val="24361E02"/>
    <w:rsid w:val="245071DF"/>
    <w:rsid w:val="24521E21"/>
    <w:rsid w:val="2452597D"/>
    <w:rsid w:val="245711E5"/>
    <w:rsid w:val="245E07C6"/>
    <w:rsid w:val="245E4322"/>
    <w:rsid w:val="2460183D"/>
    <w:rsid w:val="24612064"/>
    <w:rsid w:val="24651B54"/>
    <w:rsid w:val="24653902"/>
    <w:rsid w:val="246758CC"/>
    <w:rsid w:val="246E29A5"/>
    <w:rsid w:val="246F7F36"/>
    <w:rsid w:val="248024EA"/>
    <w:rsid w:val="248144B4"/>
    <w:rsid w:val="24816262"/>
    <w:rsid w:val="24822706"/>
    <w:rsid w:val="2485696F"/>
    <w:rsid w:val="248661B5"/>
    <w:rsid w:val="248A3369"/>
    <w:rsid w:val="248B7CD0"/>
    <w:rsid w:val="248D5F2E"/>
    <w:rsid w:val="249441E7"/>
    <w:rsid w:val="24973CD7"/>
    <w:rsid w:val="24992D39"/>
    <w:rsid w:val="24997A50"/>
    <w:rsid w:val="249D7540"/>
    <w:rsid w:val="24A205E2"/>
    <w:rsid w:val="24A614DE"/>
    <w:rsid w:val="24A63957"/>
    <w:rsid w:val="24A81A41"/>
    <w:rsid w:val="24A82CBA"/>
    <w:rsid w:val="24AF7273"/>
    <w:rsid w:val="24B35C75"/>
    <w:rsid w:val="24BF09F7"/>
    <w:rsid w:val="24C06D8A"/>
    <w:rsid w:val="24C60045"/>
    <w:rsid w:val="24C8034D"/>
    <w:rsid w:val="24D146B3"/>
    <w:rsid w:val="24D32F62"/>
    <w:rsid w:val="24E07603"/>
    <w:rsid w:val="24E16D01"/>
    <w:rsid w:val="24EC0600"/>
    <w:rsid w:val="24EC4023"/>
    <w:rsid w:val="24ED56A6"/>
    <w:rsid w:val="24ED6295"/>
    <w:rsid w:val="24EE1B49"/>
    <w:rsid w:val="24EE7D9B"/>
    <w:rsid w:val="24EF7670"/>
    <w:rsid w:val="24F1187F"/>
    <w:rsid w:val="24FC40EF"/>
    <w:rsid w:val="24FF3D57"/>
    <w:rsid w:val="2503311B"/>
    <w:rsid w:val="2504136D"/>
    <w:rsid w:val="250550E5"/>
    <w:rsid w:val="250B6D40"/>
    <w:rsid w:val="25115342"/>
    <w:rsid w:val="251F40F9"/>
    <w:rsid w:val="25207407"/>
    <w:rsid w:val="252217F3"/>
    <w:rsid w:val="252D53FE"/>
    <w:rsid w:val="252D7E52"/>
    <w:rsid w:val="253357AE"/>
    <w:rsid w:val="25423449"/>
    <w:rsid w:val="25423C43"/>
    <w:rsid w:val="254479BB"/>
    <w:rsid w:val="25535E50"/>
    <w:rsid w:val="25546BA5"/>
    <w:rsid w:val="2557740C"/>
    <w:rsid w:val="255B1070"/>
    <w:rsid w:val="25613EAC"/>
    <w:rsid w:val="256736AA"/>
    <w:rsid w:val="256D423B"/>
    <w:rsid w:val="257225F5"/>
    <w:rsid w:val="2573204F"/>
    <w:rsid w:val="25826736"/>
    <w:rsid w:val="258277C2"/>
    <w:rsid w:val="25875AFA"/>
    <w:rsid w:val="258B383C"/>
    <w:rsid w:val="258C1362"/>
    <w:rsid w:val="258C3110"/>
    <w:rsid w:val="25900E53"/>
    <w:rsid w:val="25920B1C"/>
    <w:rsid w:val="25950217"/>
    <w:rsid w:val="259D531E"/>
    <w:rsid w:val="259F2E44"/>
    <w:rsid w:val="25A20B86"/>
    <w:rsid w:val="25A23A66"/>
    <w:rsid w:val="25A641D2"/>
    <w:rsid w:val="25AB7A3A"/>
    <w:rsid w:val="25AC5561"/>
    <w:rsid w:val="25AC730F"/>
    <w:rsid w:val="25B05051"/>
    <w:rsid w:val="25B06DFF"/>
    <w:rsid w:val="25B83F05"/>
    <w:rsid w:val="25BA0C9E"/>
    <w:rsid w:val="25C03186"/>
    <w:rsid w:val="25C32FD6"/>
    <w:rsid w:val="25C64874"/>
    <w:rsid w:val="25D03C0B"/>
    <w:rsid w:val="25D7082F"/>
    <w:rsid w:val="25D86A57"/>
    <w:rsid w:val="25E12698"/>
    <w:rsid w:val="25E20F82"/>
    <w:rsid w:val="25E46AA9"/>
    <w:rsid w:val="25E802D7"/>
    <w:rsid w:val="25EC2D81"/>
    <w:rsid w:val="25EF228A"/>
    <w:rsid w:val="25F144D0"/>
    <w:rsid w:val="25FC2044"/>
    <w:rsid w:val="25FF1B34"/>
    <w:rsid w:val="261C4494"/>
    <w:rsid w:val="261F3F85"/>
    <w:rsid w:val="26217CFD"/>
    <w:rsid w:val="26297825"/>
    <w:rsid w:val="262E1F56"/>
    <w:rsid w:val="2636171F"/>
    <w:rsid w:val="26391D8F"/>
    <w:rsid w:val="263B67B6"/>
    <w:rsid w:val="26526108"/>
    <w:rsid w:val="265504D1"/>
    <w:rsid w:val="2668592C"/>
    <w:rsid w:val="266A16A4"/>
    <w:rsid w:val="266B24A0"/>
    <w:rsid w:val="266C303E"/>
    <w:rsid w:val="26722306"/>
    <w:rsid w:val="267D46D7"/>
    <w:rsid w:val="26822D5C"/>
    <w:rsid w:val="26832765"/>
    <w:rsid w:val="26881B2A"/>
    <w:rsid w:val="268C2C23"/>
    <w:rsid w:val="268F69D3"/>
    <w:rsid w:val="269B7AAF"/>
    <w:rsid w:val="269C7383"/>
    <w:rsid w:val="26A5092E"/>
    <w:rsid w:val="26A5448A"/>
    <w:rsid w:val="26A73613"/>
    <w:rsid w:val="26A840C1"/>
    <w:rsid w:val="26AD333E"/>
    <w:rsid w:val="26B11081"/>
    <w:rsid w:val="26B91CE3"/>
    <w:rsid w:val="26BB5A5B"/>
    <w:rsid w:val="26BC7A25"/>
    <w:rsid w:val="26BE379D"/>
    <w:rsid w:val="26C07516"/>
    <w:rsid w:val="26C41924"/>
    <w:rsid w:val="26C568DA"/>
    <w:rsid w:val="26C86119"/>
    <w:rsid w:val="26CB6BF8"/>
    <w:rsid w:val="26CC5EBA"/>
    <w:rsid w:val="26CC7C68"/>
    <w:rsid w:val="26CE2F65"/>
    <w:rsid w:val="26D20FF7"/>
    <w:rsid w:val="26D7660D"/>
    <w:rsid w:val="26D9216F"/>
    <w:rsid w:val="26DE22CE"/>
    <w:rsid w:val="26E36D60"/>
    <w:rsid w:val="26E75939"/>
    <w:rsid w:val="26E93FA3"/>
    <w:rsid w:val="26EB1705"/>
    <w:rsid w:val="26ED11C8"/>
    <w:rsid w:val="26F61189"/>
    <w:rsid w:val="26F64CE5"/>
    <w:rsid w:val="26FE003E"/>
    <w:rsid w:val="26FE1F5C"/>
    <w:rsid w:val="26FE3B9A"/>
    <w:rsid w:val="27007912"/>
    <w:rsid w:val="27051CAA"/>
    <w:rsid w:val="27096BC8"/>
    <w:rsid w:val="270B5F28"/>
    <w:rsid w:val="270B65FE"/>
    <w:rsid w:val="270C62B7"/>
    <w:rsid w:val="270E195B"/>
    <w:rsid w:val="27117D71"/>
    <w:rsid w:val="27165388"/>
    <w:rsid w:val="271B6840"/>
    <w:rsid w:val="27247AA4"/>
    <w:rsid w:val="272563B7"/>
    <w:rsid w:val="272A11D3"/>
    <w:rsid w:val="272C03B2"/>
    <w:rsid w:val="27313F6F"/>
    <w:rsid w:val="273238A5"/>
    <w:rsid w:val="27354955"/>
    <w:rsid w:val="273677D8"/>
    <w:rsid w:val="27374912"/>
    <w:rsid w:val="273B6B9C"/>
    <w:rsid w:val="27402404"/>
    <w:rsid w:val="274211CB"/>
    <w:rsid w:val="2742617D"/>
    <w:rsid w:val="27457A1B"/>
    <w:rsid w:val="27554102"/>
    <w:rsid w:val="275B0FEC"/>
    <w:rsid w:val="276334B2"/>
    <w:rsid w:val="27693709"/>
    <w:rsid w:val="277057A2"/>
    <w:rsid w:val="277327DA"/>
    <w:rsid w:val="277A5916"/>
    <w:rsid w:val="27807D96"/>
    <w:rsid w:val="27814EF7"/>
    <w:rsid w:val="278927AE"/>
    <w:rsid w:val="278F2A80"/>
    <w:rsid w:val="27906EE8"/>
    <w:rsid w:val="27910EB2"/>
    <w:rsid w:val="27932534"/>
    <w:rsid w:val="279369D8"/>
    <w:rsid w:val="279462AC"/>
    <w:rsid w:val="279D33B3"/>
    <w:rsid w:val="279D5271"/>
    <w:rsid w:val="279F35CF"/>
    <w:rsid w:val="27A24E6D"/>
    <w:rsid w:val="27AC1848"/>
    <w:rsid w:val="27AC6324"/>
    <w:rsid w:val="27AD7087"/>
    <w:rsid w:val="27AE5E80"/>
    <w:rsid w:val="27B41158"/>
    <w:rsid w:val="27B64475"/>
    <w:rsid w:val="27BD3A55"/>
    <w:rsid w:val="27BD5470"/>
    <w:rsid w:val="27BD5803"/>
    <w:rsid w:val="27C2106B"/>
    <w:rsid w:val="27C46B92"/>
    <w:rsid w:val="27C70430"/>
    <w:rsid w:val="27CF54F0"/>
    <w:rsid w:val="27D05536"/>
    <w:rsid w:val="27EF6D82"/>
    <w:rsid w:val="27F82CDF"/>
    <w:rsid w:val="28096C9A"/>
    <w:rsid w:val="281151DA"/>
    <w:rsid w:val="2814263E"/>
    <w:rsid w:val="281A0EA7"/>
    <w:rsid w:val="281F2148"/>
    <w:rsid w:val="28221B0A"/>
    <w:rsid w:val="28277120"/>
    <w:rsid w:val="282B4E63"/>
    <w:rsid w:val="282F32ED"/>
    <w:rsid w:val="283C798F"/>
    <w:rsid w:val="284877C3"/>
    <w:rsid w:val="284B2E0F"/>
    <w:rsid w:val="28517ABB"/>
    <w:rsid w:val="28580458"/>
    <w:rsid w:val="285E1492"/>
    <w:rsid w:val="28676A4F"/>
    <w:rsid w:val="28681C13"/>
    <w:rsid w:val="286F1B1C"/>
    <w:rsid w:val="287740D0"/>
    <w:rsid w:val="2879797C"/>
    <w:rsid w:val="287A36F4"/>
    <w:rsid w:val="28801FE8"/>
    <w:rsid w:val="28893937"/>
    <w:rsid w:val="288B6363"/>
    <w:rsid w:val="2890116A"/>
    <w:rsid w:val="28940C5A"/>
    <w:rsid w:val="289A51D2"/>
    <w:rsid w:val="289B5D70"/>
    <w:rsid w:val="289C366A"/>
    <w:rsid w:val="289F315B"/>
    <w:rsid w:val="28A1747B"/>
    <w:rsid w:val="28A8551B"/>
    <w:rsid w:val="28BA16D6"/>
    <w:rsid w:val="28BC503F"/>
    <w:rsid w:val="28BE7A85"/>
    <w:rsid w:val="28BF0948"/>
    <w:rsid w:val="28C716BC"/>
    <w:rsid w:val="28CB21A2"/>
    <w:rsid w:val="28CD5F1A"/>
    <w:rsid w:val="28D3378E"/>
    <w:rsid w:val="28D63020"/>
    <w:rsid w:val="28E75A13"/>
    <w:rsid w:val="28E84B02"/>
    <w:rsid w:val="28EA2628"/>
    <w:rsid w:val="28ED036A"/>
    <w:rsid w:val="28F46B87"/>
    <w:rsid w:val="28FB65E3"/>
    <w:rsid w:val="28FC5319"/>
    <w:rsid w:val="28FD5E5B"/>
    <w:rsid w:val="2900009D"/>
    <w:rsid w:val="29003BF9"/>
    <w:rsid w:val="29145B4B"/>
    <w:rsid w:val="291E6775"/>
    <w:rsid w:val="29206EB8"/>
    <w:rsid w:val="29220E0A"/>
    <w:rsid w:val="29242A1C"/>
    <w:rsid w:val="292813A2"/>
    <w:rsid w:val="29297A99"/>
    <w:rsid w:val="292C0E92"/>
    <w:rsid w:val="292C49EE"/>
    <w:rsid w:val="29310257"/>
    <w:rsid w:val="29445A87"/>
    <w:rsid w:val="29455AB0"/>
    <w:rsid w:val="295000C0"/>
    <w:rsid w:val="29542197"/>
    <w:rsid w:val="295464C2"/>
    <w:rsid w:val="29565B6D"/>
    <w:rsid w:val="29595666"/>
    <w:rsid w:val="29600B3C"/>
    <w:rsid w:val="29650ADB"/>
    <w:rsid w:val="29673C78"/>
    <w:rsid w:val="297168A5"/>
    <w:rsid w:val="29736AC1"/>
    <w:rsid w:val="29750226"/>
    <w:rsid w:val="297866ED"/>
    <w:rsid w:val="297C3C21"/>
    <w:rsid w:val="29874881"/>
    <w:rsid w:val="29910CF5"/>
    <w:rsid w:val="299762DC"/>
    <w:rsid w:val="299802D6"/>
    <w:rsid w:val="299A22A0"/>
    <w:rsid w:val="299C31FE"/>
    <w:rsid w:val="299D71D5"/>
    <w:rsid w:val="29A24CB1"/>
    <w:rsid w:val="29A7676B"/>
    <w:rsid w:val="29AF561F"/>
    <w:rsid w:val="29B03871"/>
    <w:rsid w:val="29B64C00"/>
    <w:rsid w:val="29BA649E"/>
    <w:rsid w:val="29C21847"/>
    <w:rsid w:val="29C52923"/>
    <w:rsid w:val="29C5361A"/>
    <w:rsid w:val="29C554FD"/>
    <w:rsid w:val="29C55A1E"/>
    <w:rsid w:val="29C73D0E"/>
    <w:rsid w:val="29CA4207"/>
    <w:rsid w:val="29CC7F7F"/>
    <w:rsid w:val="29CE019B"/>
    <w:rsid w:val="29CE74E7"/>
    <w:rsid w:val="29DF4157"/>
    <w:rsid w:val="29E07E09"/>
    <w:rsid w:val="29E277A3"/>
    <w:rsid w:val="29E31C2B"/>
    <w:rsid w:val="29E325E0"/>
    <w:rsid w:val="29E7300B"/>
    <w:rsid w:val="29EA442F"/>
    <w:rsid w:val="29F13D32"/>
    <w:rsid w:val="2A006359"/>
    <w:rsid w:val="2A03455E"/>
    <w:rsid w:val="2A0B066F"/>
    <w:rsid w:val="2A0E67EA"/>
    <w:rsid w:val="2A135BAE"/>
    <w:rsid w:val="2A1536D4"/>
    <w:rsid w:val="2A1B5CDA"/>
    <w:rsid w:val="2A1E27BC"/>
    <w:rsid w:val="2A21557C"/>
    <w:rsid w:val="2A2B5CA6"/>
    <w:rsid w:val="2A2D4EC2"/>
    <w:rsid w:val="2A306760"/>
    <w:rsid w:val="2A351FC9"/>
    <w:rsid w:val="2A3F1839"/>
    <w:rsid w:val="2A44220C"/>
    <w:rsid w:val="2A452503"/>
    <w:rsid w:val="2A473AAA"/>
    <w:rsid w:val="2A4915D0"/>
    <w:rsid w:val="2A5341FD"/>
    <w:rsid w:val="2A5979A0"/>
    <w:rsid w:val="2A614B6C"/>
    <w:rsid w:val="2A647DD0"/>
    <w:rsid w:val="2A681F45"/>
    <w:rsid w:val="2A68414C"/>
    <w:rsid w:val="2A691C72"/>
    <w:rsid w:val="2A6B7798"/>
    <w:rsid w:val="2A7217AB"/>
    <w:rsid w:val="2A7228D5"/>
    <w:rsid w:val="2A73664D"/>
    <w:rsid w:val="2A7376FC"/>
    <w:rsid w:val="2A742AF1"/>
    <w:rsid w:val="2A7C03CA"/>
    <w:rsid w:val="2A7F27ED"/>
    <w:rsid w:val="2A7F2CDE"/>
    <w:rsid w:val="2A88659C"/>
    <w:rsid w:val="2A8B7E3A"/>
    <w:rsid w:val="2A9071FF"/>
    <w:rsid w:val="2A9211C9"/>
    <w:rsid w:val="2A922F77"/>
    <w:rsid w:val="2A9B1D9A"/>
    <w:rsid w:val="2A9B7114"/>
    <w:rsid w:val="2AA37589"/>
    <w:rsid w:val="2AA408FD"/>
    <w:rsid w:val="2AA655DF"/>
    <w:rsid w:val="2AA66A22"/>
    <w:rsid w:val="2AA77572"/>
    <w:rsid w:val="2AAC5EAF"/>
    <w:rsid w:val="2AAE4D1A"/>
    <w:rsid w:val="2AB47391"/>
    <w:rsid w:val="2AB949A8"/>
    <w:rsid w:val="2AB96538"/>
    <w:rsid w:val="2ABA427C"/>
    <w:rsid w:val="2ABC1DA2"/>
    <w:rsid w:val="2ABE1C8B"/>
    <w:rsid w:val="2AC74B8A"/>
    <w:rsid w:val="2ACB0237"/>
    <w:rsid w:val="2ACB6489"/>
    <w:rsid w:val="2AD00736"/>
    <w:rsid w:val="2AD07052"/>
    <w:rsid w:val="2AD152A2"/>
    <w:rsid w:val="2AD45D29"/>
    <w:rsid w:val="2AD62479"/>
    <w:rsid w:val="2AD76BDC"/>
    <w:rsid w:val="2ADA66CC"/>
    <w:rsid w:val="2ADB2B70"/>
    <w:rsid w:val="2ADF3CE2"/>
    <w:rsid w:val="2AE13EFE"/>
    <w:rsid w:val="2AE5754B"/>
    <w:rsid w:val="2AEB08D9"/>
    <w:rsid w:val="2AED3710"/>
    <w:rsid w:val="2AF23A16"/>
    <w:rsid w:val="2AF43C32"/>
    <w:rsid w:val="2AF4778E"/>
    <w:rsid w:val="2AF7592B"/>
    <w:rsid w:val="2AF7636C"/>
    <w:rsid w:val="2AFE4227"/>
    <w:rsid w:val="2AFF35A8"/>
    <w:rsid w:val="2B02634F"/>
    <w:rsid w:val="2B050B4A"/>
    <w:rsid w:val="2B0A0FC0"/>
    <w:rsid w:val="2B1020EE"/>
    <w:rsid w:val="2B261911"/>
    <w:rsid w:val="2B287437"/>
    <w:rsid w:val="2B30421D"/>
    <w:rsid w:val="2B3265D2"/>
    <w:rsid w:val="2B381D70"/>
    <w:rsid w:val="2B383241"/>
    <w:rsid w:val="2B3B716B"/>
    <w:rsid w:val="2B3C2EE3"/>
    <w:rsid w:val="2B432555"/>
    <w:rsid w:val="2B45448D"/>
    <w:rsid w:val="2B486052"/>
    <w:rsid w:val="2B4E4339"/>
    <w:rsid w:val="2B54647E"/>
    <w:rsid w:val="2B59624A"/>
    <w:rsid w:val="2B604E23"/>
    <w:rsid w:val="2B657023"/>
    <w:rsid w:val="2B670E49"/>
    <w:rsid w:val="2B6761B2"/>
    <w:rsid w:val="2B6A5E5D"/>
    <w:rsid w:val="2B726905"/>
    <w:rsid w:val="2B7803BF"/>
    <w:rsid w:val="2B7D59D5"/>
    <w:rsid w:val="2B8C1E7D"/>
    <w:rsid w:val="2B8C79C6"/>
    <w:rsid w:val="2B8C7D56"/>
    <w:rsid w:val="2B8E36FC"/>
    <w:rsid w:val="2B996587"/>
    <w:rsid w:val="2B9B3029"/>
    <w:rsid w:val="2B9E594C"/>
    <w:rsid w:val="2BA5214F"/>
    <w:rsid w:val="2BA52AAD"/>
    <w:rsid w:val="2BA70CA4"/>
    <w:rsid w:val="2BA936A8"/>
    <w:rsid w:val="2BA9559E"/>
    <w:rsid w:val="2BAA609E"/>
    <w:rsid w:val="2BAC056D"/>
    <w:rsid w:val="2BB138D1"/>
    <w:rsid w:val="2BB4047B"/>
    <w:rsid w:val="2BB45838"/>
    <w:rsid w:val="2BB948D5"/>
    <w:rsid w:val="2BC453B2"/>
    <w:rsid w:val="2BCD0048"/>
    <w:rsid w:val="2BCE6231"/>
    <w:rsid w:val="2BCF1785"/>
    <w:rsid w:val="2BD42E91"/>
    <w:rsid w:val="2BD54053"/>
    <w:rsid w:val="2BDD0222"/>
    <w:rsid w:val="2BDD46C6"/>
    <w:rsid w:val="2BDE30F0"/>
    <w:rsid w:val="2BE710A1"/>
    <w:rsid w:val="2BEA293F"/>
    <w:rsid w:val="2BEA56D2"/>
    <w:rsid w:val="2BEE0681"/>
    <w:rsid w:val="2BF16CA3"/>
    <w:rsid w:val="2BF3579D"/>
    <w:rsid w:val="2BF462F7"/>
    <w:rsid w:val="2BFC02D1"/>
    <w:rsid w:val="2BFC0FF0"/>
    <w:rsid w:val="2C063C1D"/>
    <w:rsid w:val="2C0A7596"/>
    <w:rsid w:val="2C0B2FE1"/>
    <w:rsid w:val="2C106849"/>
    <w:rsid w:val="2C13673D"/>
    <w:rsid w:val="2C1856FE"/>
    <w:rsid w:val="2C1A76C8"/>
    <w:rsid w:val="2C1D0F66"/>
    <w:rsid w:val="2C1E3C6A"/>
    <w:rsid w:val="2C216C4A"/>
    <w:rsid w:val="2C2736A5"/>
    <w:rsid w:val="2C2B3683"/>
    <w:rsid w:val="2C2C11A9"/>
    <w:rsid w:val="2C315A5A"/>
    <w:rsid w:val="2C3A328B"/>
    <w:rsid w:val="2C3B112F"/>
    <w:rsid w:val="2C3B13EC"/>
    <w:rsid w:val="2C3E1BDD"/>
    <w:rsid w:val="2C4A0180"/>
    <w:rsid w:val="2C4B1C25"/>
    <w:rsid w:val="2C55425C"/>
    <w:rsid w:val="2C576226"/>
    <w:rsid w:val="2C5C383D"/>
    <w:rsid w:val="2C5E74DA"/>
    <w:rsid w:val="2C66290D"/>
    <w:rsid w:val="2C6775BE"/>
    <w:rsid w:val="2C683709"/>
    <w:rsid w:val="2C6B3A80"/>
    <w:rsid w:val="2C6D4E03"/>
    <w:rsid w:val="2C715B5A"/>
    <w:rsid w:val="2C721C1E"/>
    <w:rsid w:val="2C72792B"/>
    <w:rsid w:val="2C7566AC"/>
    <w:rsid w:val="2C770676"/>
    <w:rsid w:val="2C771052"/>
    <w:rsid w:val="2C78619D"/>
    <w:rsid w:val="2C804246"/>
    <w:rsid w:val="2C834431"/>
    <w:rsid w:val="2C8B4122"/>
    <w:rsid w:val="2C9A4978"/>
    <w:rsid w:val="2C9A4BC8"/>
    <w:rsid w:val="2CA52D7B"/>
    <w:rsid w:val="2CAD056F"/>
    <w:rsid w:val="2CB01DDA"/>
    <w:rsid w:val="2CB06CA8"/>
    <w:rsid w:val="2CB5192D"/>
    <w:rsid w:val="2CBA4A07"/>
    <w:rsid w:val="2CC91DB2"/>
    <w:rsid w:val="2CCB722B"/>
    <w:rsid w:val="2CCF6239"/>
    <w:rsid w:val="2CD00D5F"/>
    <w:rsid w:val="2CD51841"/>
    <w:rsid w:val="2CD6384B"/>
    <w:rsid w:val="2CD71115"/>
    <w:rsid w:val="2CD8457F"/>
    <w:rsid w:val="2CDA2B35"/>
    <w:rsid w:val="2CDF37FE"/>
    <w:rsid w:val="2CDF7FCA"/>
    <w:rsid w:val="2CE02702"/>
    <w:rsid w:val="2CE33F5E"/>
    <w:rsid w:val="2CE51A84"/>
    <w:rsid w:val="2CE5527B"/>
    <w:rsid w:val="2CE81574"/>
    <w:rsid w:val="2CF560B4"/>
    <w:rsid w:val="2CFB12A7"/>
    <w:rsid w:val="2CFE0053"/>
    <w:rsid w:val="2D020AE2"/>
    <w:rsid w:val="2D067C4C"/>
    <w:rsid w:val="2D07285C"/>
    <w:rsid w:val="2D0E4090"/>
    <w:rsid w:val="2D0F4D53"/>
    <w:rsid w:val="2D116D15"/>
    <w:rsid w:val="2D144117"/>
    <w:rsid w:val="2D1F6CCF"/>
    <w:rsid w:val="2D221CE8"/>
    <w:rsid w:val="2D3070C6"/>
    <w:rsid w:val="2D355E3C"/>
    <w:rsid w:val="2D3617F0"/>
    <w:rsid w:val="2D4010AF"/>
    <w:rsid w:val="2D426ED6"/>
    <w:rsid w:val="2D474A07"/>
    <w:rsid w:val="2D4A18E7"/>
    <w:rsid w:val="2D504B9E"/>
    <w:rsid w:val="2D597D7C"/>
    <w:rsid w:val="2D5D6575"/>
    <w:rsid w:val="2D621327"/>
    <w:rsid w:val="2D746964"/>
    <w:rsid w:val="2D764930"/>
    <w:rsid w:val="2D780CA9"/>
    <w:rsid w:val="2D7B5F44"/>
    <w:rsid w:val="2D7E77E3"/>
    <w:rsid w:val="2D88240F"/>
    <w:rsid w:val="2D8D21DF"/>
    <w:rsid w:val="2D945258"/>
    <w:rsid w:val="2D9D410D"/>
    <w:rsid w:val="2D9E56F5"/>
    <w:rsid w:val="2DA51213"/>
    <w:rsid w:val="2DA70645"/>
    <w:rsid w:val="2DAC4350"/>
    <w:rsid w:val="2DAD1E76"/>
    <w:rsid w:val="2DAF2092"/>
    <w:rsid w:val="2DB33A06"/>
    <w:rsid w:val="2DB651CE"/>
    <w:rsid w:val="2DB9081B"/>
    <w:rsid w:val="2DBB2B93"/>
    <w:rsid w:val="2DC12C0B"/>
    <w:rsid w:val="2DC41CF0"/>
    <w:rsid w:val="2DC60DB1"/>
    <w:rsid w:val="2DD438A6"/>
    <w:rsid w:val="2DDA6B1D"/>
    <w:rsid w:val="2DDD6BFF"/>
    <w:rsid w:val="2DEA30CA"/>
    <w:rsid w:val="2DEA5B9A"/>
    <w:rsid w:val="2DEC6E42"/>
    <w:rsid w:val="2DEF06E0"/>
    <w:rsid w:val="2DF34DBC"/>
    <w:rsid w:val="2DF83A39"/>
    <w:rsid w:val="2DF94ED2"/>
    <w:rsid w:val="2E00644A"/>
    <w:rsid w:val="2E15574D"/>
    <w:rsid w:val="2E156399"/>
    <w:rsid w:val="2E166456"/>
    <w:rsid w:val="2E1D6FFC"/>
    <w:rsid w:val="2E1F0FC6"/>
    <w:rsid w:val="2E24038A"/>
    <w:rsid w:val="2E25064B"/>
    <w:rsid w:val="2E261C16"/>
    <w:rsid w:val="2E2F6D2F"/>
    <w:rsid w:val="2E3031D3"/>
    <w:rsid w:val="2E305065"/>
    <w:rsid w:val="2E48282B"/>
    <w:rsid w:val="2E497DF1"/>
    <w:rsid w:val="2E544143"/>
    <w:rsid w:val="2E631149"/>
    <w:rsid w:val="2E6469D8"/>
    <w:rsid w:val="2E667F96"/>
    <w:rsid w:val="2E6932C2"/>
    <w:rsid w:val="2E6A3C6B"/>
    <w:rsid w:val="2E6D6B17"/>
    <w:rsid w:val="2E6D7F83"/>
    <w:rsid w:val="2E6E02D1"/>
    <w:rsid w:val="2E76670C"/>
    <w:rsid w:val="2E7B108D"/>
    <w:rsid w:val="2E8226AB"/>
    <w:rsid w:val="2E8D60F4"/>
    <w:rsid w:val="2E8E1647"/>
    <w:rsid w:val="2E905A1F"/>
    <w:rsid w:val="2E933762"/>
    <w:rsid w:val="2E9574DA"/>
    <w:rsid w:val="2E980D78"/>
    <w:rsid w:val="2EA81CB8"/>
    <w:rsid w:val="2EA93DFB"/>
    <w:rsid w:val="2EAF7625"/>
    <w:rsid w:val="2EB45BB2"/>
    <w:rsid w:val="2EB85D4C"/>
    <w:rsid w:val="2EBC700B"/>
    <w:rsid w:val="2EC701BE"/>
    <w:rsid w:val="2ECB4CA9"/>
    <w:rsid w:val="2ECD0A22"/>
    <w:rsid w:val="2ED40002"/>
    <w:rsid w:val="2ED81174"/>
    <w:rsid w:val="2ED973C6"/>
    <w:rsid w:val="2EE1627B"/>
    <w:rsid w:val="2EE24644"/>
    <w:rsid w:val="2EEB534C"/>
    <w:rsid w:val="2EEE2746"/>
    <w:rsid w:val="2EF91817"/>
    <w:rsid w:val="2EFB6E53"/>
    <w:rsid w:val="2EFE6E2D"/>
    <w:rsid w:val="2F013082"/>
    <w:rsid w:val="2F045D38"/>
    <w:rsid w:val="2F0D52C2"/>
    <w:rsid w:val="2F124686"/>
    <w:rsid w:val="2F194CF3"/>
    <w:rsid w:val="2F1B20C2"/>
    <w:rsid w:val="2F1F0594"/>
    <w:rsid w:val="2F261EE0"/>
    <w:rsid w:val="2F26688E"/>
    <w:rsid w:val="2F3B1E2F"/>
    <w:rsid w:val="2F3C1703"/>
    <w:rsid w:val="2F3E2418"/>
    <w:rsid w:val="2F3F2FA2"/>
    <w:rsid w:val="2F412617"/>
    <w:rsid w:val="2F416D1A"/>
    <w:rsid w:val="2F454A5C"/>
    <w:rsid w:val="2F4D3910"/>
    <w:rsid w:val="2F4F7689"/>
    <w:rsid w:val="2F503401"/>
    <w:rsid w:val="2F527179"/>
    <w:rsid w:val="2F601896"/>
    <w:rsid w:val="2F603644"/>
    <w:rsid w:val="2F6B3945"/>
    <w:rsid w:val="2F70016D"/>
    <w:rsid w:val="2F703021"/>
    <w:rsid w:val="2F7331CF"/>
    <w:rsid w:val="2F744D4E"/>
    <w:rsid w:val="2F803CE6"/>
    <w:rsid w:val="2F827F6C"/>
    <w:rsid w:val="2F9257C7"/>
    <w:rsid w:val="2F926EBA"/>
    <w:rsid w:val="2F94167A"/>
    <w:rsid w:val="2F9822A3"/>
    <w:rsid w:val="2F9B28CE"/>
    <w:rsid w:val="2F9C3A9C"/>
    <w:rsid w:val="2FA06136"/>
    <w:rsid w:val="2FA47DC2"/>
    <w:rsid w:val="2FA61769"/>
    <w:rsid w:val="2FAD0853"/>
    <w:rsid w:val="2FAE6957"/>
    <w:rsid w:val="2FAF1ED5"/>
    <w:rsid w:val="2FB219C5"/>
    <w:rsid w:val="2FB91C09"/>
    <w:rsid w:val="2FB91D6A"/>
    <w:rsid w:val="2FBC0251"/>
    <w:rsid w:val="2FBE1408"/>
    <w:rsid w:val="2FC17E5A"/>
    <w:rsid w:val="2FD065E6"/>
    <w:rsid w:val="2FD302BA"/>
    <w:rsid w:val="2FD72080"/>
    <w:rsid w:val="2FD858D0"/>
    <w:rsid w:val="2FD96870"/>
    <w:rsid w:val="2FDB0F1C"/>
    <w:rsid w:val="2FDB4E21"/>
    <w:rsid w:val="2FE92CA8"/>
    <w:rsid w:val="2FEA73B1"/>
    <w:rsid w:val="2FEE6EA1"/>
    <w:rsid w:val="2FF41FDE"/>
    <w:rsid w:val="2FF80C51"/>
    <w:rsid w:val="30055F99"/>
    <w:rsid w:val="30064097"/>
    <w:rsid w:val="3006424D"/>
    <w:rsid w:val="300E4257"/>
    <w:rsid w:val="300E502E"/>
    <w:rsid w:val="300F1EE7"/>
    <w:rsid w:val="30134B5A"/>
    <w:rsid w:val="30143F92"/>
    <w:rsid w:val="301B507F"/>
    <w:rsid w:val="30204B81"/>
    <w:rsid w:val="302A3C52"/>
    <w:rsid w:val="302F1268"/>
    <w:rsid w:val="3031330E"/>
    <w:rsid w:val="30314FE0"/>
    <w:rsid w:val="30343BBD"/>
    <w:rsid w:val="30395C43"/>
    <w:rsid w:val="303F6897"/>
    <w:rsid w:val="30453BCB"/>
    <w:rsid w:val="3047431F"/>
    <w:rsid w:val="304A7E50"/>
    <w:rsid w:val="304E0112"/>
    <w:rsid w:val="30536D05"/>
    <w:rsid w:val="305370E5"/>
    <w:rsid w:val="30545AD2"/>
    <w:rsid w:val="30564A47"/>
    <w:rsid w:val="30580BC9"/>
    <w:rsid w:val="305B7FDF"/>
    <w:rsid w:val="305D6C11"/>
    <w:rsid w:val="30627EB2"/>
    <w:rsid w:val="306476DE"/>
    <w:rsid w:val="30675BBA"/>
    <w:rsid w:val="30677802"/>
    <w:rsid w:val="307032EF"/>
    <w:rsid w:val="307229AC"/>
    <w:rsid w:val="307373A7"/>
    <w:rsid w:val="3075353C"/>
    <w:rsid w:val="3075518C"/>
    <w:rsid w:val="30774DC9"/>
    <w:rsid w:val="307750E9"/>
    <w:rsid w:val="307B4D26"/>
    <w:rsid w:val="307F5D4C"/>
    <w:rsid w:val="30801AC4"/>
    <w:rsid w:val="30881645"/>
    <w:rsid w:val="30896CDD"/>
    <w:rsid w:val="308E4DD3"/>
    <w:rsid w:val="30901D07"/>
    <w:rsid w:val="309317F7"/>
    <w:rsid w:val="309335A5"/>
    <w:rsid w:val="30964F3A"/>
    <w:rsid w:val="309A0DD7"/>
    <w:rsid w:val="309B06AC"/>
    <w:rsid w:val="30AB410F"/>
    <w:rsid w:val="30B01EF0"/>
    <w:rsid w:val="30B579BF"/>
    <w:rsid w:val="30BC6FA0"/>
    <w:rsid w:val="30C145B6"/>
    <w:rsid w:val="30C3032E"/>
    <w:rsid w:val="30C65728"/>
    <w:rsid w:val="30C76D1C"/>
    <w:rsid w:val="30C96FC7"/>
    <w:rsid w:val="30D31113"/>
    <w:rsid w:val="30D342E9"/>
    <w:rsid w:val="30D37E45"/>
    <w:rsid w:val="30D6554C"/>
    <w:rsid w:val="30DE7102"/>
    <w:rsid w:val="30E65DCB"/>
    <w:rsid w:val="30E738F1"/>
    <w:rsid w:val="30ED7159"/>
    <w:rsid w:val="30EE2ED1"/>
    <w:rsid w:val="30F229C1"/>
    <w:rsid w:val="30F46739"/>
    <w:rsid w:val="30F57F76"/>
    <w:rsid w:val="3102072B"/>
    <w:rsid w:val="3103697D"/>
    <w:rsid w:val="31052FA1"/>
    <w:rsid w:val="31083F93"/>
    <w:rsid w:val="310D15A9"/>
    <w:rsid w:val="310F550E"/>
    <w:rsid w:val="311E2ED7"/>
    <w:rsid w:val="311F12DD"/>
    <w:rsid w:val="31254328"/>
    <w:rsid w:val="31271F3F"/>
    <w:rsid w:val="31272204"/>
    <w:rsid w:val="312F620E"/>
    <w:rsid w:val="31305298"/>
    <w:rsid w:val="313661D4"/>
    <w:rsid w:val="31375793"/>
    <w:rsid w:val="313854CF"/>
    <w:rsid w:val="3139239E"/>
    <w:rsid w:val="31455663"/>
    <w:rsid w:val="314825E1"/>
    <w:rsid w:val="314E52DC"/>
    <w:rsid w:val="314F3970"/>
    <w:rsid w:val="31550A3E"/>
    <w:rsid w:val="315619EE"/>
    <w:rsid w:val="315C449C"/>
    <w:rsid w:val="316078CF"/>
    <w:rsid w:val="316136A3"/>
    <w:rsid w:val="31623972"/>
    <w:rsid w:val="316D180B"/>
    <w:rsid w:val="31741628"/>
    <w:rsid w:val="31772EC7"/>
    <w:rsid w:val="317B29B7"/>
    <w:rsid w:val="317E045D"/>
    <w:rsid w:val="317E6003"/>
    <w:rsid w:val="317F1D7B"/>
    <w:rsid w:val="317F3B29"/>
    <w:rsid w:val="3181001F"/>
    <w:rsid w:val="31837ABD"/>
    <w:rsid w:val="318A0E4C"/>
    <w:rsid w:val="318B1C70"/>
    <w:rsid w:val="31905D36"/>
    <w:rsid w:val="319F5F79"/>
    <w:rsid w:val="31A31F0E"/>
    <w:rsid w:val="31A57A34"/>
    <w:rsid w:val="31AD4B3A"/>
    <w:rsid w:val="31B25CAD"/>
    <w:rsid w:val="31B82709"/>
    <w:rsid w:val="31BB6A0B"/>
    <w:rsid w:val="31BC2B22"/>
    <w:rsid w:val="31BC6B2B"/>
    <w:rsid w:val="31C94406"/>
    <w:rsid w:val="31D05482"/>
    <w:rsid w:val="31D13B19"/>
    <w:rsid w:val="31D16A7B"/>
    <w:rsid w:val="31D66757"/>
    <w:rsid w:val="31D976DD"/>
    <w:rsid w:val="31E0281A"/>
    <w:rsid w:val="31F345DE"/>
    <w:rsid w:val="3203475A"/>
    <w:rsid w:val="32036508"/>
    <w:rsid w:val="32052280"/>
    <w:rsid w:val="320A398D"/>
    <w:rsid w:val="32116E77"/>
    <w:rsid w:val="321203BC"/>
    <w:rsid w:val="32130E41"/>
    <w:rsid w:val="32170A33"/>
    <w:rsid w:val="32283022"/>
    <w:rsid w:val="323639D7"/>
    <w:rsid w:val="323D4DDE"/>
    <w:rsid w:val="32400B34"/>
    <w:rsid w:val="32414601"/>
    <w:rsid w:val="324223A0"/>
    <w:rsid w:val="32490943"/>
    <w:rsid w:val="324A2ACB"/>
    <w:rsid w:val="324C4353"/>
    <w:rsid w:val="324C6101"/>
    <w:rsid w:val="324E7E72"/>
    <w:rsid w:val="3251196A"/>
    <w:rsid w:val="325154C6"/>
    <w:rsid w:val="32534AFB"/>
    <w:rsid w:val="325B094B"/>
    <w:rsid w:val="32601BAD"/>
    <w:rsid w:val="326132B3"/>
    <w:rsid w:val="32677044"/>
    <w:rsid w:val="32696CB3"/>
    <w:rsid w:val="326E2F65"/>
    <w:rsid w:val="326E7E26"/>
    <w:rsid w:val="327E4F11"/>
    <w:rsid w:val="3282371F"/>
    <w:rsid w:val="32843FFE"/>
    <w:rsid w:val="32852EE6"/>
    <w:rsid w:val="32891103"/>
    <w:rsid w:val="328A4FE6"/>
    <w:rsid w:val="328F5FEE"/>
    <w:rsid w:val="3291620A"/>
    <w:rsid w:val="32917FB8"/>
    <w:rsid w:val="32947DB7"/>
    <w:rsid w:val="329E6876"/>
    <w:rsid w:val="32A27B35"/>
    <w:rsid w:val="32A55811"/>
    <w:rsid w:val="32AC4DF2"/>
    <w:rsid w:val="32AD2A6D"/>
    <w:rsid w:val="32B1171B"/>
    <w:rsid w:val="32B32634"/>
    <w:rsid w:val="32BB6DE3"/>
    <w:rsid w:val="32BF01BA"/>
    <w:rsid w:val="32BF0681"/>
    <w:rsid w:val="32C12DE0"/>
    <w:rsid w:val="32C36DD3"/>
    <w:rsid w:val="32CE2FBA"/>
    <w:rsid w:val="32CE4D68"/>
    <w:rsid w:val="32D61E6F"/>
    <w:rsid w:val="32E102A8"/>
    <w:rsid w:val="32E427DE"/>
    <w:rsid w:val="32F3657D"/>
    <w:rsid w:val="32F522F5"/>
    <w:rsid w:val="32FB0BBF"/>
    <w:rsid w:val="32FD564D"/>
    <w:rsid w:val="33013EE5"/>
    <w:rsid w:val="330B7D6A"/>
    <w:rsid w:val="331108DD"/>
    <w:rsid w:val="331756AB"/>
    <w:rsid w:val="33194D5C"/>
    <w:rsid w:val="331F4173"/>
    <w:rsid w:val="332B55F7"/>
    <w:rsid w:val="333015F2"/>
    <w:rsid w:val="33364265"/>
    <w:rsid w:val="333764C7"/>
    <w:rsid w:val="333D0CF3"/>
    <w:rsid w:val="33423060"/>
    <w:rsid w:val="33435756"/>
    <w:rsid w:val="334358FC"/>
    <w:rsid w:val="3344502A"/>
    <w:rsid w:val="334B6320"/>
    <w:rsid w:val="335041A4"/>
    <w:rsid w:val="33574CDF"/>
    <w:rsid w:val="335F1E64"/>
    <w:rsid w:val="33633282"/>
    <w:rsid w:val="336F70E4"/>
    <w:rsid w:val="3371728B"/>
    <w:rsid w:val="337D1A76"/>
    <w:rsid w:val="337F55A9"/>
    <w:rsid w:val="33813B89"/>
    <w:rsid w:val="33835B53"/>
    <w:rsid w:val="33866A55"/>
    <w:rsid w:val="33883169"/>
    <w:rsid w:val="33892BD5"/>
    <w:rsid w:val="338B2C59"/>
    <w:rsid w:val="338E62A6"/>
    <w:rsid w:val="3392223A"/>
    <w:rsid w:val="33945FB2"/>
    <w:rsid w:val="33A378C3"/>
    <w:rsid w:val="33A87367"/>
    <w:rsid w:val="33A930DF"/>
    <w:rsid w:val="33AA7BD5"/>
    <w:rsid w:val="33AB3863"/>
    <w:rsid w:val="33B0446E"/>
    <w:rsid w:val="33B4018B"/>
    <w:rsid w:val="33B94D9D"/>
    <w:rsid w:val="33BE6B8B"/>
    <w:rsid w:val="33BF2903"/>
    <w:rsid w:val="33C20667"/>
    <w:rsid w:val="33C57F19"/>
    <w:rsid w:val="33D15C38"/>
    <w:rsid w:val="33D3159C"/>
    <w:rsid w:val="33D62126"/>
    <w:rsid w:val="33D70F04"/>
    <w:rsid w:val="33D934D4"/>
    <w:rsid w:val="33DE547F"/>
    <w:rsid w:val="33DE722D"/>
    <w:rsid w:val="33E32A95"/>
    <w:rsid w:val="33E365F1"/>
    <w:rsid w:val="33E517A7"/>
    <w:rsid w:val="33EB36F8"/>
    <w:rsid w:val="33F151B2"/>
    <w:rsid w:val="33F20F2A"/>
    <w:rsid w:val="33F24A86"/>
    <w:rsid w:val="33F407FF"/>
    <w:rsid w:val="33FE2F6A"/>
    <w:rsid w:val="34086058"/>
    <w:rsid w:val="340B05C3"/>
    <w:rsid w:val="340D18C0"/>
    <w:rsid w:val="340D25AE"/>
    <w:rsid w:val="340E07E5"/>
    <w:rsid w:val="34120C85"/>
    <w:rsid w:val="34157DC8"/>
    <w:rsid w:val="341D1C31"/>
    <w:rsid w:val="341D5FA7"/>
    <w:rsid w:val="341D7D55"/>
    <w:rsid w:val="341E37BE"/>
    <w:rsid w:val="34235BF7"/>
    <w:rsid w:val="342509B8"/>
    <w:rsid w:val="34272E4C"/>
    <w:rsid w:val="34285A1D"/>
    <w:rsid w:val="342A2472"/>
    <w:rsid w:val="342F7A89"/>
    <w:rsid w:val="343155AF"/>
    <w:rsid w:val="34321327"/>
    <w:rsid w:val="343337E7"/>
    <w:rsid w:val="34337579"/>
    <w:rsid w:val="343706EB"/>
    <w:rsid w:val="343E1A7A"/>
    <w:rsid w:val="343E7CCC"/>
    <w:rsid w:val="34452E08"/>
    <w:rsid w:val="344A041F"/>
    <w:rsid w:val="344A6670"/>
    <w:rsid w:val="345117AD"/>
    <w:rsid w:val="34565A0F"/>
    <w:rsid w:val="34574ACF"/>
    <w:rsid w:val="34574FF0"/>
    <w:rsid w:val="345968B4"/>
    <w:rsid w:val="345A00D0"/>
    <w:rsid w:val="345E415B"/>
    <w:rsid w:val="346040E6"/>
    <w:rsid w:val="3465020F"/>
    <w:rsid w:val="346A0AC1"/>
    <w:rsid w:val="346A6596"/>
    <w:rsid w:val="346D3359"/>
    <w:rsid w:val="347100A1"/>
    <w:rsid w:val="34733E19"/>
    <w:rsid w:val="347A2085"/>
    <w:rsid w:val="347B0F20"/>
    <w:rsid w:val="347F27BE"/>
    <w:rsid w:val="348320CD"/>
    <w:rsid w:val="34841945"/>
    <w:rsid w:val="34861977"/>
    <w:rsid w:val="34906F65"/>
    <w:rsid w:val="34936269"/>
    <w:rsid w:val="34943D90"/>
    <w:rsid w:val="34975C7C"/>
    <w:rsid w:val="349B7512"/>
    <w:rsid w:val="34A22009"/>
    <w:rsid w:val="34A55F9D"/>
    <w:rsid w:val="34AF257B"/>
    <w:rsid w:val="34B14942"/>
    <w:rsid w:val="34B43119"/>
    <w:rsid w:val="34B47F8E"/>
    <w:rsid w:val="34B63D06"/>
    <w:rsid w:val="34BA20A5"/>
    <w:rsid w:val="34BB756E"/>
    <w:rsid w:val="34C1522F"/>
    <w:rsid w:val="34CA155F"/>
    <w:rsid w:val="34CB76EB"/>
    <w:rsid w:val="34DA3E98"/>
    <w:rsid w:val="34DA79F4"/>
    <w:rsid w:val="34DD173F"/>
    <w:rsid w:val="34E22F20"/>
    <w:rsid w:val="34E24AFB"/>
    <w:rsid w:val="34E9358D"/>
    <w:rsid w:val="34EA0CCC"/>
    <w:rsid w:val="34EC3BCC"/>
    <w:rsid w:val="34F36D08"/>
    <w:rsid w:val="34F8770E"/>
    <w:rsid w:val="34FF745B"/>
    <w:rsid w:val="35004F81"/>
    <w:rsid w:val="350155F3"/>
    <w:rsid w:val="3502519D"/>
    <w:rsid w:val="35057B39"/>
    <w:rsid w:val="350B5E00"/>
    <w:rsid w:val="35146AF7"/>
    <w:rsid w:val="35154ED0"/>
    <w:rsid w:val="35160538"/>
    <w:rsid w:val="352C502F"/>
    <w:rsid w:val="35330F2A"/>
    <w:rsid w:val="35355F61"/>
    <w:rsid w:val="354B08F2"/>
    <w:rsid w:val="354E03E2"/>
    <w:rsid w:val="35507CB7"/>
    <w:rsid w:val="35510E8D"/>
    <w:rsid w:val="355A457F"/>
    <w:rsid w:val="355E0F40"/>
    <w:rsid w:val="355F439E"/>
    <w:rsid w:val="356279EA"/>
    <w:rsid w:val="35650039"/>
    <w:rsid w:val="356674DA"/>
    <w:rsid w:val="356B689E"/>
    <w:rsid w:val="356C1A79"/>
    <w:rsid w:val="357E0CC8"/>
    <w:rsid w:val="35802BA4"/>
    <w:rsid w:val="35843E04"/>
    <w:rsid w:val="358465DE"/>
    <w:rsid w:val="35847960"/>
    <w:rsid w:val="358C5FA8"/>
    <w:rsid w:val="358D2B89"/>
    <w:rsid w:val="35955F06"/>
    <w:rsid w:val="359F29EC"/>
    <w:rsid w:val="35A03752"/>
    <w:rsid w:val="35AA21B7"/>
    <w:rsid w:val="35B20971"/>
    <w:rsid w:val="35B9585C"/>
    <w:rsid w:val="35BE0BBF"/>
    <w:rsid w:val="35BE10C4"/>
    <w:rsid w:val="35BE55FA"/>
    <w:rsid w:val="35C15DF1"/>
    <w:rsid w:val="35C27C1F"/>
    <w:rsid w:val="35C30488"/>
    <w:rsid w:val="35C3492C"/>
    <w:rsid w:val="35C366DA"/>
    <w:rsid w:val="35C6441D"/>
    <w:rsid w:val="35C91817"/>
    <w:rsid w:val="35CA1B8F"/>
    <w:rsid w:val="35CB3C39"/>
    <w:rsid w:val="35CE0AC3"/>
    <w:rsid w:val="35CF1523"/>
    <w:rsid w:val="35D22DC1"/>
    <w:rsid w:val="35D46B3A"/>
    <w:rsid w:val="35D501BC"/>
    <w:rsid w:val="35D703D8"/>
    <w:rsid w:val="35D94B0C"/>
    <w:rsid w:val="35E0390B"/>
    <w:rsid w:val="35E121C6"/>
    <w:rsid w:val="35E434CA"/>
    <w:rsid w:val="35EB79DF"/>
    <w:rsid w:val="35F1149A"/>
    <w:rsid w:val="35F16058"/>
    <w:rsid w:val="35F77046"/>
    <w:rsid w:val="35FC2063"/>
    <w:rsid w:val="35FC5605"/>
    <w:rsid w:val="36010FB1"/>
    <w:rsid w:val="36045B33"/>
    <w:rsid w:val="36074A7F"/>
    <w:rsid w:val="36084F56"/>
    <w:rsid w:val="360A31E9"/>
    <w:rsid w:val="360C5B09"/>
    <w:rsid w:val="36130D98"/>
    <w:rsid w:val="361657CB"/>
    <w:rsid w:val="361D107D"/>
    <w:rsid w:val="36237179"/>
    <w:rsid w:val="362A0508"/>
    <w:rsid w:val="36315DEA"/>
    <w:rsid w:val="36392E40"/>
    <w:rsid w:val="363A38D0"/>
    <w:rsid w:val="36484E32"/>
    <w:rsid w:val="365437D6"/>
    <w:rsid w:val="36592B9B"/>
    <w:rsid w:val="365C6959"/>
    <w:rsid w:val="366003CD"/>
    <w:rsid w:val="36633A19"/>
    <w:rsid w:val="366559E4"/>
    <w:rsid w:val="366B28CE"/>
    <w:rsid w:val="36795CB8"/>
    <w:rsid w:val="367F4CF7"/>
    <w:rsid w:val="367F6C7D"/>
    <w:rsid w:val="3685055C"/>
    <w:rsid w:val="36915C1D"/>
    <w:rsid w:val="36923549"/>
    <w:rsid w:val="36A422C5"/>
    <w:rsid w:val="36A84DB7"/>
    <w:rsid w:val="36AA5455"/>
    <w:rsid w:val="36AC53C0"/>
    <w:rsid w:val="36AD2EE7"/>
    <w:rsid w:val="36B75FBF"/>
    <w:rsid w:val="36BA6A4F"/>
    <w:rsid w:val="36BB1AA7"/>
    <w:rsid w:val="36BD0C45"/>
    <w:rsid w:val="36BD137C"/>
    <w:rsid w:val="36C628CF"/>
    <w:rsid w:val="36C721FA"/>
    <w:rsid w:val="36C81662"/>
    <w:rsid w:val="36C841D0"/>
    <w:rsid w:val="36CA3A99"/>
    <w:rsid w:val="36CE17DB"/>
    <w:rsid w:val="36D17318"/>
    <w:rsid w:val="36D466C5"/>
    <w:rsid w:val="36D861B6"/>
    <w:rsid w:val="36DB5CA6"/>
    <w:rsid w:val="36DF72D4"/>
    <w:rsid w:val="36E032BC"/>
    <w:rsid w:val="36E03D3B"/>
    <w:rsid w:val="36E42DAC"/>
    <w:rsid w:val="36F54FB9"/>
    <w:rsid w:val="36FA25D0"/>
    <w:rsid w:val="37081803"/>
    <w:rsid w:val="370F76FD"/>
    <w:rsid w:val="37133692"/>
    <w:rsid w:val="3715770A"/>
    <w:rsid w:val="37180CA8"/>
    <w:rsid w:val="371B2546"/>
    <w:rsid w:val="37223CC5"/>
    <w:rsid w:val="37227E74"/>
    <w:rsid w:val="372413FB"/>
    <w:rsid w:val="372E14F8"/>
    <w:rsid w:val="37335AE2"/>
    <w:rsid w:val="373D070E"/>
    <w:rsid w:val="3744384B"/>
    <w:rsid w:val="3745778C"/>
    <w:rsid w:val="3747333B"/>
    <w:rsid w:val="374969AF"/>
    <w:rsid w:val="374A4272"/>
    <w:rsid w:val="374C5E8C"/>
    <w:rsid w:val="37531CE0"/>
    <w:rsid w:val="37537F32"/>
    <w:rsid w:val="375A12C0"/>
    <w:rsid w:val="376501BF"/>
    <w:rsid w:val="37695060"/>
    <w:rsid w:val="376A696C"/>
    <w:rsid w:val="377809EC"/>
    <w:rsid w:val="377F36BC"/>
    <w:rsid w:val="377F4883"/>
    <w:rsid w:val="378A0991"/>
    <w:rsid w:val="379F4F25"/>
    <w:rsid w:val="37A16AA0"/>
    <w:rsid w:val="37A442EA"/>
    <w:rsid w:val="37A60B44"/>
    <w:rsid w:val="37A662B4"/>
    <w:rsid w:val="37B160EC"/>
    <w:rsid w:val="37BC7885"/>
    <w:rsid w:val="37C3031A"/>
    <w:rsid w:val="37CA21FC"/>
    <w:rsid w:val="37CB1876"/>
    <w:rsid w:val="37CB5D1A"/>
    <w:rsid w:val="37CC0E5B"/>
    <w:rsid w:val="37D20E57"/>
    <w:rsid w:val="37D526F5"/>
    <w:rsid w:val="37D5281F"/>
    <w:rsid w:val="37D73D98"/>
    <w:rsid w:val="37D84936"/>
    <w:rsid w:val="37DE3C9F"/>
    <w:rsid w:val="37DF4EDB"/>
    <w:rsid w:val="37E00298"/>
    <w:rsid w:val="37E93BD8"/>
    <w:rsid w:val="37ED3EE3"/>
    <w:rsid w:val="37EE7A0C"/>
    <w:rsid w:val="37EF7C5B"/>
    <w:rsid w:val="380029C2"/>
    <w:rsid w:val="3801173C"/>
    <w:rsid w:val="38083F02"/>
    <w:rsid w:val="380B6117"/>
    <w:rsid w:val="381256F7"/>
    <w:rsid w:val="381946E1"/>
    <w:rsid w:val="381C47C8"/>
    <w:rsid w:val="38260110"/>
    <w:rsid w:val="382611A3"/>
    <w:rsid w:val="383218F5"/>
    <w:rsid w:val="3833592F"/>
    <w:rsid w:val="383517D5"/>
    <w:rsid w:val="38371C28"/>
    <w:rsid w:val="38397F91"/>
    <w:rsid w:val="383B0C52"/>
    <w:rsid w:val="383C5DD6"/>
    <w:rsid w:val="38431D54"/>
    <w:rsid w:val="384761DC"/>
    <w:rsid w:val="384A4E91"/>
    <w:rsid w:val="384F06F9"/>
    <w:rsid w:val="38504B4D"/>
    <w:rsid w:val="3858329B"/>
    <w:rsid w:val="385F2910"/>
    <w:rsid w:val="38660A2A"/>
    <w:rsid w:val="38673C95"/>
    <w:rsid w:val="386C12AB"/>
    <w:rsid w:val="3870241E"/>
    <w:rsid w:val="387B78CA"/>
    <w:rsid w:val="387D5F09"/>
    <w:rsid w:val="387E532F"/>
    <w:rsid w:val="387F7482"/>
    <w:rsid w:val="38883C0B"/>
    <w:rsid w:val="38896D41"/>
    <w:rsid w:val="388A34DF"/>
    <w:rsid w:val="388B5FAA"/>
    <w:rsid w:val="38951052"/>
    <w:rsid w:val="38961E84"/>
    <w:rsid w:val="38A02D03"/>
    <w:rsid w:val="38A26A7B"/>
    <w:rsid w:val="38A30A45"/>
    <w:rsid w:val="38A50A20"/>
    <w:rsid w:val="38A51E6B"/>
    <w:rsid w:val="38B302F9"/>
    <w:rsid w:val="38B51168"/>
    <w:rsid w:val="38BA00FC"/>
    <w:rsid w:val="38BB5596"/>
    <w:rsid w:val="38BC3B0C"/>
    <w:rsid w:val="38BF45C3"/>
    <w:rsid w:val="38C345DA"/>
    <w:rsid w:val="38C369F1"/>
    <w:rsid w:val="38C509BB"/>
    <w:rsid w:val="38C84008"/>
    <w:rsid w:val="38C950C6"/>
    <w:rsid w:val="38C96112"/>
    <w:rsid w:val="38D34E55"/>
    <w:rsid w:val="38D66725"/>
    <w:rsid w:val="38DB3D3B"/>
    <w:rsid w:val="38DE382B"/>
    <w:rsid w:val="38E17B53"/>
    <w:rsid w:val="38EB5C8C"/>
    <w:rsid w:val="38EE0D7F"/>
    <w:rsid w:val="38F12CD3"/>
    <w:rsid w:val="38F24C3D"/>
    <w:rsid w:val="38F67C59"/>
    <w:rsid w:val="38F716D9"/>
    <w:rsid w:val="38F94775"/>
    <w:rsid w:val="38FB43DD"/>
    <w:rsid w:val="390037A2"/>
    <w:rsid w:val="39022D2E"/>
    <w:rsid w:val="39131727"/>
    <w:rsid w:val="391D4354"/>
    <w:rsid w:val="391E1C5C"/>
    <w:rsid w:val="392456E2"/>
    <w:rsid w:val="392971ED"/>
    <w:rsid w:val="392B4CC2"/>
    <w:rsid w:val="39325651"/>
    <w:rsid w:val="39365415"/>
    <w:rsid w:val="393716BA"/>
    <w:rsid w:val="39383550"/>
    <w:rsid w:val="39395B1F"/>
    <w:rsid w:val="39396CB4"/>
    <w:rsid w:val="393B2A2C"/>
    <w:rsid w:val="393D2C48"/>
    <w:rsid w:val="393E3620"/>
    <w:rsid w:val="39470146"/>
    <w:rsid w:val="394915ED"/>
    <w:rsid w:val="3949176B"/>
    <w:rsid w:val="3949339B"/>
    <w:rsid w:val="394A2C6F"/>
    <w:rsid w:val="394F385D"/>
    <w:rsid w:val="394F72C3"/>
    <w:rsid w:val="3950297B"/>
    <w:rsid w:val="39504729"/>
    <w:rsid w:val="39570A5F"/>
    <w:rsid w:val="3957205E"/>
    <w:rsid w:val="39580D89"/>
    <w:rsid w:val="395C1320"/>
    <w:rsid w:val="39620AC0"/>
    <w:rsid w:val="397228F1"/>
    <w:rsid w:val="39730417"/>
    <w:rsid w:val="397A1DEC"/>
    <w:rsid w:val="397F6DBC"/>
    <w:rsid w:val="398126A4"/>
    <w:rsid w:val="3983693D"/>
    <w:rsid w:val="39897A4F"/>
    <w:rsid w:val="39913F0D"/>
    <w:rsid w:val="39964684"/>
    <w:rsid w:val="399E4EB5"/>
    <w:rsid w:val="39A20CFD"/>
    <w:rsid w:val="39A64751"/>
    <w:rsid w:val="39AE31FE"/>
    <w:rsid w:val="39B90520"/>
    <w:rsid w:val="39BE292C"/>
    <w:rsid w:val="39BF365D"/>
    <w:rsid w:val="39C3314D"/>
    <w:rsid w:val="39C35344"/>
    <w:rsid w:val="39C82E9B"/>
    <w:rsid w:val="39C87740"/>
    <w:rsid w:val="39C96289"/>
    <w:rsid w:val="39CB2002"/>
    <w:rsid w:val="39CB7266"/>
    <w:rsid w:val="39D10AA3"/>
    <w:rsid w:val="39D42485"/>
    <w:rsid w:val="39D76BF8"/>
    <w:rsid w:val="39DF4B39"/>
    <w:rsid w:val="39E845E8"/>
    <w:rsid w:val="39F03816"/>
    <w:rsid w:val="39F06BFD"/>
    <w:rsid w:val="39F552D0"/>
    <w:rsid w:val="39FA4695"/>
    <w:rsid w:val="39FB385B"/>
    <w:rsid w:val="3A02532C"/>
    <w:rsid w:val="3A064841"/>
    <w:rsid w:val="3A095D1D"/>
    <w:rsid w:val="3A0C4EE8"/>
    <w:rsid w:val="3A0E508B"/>
    <w:rsid w:val="3A130E7B"/>
    <w:rsid w:val="3A175247"/>
    <w:rsid w:val="3A206B79"/>
    <w:rsid w:val="3A2339BD"/>
    <w:rsid w:val="3A233BEC"/>
    <w:rsid w:val="3A290451"/>
    <w:rsid w:val="3A2B0CF2"/>
    <w:rsid w:val="3A2B484E"/>
    <w:rsid w:val="3A2D2727"/>
    <w:rsid w:val="3A2D3D16"/>
    <w:rsid w:val="3A2F2590"/>
    <w:rsid w:val="3A381DA9"/>
    <w:rsid w:val="3A3951BD"/>
    <w:rsid w:val="3A3A42BF"/>
    <w:rsid w:val="3A443B62"/>
    <w:rsid w:val="3A4818A4"/>
    <w:rsid w:val="3A4F7CC5"/>
    <w:rsid w:val="3A510ED9"/>
    <w:rsid w:val="3A535CE8"/>
    <w:rsid w:val="3A56217A"/>
    <w:rsid w:val="3A5B15D7"/>
    <w:rsid w:val="3A5B7318"/>
    <w:rsid w:val="3A5E78DD"/>
    <w:rsid w:val="3A615B47"/>
    <w:rsid w:val="3A682CC9"/>
    <w:rsid w:val="3A6A35C8"/>
    <w:rsid w:val="3A6A66A9"/>
    <w:rsid w:val="3A6B7341"/>
    <w:rsid w:val="3A7461F5"/>
    <w:rsid w:val="3A750F66"/>
    <w:rsid w:val="3A773F37"/>
    <w:rsid w:val="3A7C154E"/>
    <w:rsid w:val="3A7C32FC"/>
    <w:rsid w:val="3A7E276B"/>
    <w:rsid w:val="3A81364C"/>
    <w:rsid w:val="3A83468A"/>
    <w:rsid w:val="3A850402"/>
    <w:rsid w:val="3A8723CC"/>
    <w:rsid w:val="3A872856"/>
    <w:rsid w:val="3A873793"/>
    <w:rsid w:val="3A8D5509"/>
    <w:rsid w:val="3AB679A5"/>
    <w:rsid w:val="3AB962FE"/>
    <w:rsid w:val="3ABB2076"/>
    <w:rsid w:val="3AC727C9"/>
    <w:rsid w:val="3AC802EF"/>
    <w:rsid w:val="3ACA72AB"/>
    <w:rsid w:val="3ACA7472"/>
    <w:rsid w:val="3ACC6031"/>
    <w:rsid w:val="3ACF78CF"/>
    <w:rsid w:val="3AD81A2B"/>
    <w:rsid w:val="3ADB6274"/>
    <w:rsid w:val="3ADD1FEC"/>
    <w:rsid w:val="3ADE2A2D"/>
    <w:rsid w:val="3AE07D2F"/>
    <w:rsid w:val="3AE84BC4"/>
    <w:rsid w:val="3AF15A98"/>
    <w:rsid w:val="3AF5075A"/>
    <w:rsid w:val="3AF92B9E"/>
    <w:rsid w:val="3AFD443D"/>
    <w:rsid w:val="3B051543"/>
    <w:rsid w:val="3B0532F1"/>
    <w:rsid w:val="3B0A04B5"/>
    <w:rsid w:val="3B0C67A6"/>
    <w:rsid w:val="3B117EE8"/>
    <w:rsid w:val="3B1E53B3"/>
    <w:rsid w:val="3B2220F5"/>
    <w:rsid w:val="3B2A0FAA"/>
    <w:rsid w:val="3B2A2D58"/>
    <w:rsid w:val="3B2F65C0"/>
    <w:rsid w:val="3B331C0C"/>
    <w:rsid w:val="3B33651B"/>
    <w:rsid w:val="3B3763D1"/>
    <w:rsid w:val="3B3B4F65"/>
    <w:rsid w:val="3B3B6D13"/>
    <w:rsid w:val="3B3D6F2F"/>
    <w:rsid w:val="3B407816"/>
    <w:rsid w:val="3B41435D"/>
    <w:rsid w:val="3B4C2CCE"/>
    <w:rsid w:val="3B547DD5"/>
    <w:rsid w:val="3B585B17"/>
    <w:rsid w:val="3B5878C5"/>
    <w:rsid w:val="3B5B5607"/>
    <w:rsid w:val="3B5D312D"/>
    <w:rsid w:val="3B5F50F7"/>
    <w:rsid w:val="3B6252ED"/>
    <w:rsid w:val="3B626996"/>
    <w:rsid w:val="3B650A37"/>
    <w:rsid w:val="3B6F6D59"/>
    <w:rsid w:val="3B7010B2"/>
    <w:rsid w:val="3B702E61"/>
    <w:rsid w:val="3B781D15"/>
    <w:rsid w:val="3B7F1A97"/>
    <w:rsid w:val="3B7F4E52"/>
    <w:rsid w:val="3B8763FC"/>
    <w:rsid w:val="3B901BF1"/>
    <w:rsid w:val="3B922D1B"/>
    <w:rsid w:val="3B926F4C"/>
    <w:rsid w:val="3B965C20"/>
    <w:rsid w:val="3B9D79CE"/>
    <w:rsid w:val="3BA23236"/>
    <w:rsid w:val="3BA24D60"/>
    <w:rsid w:val="3BA252EB"/>
    <w:rsid w:val="3BA40D5C"/>
    <w:rsid w:val="3BB16FD5"/>
    <w:rsid w:val="3BB24DE0"/>
    <w:rsid w:val="3BB6283D"/>
    <w:rsid w:val="3BB865B6"/>
    <w:rsid w:val="3BBB1243"/>
    <w:rsid w:val="3BBF1F9C"/>
    <w:rsid w:val="3BC367C1"/>
    <w:rsid w:val="3BC52CFC"/>
    <w:rsid w:val="3BC66F24"/>
    <w:rsid w:val="3BCF77BE"/>
    <w:rsid w:val="3BD333EF"/>
    <w:rsid w:val="3BDC04F6"/>
    <w:rsid w:val="3BDF32AC"/>
    <w:rsid w:val="3BE15B0C"/>
    <w:rsid w:val="3BE473AB"/>
    <w:rsid w:val="3BEE0229"/>
    <w:rsid w:val="3BF3242B"/>
    <w:rsid w:val="3BF426EE"/>
    <w:rsid w:val="3BF73513"/>
    <w:rsid w:val="3BFD7118"/>
    <w:rsid w:val="3C037FDB"/>
    <w:rsid w:val="3C0417FB"/>
    <w:rsid w:val="3C095063"/>
    <w:rsid w:val="3C0D345A"/>
    <w:rsid w:val="3C0D4B53"/>
    <w:rsid w:val="3C123F18"/>
    <w:rsid w:val="3C125CC6"/>
    <w:rsid w:val="3C187054"/>
    <w:rsid w:val="3C1F03E3"/>
    <w:rsid w:val="3C1F35BD"/>
    <w:rsid w:val="3C2F6E1E"/>
    <w:rsid w:val="3C320116"/>
    <w:rsid w:val="3C330B95"/>
    <w:rsid w:val="3C330E21"/>
    <w:rsid w:val="3C367C22"/>
    <w:rsid w:val="3C37397E"/>
    <w:rsid w:val="3C3E4D0D"/>
    <w:rsid w:val="3C4F64BA"/>
    <w:rsid w:val="3C61334E"/>
    <w:rsid w:val="3C615A97"/>
    <w:rsid w:val="3C6D4187"/>
    <w:rsid w:val="3C74072E"/>
    <w:rsid w:val="3C77021F"/>
    <w:rsid w:val="3C7921E9"/>
    <w:rsid w:val="3C7A386B"/>
    <w:rsid w:val="3C7F70D3"/>
    <w:rsid w:val="3C8B21EB"/>
    <w:rsid w:val="3C8C056C"/>
    <w:rsid w:val="3C990195"/>
    <w:rsid w:val="3CA306CB"/>
    <w:rsid w:val="3CB03193"/>
    <w:rsid w:val="3CB04C67"/>
    <w:rsid w:val="3CB87B0D"/>
    <w:rsid w:val="3CBD7CBA"/>
    <w:rsid w:val="3CC1149A"/>
    <w:rsid w:val="3CC2593E"/>
    <w:rsid w:val="3CD15B81"/>
    <w:rsid w:val="3CD43540"/>
    <w:rsid w:val="3CD76F0F"/>
    <w:rsid w:val="3CD92C87"/>
    <w:rsid w:val="3CDA245A"/>
    <w:rsid w:val="3CDE029E"/>
    <w:rsid w:val="3CEC29BB"/>
    <w:rsid w:val="3CF74EBC"/>
    <w:rsid w:val="3CFB49AC"/>
    <w:rsid w:val="3CFD7833"/>
    <w:rsid w:val="3D066478"/>
    <w:rsid w:val="3D0F48FB"/>
    <w:rsid w:val="3D1171D0"/>
    <w:rsid w:val="3D13665C"/>
    <w:rsid w:val="3D1630B0"/>
    <w:rsid w:val="3D197528"/>
    <w:rsid w:val="3D1C7B5A"/>
    <w:rsid w:val="3D1E06B7"/>
    <w:rsid w:val="3D1E4803"/>
    <w:rsid w:val="3D202664"/>
    <w:rsid w:val="3D207130"/>
    <w:rsid w:val="3D273813"/>
    <w:rsid w:val="3D2C2DB7"/>
    <w:rsid w:val="3D2F0AF9"/>
    <w:rsid w:val="3D2F2780"/>
    <w:rsid w:val="3D3D3216"/>
    <w:rsid w:val="3D3E394C"/>
    <w:rsid w:val="3D404AB5"/>
    <w:rsid w:val="3D4A5933"/>
    <w:rsid w:val="3D4C3459"/>
    <w:rsid w:val="3D54230E"/>
    <w:rsid w:val="3D581DFE"/>
    <w:rsid w:val="3D5C72F2"/>
    <w:rsid w:val="3D5D5666"/>
    <w:rsid w:val="3D600CB3"/>
    <w:rsid w:val="3D69400B"/>
    <w:rsid w:val="3D6A2344"/>
    <w:rsid w:val="3D6D1752"/>
    <w:rsid w:val="3D7031B1"/>
    <w:rsid w:val="3D793B23"/>
    <w:rsid w:val="3D874491"/>
    <w:rsid w:val="3D880E3E"/>
    <w:rsid w:val="3D8B543F"/>
    <w:rsid w:val="3D8F1598"/>
    <w:rsid w:val="3D931088"/>
    <w:rsid w:val="3D9372DA"/>
    <w:rsid w:val="3D995F73"/>
    <w:rsid w:val="3DA2332F"/>
    <w:rsid w:val="3DB20C0E"/>
    <w:rsid w:val="3DB42DAD"/>
    <w:rsid w:val="3DB64D77"/>
    <w:rsid w:val="3DC406E3"/>
    <w:rsid w:val="3DCE0312"/>
    <w:rsid w:val="3DDA2813"/>
    <w:rsid w:val="3DDF3C75"/>
    <w:rsid w:val="3DE81565"/>
    <w:rsid w:val="3DED60D3"/>
    <w:rsid w:val="3DED69EA"/>
    <w:rsid w:val="3DF02037"/>
    <w:rsid w:val="3DF06A9E"/>
    <w:rsid w:val="3DF633C5"/>
    <w:rsid w:val="3E081AA2"/>
    <w:rsid w:val="3E0B50C2"/>
    <w:rsid w:val="3E15394A"/>
    <w:rsid w:val="3E1A5306"/>
    <w:rsid w:val="3E1A70B4"/>
    <w:rsid w:val="3E1B5A56"/>
    <w:rsid w:val="3E1D39DC"/>
    <w:rsid w:val="3E253286"/>
    <w:rsid w:val="3E276868"/>
    <w:rsid w:val="3E2C6DE7"/>
    <w:rsid w:val="3E2D5039"/>
    <w:rsid w:val="3E350391"/>
    <w:rsid w:val="3E35213F"/>
    <w:rsid w:val="3E3F09CE"/>
    <w:rsid w:val="3E3F4D6C"/>
    <w:rsid w:val="3E491747"/>
    <w:rsid w:val="3E4B3711"/>
    <w:rsid w:val="3E4C7D90"/>
    <w:rsid w:val="3E4D1237"/>
    <w:rsid w:val="3E5D52C7"/>
    <w:rsid w:val="3E5E1712"/>
    <w:rsid w:val="3E600908"/>
    <w:rsid w:val="3E6447D3"/>
    <w:rsid w:val="3E6622F9"/>
    <w:rsid w:val="3E6842C3"/>
    <w:rsid w:val="3E6B3DB3"/>
    <w:rsid w:val="3E72445E"/>
    <w:rsid w:val="3E732AC0"/>
    <w:rsid w:val="3E74204E"/>
    <w:rsid w:val="3E7522F8"/>
    <w:rsid w:val="3E7C1B1C"/>
    <w:rsid w:val="3E7D5205"/>
    <w:rsid w:val="3E7E2A01"/>
    <w:rsid w:val="3E8409D1"/>
    <w:rsid w:val="3E88226F"/>
    <w:rsid w:val="3E886713"/>
    <w:rsid w:val="3E89784D"/>
    <w:rsid w:val="3E8B1D5F"/>
    <w:rsid w:val="3E9C29F6"/>
    <w:rsid w:val="3EA11583"/>
    <w:rsid w:val="3EA75E83"/>
    <w:rsid w:val="3EAE3C87"/>
    <w:rsid w:val="3EAF2B6F"/>
    <w:rsid w:val="3EB77FC0"/>
    <w:rsid w:val="3EC3774B"/>
    <w:rsid w:val="3EC7548D"/>
    <w:rsid w:val="3EC815A4"/>
    <w:rsid w:val="3ECA42AC"/>
    <w:rsid w:val="3ECF4A76"/>
    <w:rsid w:val="3ED01E68"/>
    <w:rsid w:val="3ED05F39"/>
    <w:rsid w:val="3EDA0523"/>
    <w:rsid w:val="3EE31B9B"/>
    <w:rsid w:val="3EE33949"/>
    <w:rsid w:val="3EE659F9"/>
    <w:rsid w:val="3EE766E7"/>
    <w:rsid w:val="3EF76BEA"/>
    <w:rsid w:val="3F0A537A"/>
    <w:rsid w:val="3F123C7F"/>
    <w:rsid w:val="3F12702A"/>
    <w:rsid w:val="3F175700"/>
    <w:rsid w:val="3F1C64E1"/>
    <w:rsid w:val="3F1D3FB4"/>
    <w:rsid w:val="3F2E2A49"/>
    <w:rsid w:val="3F327891"/>
    <w:rsid w:val="3F381EE7"/>
    <w:rsid w:val="3F4168C2"/>
    <w:rsid w:val="3F4468B5"/>
    <w:rsid w:val="3F48599E"/>
    <w:rsid w:val="3F487C50"/>
    <w:rsid w:val="3F49160F"/>
    <w:rsid w:val="3F4D655A"/>
    <w:rsid w:val="3F5220BF"/>
    <w:rsid w:val="3F536D21"/>
    <w:rsid w:val="3F5B3E28"/>
    <w:rsid w:val="3F5B48B2"/>
    <w:rsid w:val="3F5D71D2"/>
    <w:rsid w:val="3F6251B6"/>
    <w:rsid w:val="3F67457A"/>
    <w:rsid w:val="3F6820A1"/>
    <w:rsid w:val="3F6B1EDC"/>
    <w:rsid w:val="3F6C1B91"/>
    <w:rsid w:val="3F6E3B5B"/>
    <w:rsid w:val="3F7153F9"/>
    <w:rsid w:val="3F732F1F"/>
    <w:rsid w:val="3F771B7B"/>
    <w:rsid w:val="3F7B2ECB"/>
    <w:rsid w:val="3F7E1A6B"/>
    <w:rsid w:val="3F8213B4"/>
    <w:rsid w:val="3F841B37"/>
    <w:rsid w:val="3F8526D6"/>
    <w:rsid w:val="3F893791"/>
    <w:rsid w:val="3F8F762D"/>
    <w:rsid w:val="3F9335C1"/>
    <w:rsid w:val="3F942E96"/>
    <w:rsid w:val="3F966B9F"/>
    <w:rsid w:val="3F9904AC"/>
    <w:rsid w:val="3FA01967"/>
    <w:rsid w:val="3FA02A3A"/>
    <w:rsid w:val="3FA255B3"/>
    <w:rsid w:val="3FA330D9"/>
    <w:rsid w:val="3FAA4467"/>
    <w:rsid w:val="3FAC4683"/>
    <w:rsid w:val="3FB8126D"/>
    <w:rsid w:val="3FB84DD6"/>
    <w:rsid w:val="3FBA21CE"/>
    <w:rsid w:val="3FC03AD7"/>
    <w:rsid w:val="3FC10FC0"/>
    <w:rsid w:val="3FC931AC"/>
    <w:rsid w:val="3FC96FE3"/>
    <w:rsid w:val="3FCB250F"/>
    <w:rsid w:val="3FD17C46"/>
    <w:rsid w:val="3FD458AF"/>
    <w:rsid w:val="3FD57736"/>
    <w:rsid w:val="3FD6525C"/>
    <w:rsid w:val="3FDE337B"/>
    <w:rsid w:val="3FDF6807"/>
    <w:rsid w:val="3FE45BCB"/>
    <w:rsid w:val="3FEB37A4"/>
    <w:rsid w:val="3FEB6F5A"/>
    <w:rsid w:val="3FEC0F24"/>
    <w:rsid w:val="3FED60CE"/>
    <w:rsid w:val="3FEE6A4A"/>
    <w:rsid w:val="3FF83425"/>
    <w:rsid w:val="3FF878C8"/>
    <w:rsid w:val="3FFD6C8D"/>
    <w:rsid w:val="3FFF0C57"/>
    <w:rsid w:val="40016903"/>
    <w:rsid w:val="40063D93"/>
    <w:rsid w:val="40074CB8"/>
    <w:rsid w:val="4008148F"/>
    <w:rsid w:val="400C6ED0"/>
    <w:rsid w:val="401273BC"/>
    <w:rsid w:val="401E1570"/>
    <w:rsid w:val="401E3034"/>
    <w:rsid w:val="40211AEA"/>
    <w:rsid w:val="40222DB1"/>
    <w:rsid w:val="40235DC1"/>
    <w:rsid w:val="402635B4"/>
    <w:rsid w:val="40271B91"/>
    <w:rsid w:val="40322DDA"/>
    <w:rsid w:val="403501D5"/>
    <w:rsid w:val="40387CC5"/>
    <w:rsid w:val="403E177F"/>
    <w:rsid w:val="40436D96"/>
    <w:rsid w:val="40445977"/>
    <w:rsid w:val="404472F7"/>
    <w:rsid w:val="40477F08"/>
    <w:rsid w:val="404D19C2"/>
    <w:rsid w:val="40534544"/>
    <w:rsid w:val="405A5E8D"/>
    <w:rsid w:val="405A7913"/>
    <w:rsid w:val="405B3137"/>
    <w:rsid w:val="40665513"/>
    <w:rsid w:val="406F5EBE"/>
    <w:rsid w:val="40713AD5"/>
    <w:rsid w:val="407319DA"/>
    <w:rsid w:val="40747753"/>
    <w:rsid w:val="407A6407"/>
    <w:rsid w:val="407D392A"/>
    <w:rsid w:val="408829FA"/>
    <w:rsid w:val="40905D53"/>
    <w:rsid w:val="40907B01"/>
    <w:rsid w:val="409969B6"/>
    <w:rsid w:val="409D18C8"/>
    <w:rsid w:val="40A11D0E"/>
    <w:rsid w:val="40A65C97"/>
    <w:rsid w:val="40A92971"/>
    <w:rsid w:val="40AD6D0C"/>
    <w:rsid w:val="40B82BB4"/>
    <w:rsid w:val="40BC384C"/>
    <w:rsid w:val="40BF0333"/>
    <w:rsid w:val="40C31C84"/>
    <w:rsid w:val="40C9061E"/>
    <w:rsid w:val="40DE261A"/>
    <w:rsid w:val="40E340D5"/>
    <w:rsid w:val="40E816EB"/>
    <w:rsid w:val="40EB1D66"/>
    <w:rsid w:val="40F17118"/>
    <w:rsid w:val="40F7192E"/>
    <w:rsid w:val="40FA4155"/>
    <w:rsid w:val="41013F36"/>
    <w:rsid w:val="4101455B"/>
    <w:rsid w:val="4105229D"/>
    <w:rsid w:val="410B7187"/>
    <w:rsid w:val="41110C42"/>
    <w:rsid w:val="41140C50"/>
    <w:rsid w:val="41171FD0"/>
    <w:rsid w:val="41175582"/>
    <w:rsid w:val="411918A4"/>
    <w:rsid w:val="411E6EBB"/>
    <w:rsid w:val="41257D97"/>
    <w:rsid w:val="41272213"/>
    <w:rsid w:val="412C5A7C"/>
    <w:rsid w:val="412F2417"/>
    <w:rsid w:val="41322966"/>
    <w:rsid w:val="41393CF5"/>
    <w:rsid w:val="41395CCF"/>
    <w:rsid w:val="413C4872"/>
    <w:rsid w:val="413E0CC0"/>
    <w:rsid w:val="414B62A2"/>
    <w:rsid w:val="41551521"/>
    <w:rsid w:val="415E22B7"/>
    <w:rsid w:val="41636FC4"/>
    <w:rsid w:val="4177481D"/>
    <w:rsid w:val="41774C8D"/>
    <w:rsid w:val="41782A6F"/>
    <w:rsid w:val="41792C41"/>
    <w:rsid w:val="417E0DDB"/>
    <w:rsid w:val="4186517B"/>
    <w:rsid w:val="41872CB2"/>
    <w:rsid w:val="418A23A2"/>
    <w:rsid w:val="418B7876"/>
    <w:rsid w:val="418D1221"/>
    <w:rsid w:val="418D5DEE"/>
    <w:rsid w:val="419158DF"/>
    <w:rsid w:val="41941DFC"/>
    <w:rsid w:val="41961147"/>
    <w:rsid w:val="41985B39"/>
    <w:rsid w:val="419A2B99"/>
    <w:rsid w:val="419B675D"/>
    <w:rsid w:val="419D35DB"/>
    <w:rsid w:val="41A41AB6"/>
    <w:rsid w:val="41A61D2B"/>
    <w:rsid w:val="41A73354"/>
    <w:rsid w:val="41A746B1"/>
    <w:rsid w:val="41AA69A0"/>
    <w:rsid w:val="41AF1A98"/>
    <w:rsid w:val="41AF4CFE"/>
    <w:rsid w:val="41B617E9"/>
    <w:rsid w:val="41B9630E"/>
    <w:rsid w:val="41BD2002"/>
    <w:rsid w:val="41BD66D4"/>
    <w:rsid w:val="41CB47B7"/>
    <w:rsid w:val="41CE08E1"/>
    <w:rsid w:val="41D028AB"/>
    <w:rsid w:val="41D81175"/>
    <w:rsid w:val="41DD4412"/>
    <w:rsid w:val="41E579D9"/>
    <w:rsid w:val="41E719A3"/>
    <w:rsid w:val="41EC6FB9"/>
    <w:rsid w:val="41EF2605"/>
    <w:rsid w:val="41F8770C"/>
    <w:rsid w:val="41F92C7C"/>
    <w:rsid w:val="41FB36A0"/>
    <w:rsid w:val="4200449D"/>
    <w:rsid w:val="420A03DA"/>
    <w:rsid w:val="420A5691"/>
    <w:rsid w:val="420F36BB"/>
    <w:rsid w:val="4210609D"/>
    <w:rsid w:val="421A3B26"/>
    <w:rsid w:val="421B2082"/>
    <w:rsid w:val="421B789E"/>
    <w:rsid w:val="421D2897"/>
    <w:rsid w:val="42206C63"/>
    <w:rsid w:val="42230F81"/>
    <w:rsid w:val="422538A1"/>
    <w:rsid w:val="4230503E"/>
    <w:rsid w:val="42310E70"/>
    <w:rsid w:val="42334BE8"/>
    <w:rsid w:val="42373953"/>
    <w:rsid w:val="423A3BCC"/>
    <w:rsid w:val="423B3A9C"/>
    <w:rsid w:val="424E57D2"/>
    <w:rsid w:val="425A2175"/>
    <w:rsid w:val="4269060A"/>
    <w:rsid w:val="42690F48"/>
    <w:rsid w:val="426C3594"/>
    <w:rsid w:val="426C7B8A"/>
    <w:rsid w:val="426D00FA"/>
    <w:rsid w:val="426E4CA0"/>
    <w:rsid w:val="426F7296"/>
    <w:rsid w:val="42750D5C"/>
    <w:rsid w:val="42785FB7"/>
    <w:rsid w:val="427A6373"/>
    <w:rsid w:val="427C7633"/>
    <w:rsid w:val="428C0EAD"/>
    <w:rsid w:val="428E0070"/>
    <w:rsid w:val="42925DB2"/>
    <w:rsid w:val="429733C9"/>
    <w:rsid w:val="42975177"/>
    <w:rsid w:val="42997141"/>
    <w:rsid w:val="429A3BAB"/>
    <w:rsid w:val="429B732A"/>
    <w:rsid w:val="429F402B"/>
    <w:rsid w:val="42A45AE6"/>
    <w:rsid w:val="42A81132"/>
    <w:rsid w:val="42A85E68"/>
    <w:rsid w:val="42AA319B"/>
    <w:rsid w:val="42B26C49"/>
    <w:rsid w:val="42B45D29"/>
    <w:rsid w:val="42B51AA1"/>
    <w:rsid w:val="42B5384F"/>
    <w:rsid w:val="42B850ED"/>
    <w:rsid w:val="42BA443E"/>
    <w:rsid w:val="42C27D1A"/>
    <w:rsid w:val="42CE66BF"/>
    <w:rsid w:val="42D9578F"/>
    <w:rsid w:val="42DB0B27"/>
    <w:rsid w:val="42DC702D"/>
    <w:rsid w:val="42E42C8B"/>
    <w:rsid w:val="42E67EAC"/>
    <w:rsid w:val="42EB101F"/>
    <w:rsid w:val="42ED3056"/>
    <w:rsid w:val="42F07EF8"/>
    <w:rsid w:val="42F114A1"/>
    <w:rsid w:val="42F36125"/>
    <w:rsid w:val="42F3612C"/>
    <w:rsid w:val="42F43FCB"/>
    <w:rsid w:val="43002ED1"/>
    <w:rsid w:val="4303280C"/>
    <w:rsid w:val="430622FC"/>
    <w:rsid w:val="43095949"/>
    <w:rsid w:val="430A1DED"/>
    <w:rsid w:val="431B4E6A"/>
    <w:rsid w:val="431E7646"/>
    <w:rsid w:val="43291B47"/>
    <w:rsid w:val="4332490E"/>
    <w:rsid w:val="433313B4"/>
    <w:rsid w:val="4335719B"/>
    <w:rsid w:val="43382F8C"/>
    <w:rsid w:val="43386B55"/>
    <w:rsid w:val="433A6FE6"/>
    <w:rsid w:val="433C5D1E"/>
    <w:rsid w:val="4342443C"/>
    <w:rsid w:val="43432C09"/>
    <w:rsid w:val="4346094B"/>
    <w:rsid w:val="434626F9"/>
    <w:rsid w:val="43480868"/>
    <w:rsid w:val="43495F49"/>
    <w:rsid w:val="4349650B"/>
    <w:rsid w:val="434B0725"/>
    <w:rsid w:val="434B12A1"/>
    <w:rsid w:val="4350713C"/>
    <w:rsid w:val="43515EAA"/>
    <w:rsid w:val="43571C4A"/>
    <w:rsid w:val="43604A57"/>
    <w:rsid w:val="436112E1"/>
    <w:rsid w:val="436229E0"/>
    <w:rsid w:val="43644D0C"/>
    <w:rsid w:val="43645A60"/>
    <w:rsid w:val="43652B30"/>
    <w:rsid w:val="4366330F"/>
    <w:rsid w:val="43664281"/>
    <w:rsid w:val="436653E0"/>
    <w:rsid w:val="436D5ED7"/>
    <w:rsid w:val="436F39FE"/>
    <w:rsid w:val="43747266"/>
    <w:rsid w:val="43784FA8"/>
    <w:rsid w:val="437B23A2"/>
    <w:rsid w:val="437C611B"/>
    <w:rsid w:val="438325DF"/>
    <w:rsid w:val="438A0837"/>
    <w:rsid w:val="438D657A"/>
    <w:rsid w:val="439B47F3"/>
    <w:rsid w:val="439E0787"/>
    <w:rsid w:val="439E2535"/>
    <w:rsid w:val="439F77F0"/>
    <w:rsid w:val="43A37B4B"/>
    <w:rsid w:val="43A713E9"/>
    <w:rsid w:val="43AC15BA"/>
    <w:rsid w:val="43B14016"/>
    <w:rsid w:val="43B458B4"/>
    <w:rsid w:val="43B6787E"/>
    <w:rsid w:val="43BC2FEB"/>
    <w:rsid w:val="43C4431A"/>
    <w:rsid w:val="43C75114"/>
    <w:rsid w:val="43D441A9"/>
    <w:rsid w:val="43D643BC"/>
    <w:rsid w:val="43E078CB"/>
    <w:rsid w:val="43E337F0"/>
    <w:rsid w:val="43E52ADC"/>
    <w:rsid w:val="43E72782"/>
    <w:rsid w:val="43EA0F11"/>
    <w:rsid w:val="43EC14F2"/>
    <w:rsid w:val="43EE1996"/>
    <w:rsid w:val="43F263DD"/>
    <w:rsid w:val="43F35D70"/>
    <w:rsid w:val="43F56AA3"/>
    <w:rsid w:val="44004F9E"/>
    <w:rsid w:val="44052B72"/>
    <w:rsid w:val="4406131F"/>
    <w:rsid w:val="44064FEB"/>
    <w:rsid w:val="44112D07"/>
    <w:rsid w:val="441219F8"/>
    <w:rsid w:val="442347E8"/>
    <w:rsid w:val="442C7B41"/>
    <w:rsid w:val="442E5667"/>
    <w:rsid w:val="44316F05"/>
    <w:rsid w:val="44332C7D"/>
    <w:rsid w:val="443552D4"/>
    <w:rsid w:val="443949F6"/>
    <w:rsid w:val="443C762B"/>
    <w:rsid w:val="443F1622"/>
    <w:rsid w:val="44454F51"/>
    <w:rsid w:val="444F064D"/>
    <w:rsid w:val="444F0682"/>
    <w:rsid w:val="445157F9"/>
    <w:rsid w:val="44535324"/>
    <w:rsid w:val="44545E02"/>
    <w:rsid w:val="445A46AE"/>
    <w:rsid w:val="445A645C"/>
    <w:rsid w:val="445F5EC9"/>
    <w:rsid w:val="445F601D"/>
    <w:rsid w:val="44625310"/>
    <w:rsid w:val="44627A06"/>
    <w:rsid w:val="446512D9"/>
    <w:rsid w:val="446612A5"/>
    <w:rsid w:val="446A0C2B"/>
    <w:rsid w:val="446A7659"/>
    <w:rsid w:val="446D64ED"/>
    <w:rsid w:val="447635E8"/>
    <w:rsid w:val="447D024F"/>
    <w:rsid w:val="44801C3A"/>
    <w:rsid w:val="44827761"/>
    <w:rsid w:val="4484172B"/>
    <w:rsid w:val="448434D9"/>
    <w:rsid w:val="448478FB"/>
    <w:rsid w:val="4484797D"/>
    <w:rsid w:val="44890AEF"/>
    <w:rsid w:val="448976A6"/>
    <w:rsid w:val="449851D6"/>
    <w:rsid w:val="449E7BC6"/>
    <w:rsid w:val="44A616A1"/>
    <w:rsid w:val="44A66E7D"/>
    <w:rsid w:val="44B26298"/>
    <w:rsid w:val="44B951CC"/>
    <w:rsid w:val="44BB226E"/>
    <w:rsid w:val="44BC2C73"/>
    <w:rsid w:val="44C12057"/>
    <w:rsid w:val="44C361AF"/>
    <w:rsid w:val="44C77869"/>
    <w:rsid w:val="44C85ABB"/>
    <w:rsid w:val="44CA093E"/>
    <w:rsid w:val="44CB1108"/>
    <w:rsid w:val="44CD14E0"/>
    <w:rsid w:val="44D2693A"/>
    <w:rsid w:val="44E16B7D"/>
    <w:rsid w:val="44E328F5"/>
    <w:rsid w:val="44E4041B"/>
    <w:rsid w:val="44E513B8"/>
    <w:rsid w:val="44EC107E"/>
    <w:rsid w:val="44F20B0B"/>
    <w:rsid w:val="44F3065E"/>
    <w:rsid w:val="44F52A5D"/>
    <w:rsid w:val="44F71EFD"/>
    <w:rsid w:val="44F854AA"/>
    <w:rsid w:val="44F85C75"/>
    <w:rsid w:val="44FA19ED"/>
    <w:rsid w:val="45091C30"/>
    <w:rsid w:val="450B1E4C"/>
    <w:rsid w:val="450B3BFA"/>
    <w:rsid w:val="450E235E"/>
    <w:rsid w:val="45101210"/>
    <w:rsid w:val="451A0C48"/>
    <w:rsid w:val="452151CC"/>
    <w:rsid w:val="452C0D9A"/>
    <w:rsid w:val="452D2FA2"/>
    <w:rsid w:val="452E5F4C"/>
    <w:rsid w:val="45322F35"/>
    <w:rsid w:val="45343151"/>
    <w:rsid w:val="45352A25"/>
    <w:rsid w:val="453749EF"/>
    <w:rsid w:val="45385785"/>
    <w:rsid w:val="453A55DD"/>
    <w:rsid w:val="453E6563"/>
    <w:rsid w:val="45442C68"/>
    <w:rsid w:val="45454596"/>
    <w:rsid w:val="454D103D"/>
    <w:rsid w:val="454F1D39"/>
    <w:rsid w:val="455201B5"/>
    <w:rsid w:val="4557299B"/>
    <w:rsid w:val="45575091"/>
    <w:rsid w:val="45581B00"/>
    <w:rsid w:val="455E07A9"/>
    <w:rsid w:val="455E3D2A"/>
    <w:rsid w:val="456028C7"/>
    <w:rsid w:val="45612018"/>
    <w:rsid w:val="45634690"/>
    <w:rsid w:val="456450B8"/>
    <w:rsid w:val="45667082"/>
    <w:rsid w:val="456F5F37"/>
    <w:rsid w:val="45761BFA"/>
    <w:rsid w:val="457E261E"/>
    <w:rsid w:val="4582210E"/>
    <w:rsid w:val="45886FF9"/>
    <w:rsid w:val="458946E9"/>
    <w:rsid w:val="45905890"/>
    <w:rsid w:val="45941E41"/>
    <w:rsid w:val="45992FB4"/>
    <w:rsid w:val="45A47C0E"/>
    <w:rsid w:val="45A579DC"/>
    <w:rsid w:val="45A57BAB"/>
    <w:rsid w:val="45AC6A3A"/>
    <w:rsid w:val="45AD2927"/>
    <w:rsid w:val="45B46BB4"/>
    <w:rsid w:val="45B778DE"/>
    <w:rsid w:val="45BA2812"/>
    <w:rsid w:val="45BC6CA2"/>
    <w:rsid w:val="45C049E4"/>
    <w:rsid w:val="45C43B11"/>
    <w:rsid w:val="45C625F3"/>
    <w:rsid w:val="45C856C5"/>
    <w:rsid w:val="45D3789D"/>
    <w:rsid w:val="45D40490"/>
    <w:rsid w:val="45D65FB6"/>
    <w:rsid w:val="45D97854"/>
    <w:rsid w:val="45DD5596"/>
    <w:rsid w:val="45DE30BD"/>
    <w:rsid w:val="45E0774E"/>
    <w:rsid w:val="45E22BAD"/>
    <w:rsid w:val="45EA683B"/>
    <w:rsid w:val="45EF52CA"/>
    <w:rsid w:val="45F04BDD"/>
    <w:rsid w:val="45F145F1"/>
    <w:rsid w:val="45F52C8D"/>
    <w:rsid w:val="460A3EB2"/>
    <w:rsid w:val="460B1E88"/>
    <w:rsid w:val="460C2955"/>
    <w:rsid w:val="460C415A"/>
    <w:rsid w:val="460F61D9"/>
    <w:rsid w:val="46101FCC"/>
    <w:rsid w:val="461865CE"/>
    <w:rsid w:val="461940F5"/>
    <w:rsid w:val="461A0599"/>
    <w:rsid w:val="461A6BBC"/>
    <w:rsid w:val="461C2A50"/>
    <w:rsid w:val="461E795D"/>
    <w:rsid w:val="46207231"/>
    <w:rsid w:val="46277AAC"/>
    <w:rsid w:val="463232A2"/>
    <w:rsid w:val="46333408"/>
    <w:rsid w:val="46347950"/>
    <w:rsid w:val="463B1D58"/>
    <w:rsid w:val="463E3B5B"/>
    <w:rsid w:val="4643524B"/>
    <w:rsid w:val="464473C4"/>
    <w:rsid w:val="4646138E"/>
    <w:rsid w:val="465025C4"/>
    <w:rsid w:val="46522ED9"/>
    <w:rsid w:val="46577FD6"/>
    <w:rsid w:val="465A2DAC"/>
    <w:rsid w:val="465D2233"/>
    <w:rsid w:val="46607F75"/>
    <w:rsid w:val="46696E2A"/>
    <w:rsid w:val="466C06C8"/>
    <w:rsid w:val="467138EC"/>
    <w:rsid w:val="467D0B27"/>
    <w:rsid w:val="46801D23"/>
    <w:rsid w:val="468123C6"/>
    <w:rsid w:val="46826C09"/>
    <w:rsid w:val="4685178A"/>
    <w:rsid w:val="46861DC9"/>
    <w:rsid w:val="468679DC"/>
    <w:rsid w:val="46911EDD"/>
    <w:rsid w:val="46933EA7"/>
    <w:rsid w:val="469556B5"/>
    <w:rsid w:val="469E3730"/>
    <w:rsid w:val="46A11BA1"/>
    <w:rsid w:val="46A72843"/>
    <w:rsid w:val="46AB7443"/>
    <w:rsid w:val="46B34549"/>
    <w:rsid w:val="46B75D3F"/>
    <w:rsid w:val="46BD7176"/>
    <w:rsid w:val="46C62DDF"/>
    <w:rsid w:val="46C876F1"/>
    <w:rsid w:val="46C91614"/>
    <w:rsid w:val="46C93D6D"/>
    <w:rsid w:val="46D149CF"/>
    <w:rsid w:val="46D87DFE"/>
    <w:rsid w:val="46D955A7"/>
    <w:rsid w:val="46E001D9"/>
    <w:rsid w:val="46E22739"/>
    <w:rsid w:val="46E42955"/>
    <w:rsid w:val="46E6047B"/>
    <w:rsid w:val="46EB783F"/>
    <w:rsid w:val="46ED676D"/>
    <w:rsid w:val="46EE3C09"/>
    <w:rsid w:val="46F54B62"/>
    <w:rsid w:val="46F93E9F"/>
    <w:rsid w:val="46FD57C4"/>
    <w:rsid w:val="47022DDB"/>
    <w:rsid w:val="47084895"/>
    <w:rsid w:val="470B7EE1"/>
    <w:rsid w:val="470D3C59"/>
    <w:rsid w:val="470E352E"/>
    <w:rsid w:val="47133957"/>
    <w:rsid w:val="471412E0"/>
    <w:rsid w:val="471548BC"/>
    <w:rsid w:val="47163F31"/>
    <w:rsid w:val="471825FE"/>
    <w:rsid w:val="471D19C3"/>
    <w:rsid w:val="472E3BD0"/>
    <w:rsid w:val="47305B9A"/>
    <w:rsid w:val="47370CD6"/>
    <w:rsid w:val="47394A4E"/>
    <w:rsid w:val="47433F14"/>
    <w:rsid w:val="47436E99"/>
    <w:rsid w:val="4743767B"/>
    <w:rsid w:val="474653BD"/>
    <w:rsid w:val="47482EE3"/>
    <w:rsid w:val="47490A0A"/>
    <w:rsid w:val="474927B8"/>
    <w:rsid w:val="474D04FA"/>
    <w:rsid w:val="47574ED5"/>
    <w:rsid w:val="47613FA5"/>
    <w:rsid w:val="47666BD1"/>
    <w:rsid w:val="47680EBB"/>
    <w:rsid w:val="47685334"/>
    <w:rsid w:val="476D1D47"/>
    <w:rsid w:val="476D20B2"/>
    <w:rsid w:val="47700B28"/>
    <w:rsid w:val="47727F60"/>
    <w:rsid w:val="477530F2"/>
    <w:rsid w:val="47775577"/>
    <w:rsid w:val="478432E6"/>
    <w:rsid w:val="47855EE6"/>
    <w:rsid w:val="478C7274"/>
    <w:rsid w:val="47906638"/>
    <w:rsid w:val="47916556"/>
    <w:rsid w:val="479559FD"/>
    <w:rsid w:val="4797394A"/>
    <w:rsid w:val="47983DB5"/>
    <w:rsid w:val="47A04ACD"/>
    <w:rsid w:val="47A07E0C"/>
    <w:rsid w:val="47A10846"/>
    <w:rsid w:val="47A5798A"/>
    <w:rsid w:val="47A676E4"/>
    <w:rsid w:val="47B2035D"/>
    <w:rsid w:val="47B40579"/>
    <w:rsid w:val="47B70069"/>
    <w:rsid w:val="47BC567F"/>
    <w:rsid w:val="47CD0D29"/>
    <w:rsid w:val="47CD5197"/>
    <w:rsid w:val="47CF38C5"/>
    <w:rsid w:val="47D41C9C"/>
    <w:rsid w:val="47D97FDF"/>
    <w:rsid w:val="47DA4A0F"/>
    <w:rsid w:val="47E756FB"/>
    <w:rsid w:val="47EA03B1"/>
    <w:rsid w:val="47ED5839"/>
    <w:rsid w:val="47FD3CCE"/>
    <w:rsid w:val="48007C0D"/>
    <w:rsid w:val="48026F58"/>
    <w:rsid w:val="480424E5"/>
    <w:rsid w:val="480F3A01"/>
    <w:rsid w:val="480F57AF"/>
    <w:rsid w:val="48140D6B"/>
    <w:rsid w:val="48174664"/>
    <w:rsid w:val="481C1C7A"/>
    <w:rsid w:val="481D611E"/>
    <w:rsid w:val="48233009"/>
    <w:rsid w:val="48280549"/>
    <w:rsid w:val="4828061F"/>
    <w:rsid w:val="482D3E87"/>
    <w:rsid w:val="48346666"/>
    <w:rsid w:val="48382F58"/>
    <w:rsid w:val="48391CF7"/>
    <w:rsid w:val="483B2A48"/>
    <w:rsid w:val="483D5387"/>
    <w:rsid w:val="48433C8E"/>
    <w:rsid w:val="484359B7"/>
    <w:rsid w:val="48452C89"/>
    <w:rsid w:val="484A1C3D"/>
    <w:rsid w:val="484B6D5E"/>
    <w:rsid w:val="485427D2"/>
    <w:rsid w:val="48561630"/>
    <w:rsid w:val="485667D0"/>
    <w:rsid w:val="48577BC0"/>
    <w:rsid w:val="485A695D"/>
    <w:rsid w:val="485E04E5"/>
    <w:rsid w:val="486716D5"/>
    <w:rsid w:val="486A6177"/>
    <w:rsid w:val="486C5F17"/>
    <w:rsid w:val="486E697A"/>
    <w:rsid w:val="4870272E"/>
    <w:rsid w:val="48723AE3"/>
    <w:rsid w:val="48741AB6"/>
    <w:rsid w:val="487554ED"/>
    <w:rsid w:val="487675DC"/>
    <w:rsid w:val="48873598"/>
    <w:rsid w:val="48913701"/>
    <w:rsid w:val="48914416"/>
    <w:rsid w:val="48A00AFD"/>
    <w:rsid w:val="48A56548"/>
    <w:rsid w:val="48B325DE"/>
    <w:rsid w:val="48BC68A3"/>
    <w:rsid w:val="48BD61CD"/>
    <w:rsid w:val="48C2547F"/>
    <w:rsid w:val="48CC1EAB"/>
    <w:rsid w:val="48CE799F"/>
    <w:rsid w:val="48D013E2"/>
    <w:rsid w:val="48D80297"/>
    <w:rsid w:val="48DD21D8"/>
    <w:rsid w:val="48DF5C0C"/>
    <w:rsid w:val="48F067C4"/>
    <w:rsid w:val="48FA020D"/>
    <w:rsid w:val="49030108"/>
    <w:rsid w:val="49060960"/>
    <w:rsid w:val="490B241B"/>
    <w:rsid w:val="490C7F41"/>
    <w:rsid w:val="491A265E"/>
    <w:rsid w:val="491B26D7"/>
    <w:rsid w:val="492029CB"/>
    <w:rsid w:val="49210538"/>
    <w:rsid w:val="49216DB5"/>
    <w:rsid w:val="49227202"/>
    <w:rsid w:val="492D2C82"/>
    <w:rsid w:val="492F25D6"/>
    <w:rsid w:val="492F31C0"/>
    <w:rsid w:val="49310464"/>
    <w:rsid w:val="49374F2B"/>
    <w:rsid w:val="494D47E1"/>
    <w:rsid w:val="494F4AD5"/>
    <w:rsid w:val="49574B9B"/>
    <w:rsid w:val="495769AC"/>
    <w:rsid w:val="49646CA9"/>
    <w:rsid w:val="4968161B"/>
    <w:rsid w:val="496837C2"/>
    <w:rsid w:val="49695393"/>
    <w:rsid w:val="496A3433"/>
    <w:rsid w:val="496E7CC7"/>
    <w:rsid w:val="4970243F"/>
    <w:rsid w:val="49725893"/>
    <w:rsid w:val="497B3F13"/>
    <w:rsid w:val="49886893"/>
    <w:rsid w:val="498F4DFA"/>
    <w:rsid w:val="49962188"/>
    <w:rsid w:val="49A23539"/>
    <w:rsid w:val="49A66CF3"/>
    <w:rsid w:val="49AA599F"/>
    <w:rsid w:val="49AD1724"/>
    <w:rsid w:val="49B06B1E"/>
    <w:rsid w:val="49B45B0A"/>
    <w:rsid w:val="49B96DFB"/>
    <w:rsid w:val="49BE56DF"/>
    <w:rsid w:val="49C06ACB"/>
    <w:rsid w:val="49C1153F"/>
    <w:rsid w:val="49C5081B"/>
    <w:rsid w:val="49CF169A"/>
    <w:rsid w:val="49D163A6"/>
    <w:rsid w:val="49D2118A"/>
    <w:rsid w:val="49DC7715"/>
    <w:rsid w:val="49E05655"/>
    <w:rsid w:val="49E32A4A"/>
    <w:rsid w:val="49E35145"/>
    <w:rsid w:val="49E8450A"/>
    <w:rsid w:val="49EB5DA8"/>
    <w:rsid w:val="49ED7D72"/>
    <w:rsid w:val="49EF0F03"/>
    <w:rsid w:val="49F22E5E"/>
    <w:rsid w:val="49FA2907"/>
    <w:rsid w:val="4A023139"/>
    <w:rsid w:val="4A037596"/>
    <w:rsid w:val="4A0B78D0"/>
    <w:rsid w:val="4A134860"/>
    <w:rsid w:val="4A195DA7"/>
    <w:rsid w:val="4A1E3FBA"/>
    <w:rsid w:val="4A2512BA"/>
    <w:rsid w:val="4A291463"/>
    <w:rsid w:val="4A325785"/>
    <w:rsid w:val="4A354385"/>
    <w:rsid w:val="4A3634C7"/>
    <w:rsid w:val="4A370FED"/>
    <w:rsid w:val="4A463ED2"/>
    <w:rsid w:val="4A4C0E65"/>
    <w:rsid w:val="4A534608"/>
    <w:rsid w:val="4A593617"/>
    <w:rsid w:val="4A5B4CDC"/>
    <w:rsid w:val="4A6313CC"/>
    <w:rsid w:val="4A633B90"/>
    <w:rsid w:val="4A6A13C3"/>
    <w:rsid w:val="4A6A6E0E"/>
    <w:rsid w:val="4A702D6F"/>
    <w:rsid w:val="4A71599D"/>
    <w:rsid w:val="4A767D68"/>
    <w:rsid w:val="4A767F31"/>
    <w:rsid w:val="4A7B576F"/>
    <w:rsid w:val="4A7D7A8D"/>
    <w:rsid w:val="4A8136EB"/>
    <w:rsid w:val="4A8204BA"/>
    <w:rsid w:val="4A830E92"/>
    <w:rsid w:val="4A834233"/>
    <w:rsid w:val="4A8723E4"/>
    <w:rsid w:val="4A875AD1"/>
    <w:rsid w:val="4A897A9B"/>
    <w:rsid w:val="4A8D3338"/>
    <w:rsid w:val="4A8F7FF1"/>
    <w:rsid w:val="4A9F106C"/>
    <w:rsid w:val="4AA76173"/>
    <w:rsid w:val="4AA92CFC"/>
    <w:rsid w:val="4AAA5C63"/>
    <w:rsid w:val="4AB131AC"/>
    <w:rsid w:val="4ABC3301"/>
    <w:rsid w:val="4ABD5996"/>
    <w:rsid w:val="4AC44A4A"/>
    <w:rsid w:val="4AC473FF"/>
    <w:rsid w:val="4AC75CE3"/>
    <w:rsid w:val="4AC76815"/>
    <w:rsid w:val="4AD52CE0"/>
    <w:rsid w:val="4ADB3E33"/>
    <w:rsid w:val="4ADC0EE2"/>
    <w:rsid w:val="4ADD3943"/>
    <w:rsid w:val="4AE42F23"/>
    <w:rsid w:val="4AE616BF"/>
    <w:rsid w:val="4AE65A17"/>
    <w:rsid w:val="4AF15640"/>
    <w:rsid w:val="4AF561A9"/>
    <w:rsid w:val="4AFD3FE5"/>
    <w:rsid w:val="4B0B4954"/>
    <w:rsid w:val="4B137A8E"/>
    <w:rsid w:val="4B1650A7"/>
    <w:rsid w:val="4B180E1F"/>
    <w:rsid w:val="4B1B446B"/>
    <w:rsid w:val="4B20746B"/>
    <w:rsid w:val="4B257098"/>
    <w:rsid w:val="4B2C50D3"/>
    <w:rsid w:val="4B2E0642"/>
    <w:rsid w:val="4B3337B7"/>
    <w:rsid w:val="4B3774F7"/>
    <w:rsid w:val="4B3C4356"/>
    <w:rsid w:val="4B3C4AD7"/>
    <w:rsid w:val="4B3D30C2"/>
    <w:rsid w:val="4B4B13AB"/>
    <w:rsid w:val="4B4B6AFE"/>
    <w:rsid w:val="4B4D6D1A"/>
    <w:rsid w:val="4B532915"/>
    <w:rsid w:val="4B555BCF"/>
    <w:rsid w:val="4B5736F5"/>
    <w:rsid w:val="4B576AAA"/>
    <w:rsid w:val="4B5D2CD5"/>
    <w:rsid w:val="4B614580"/>
    <w:rsid w:val="4B6776B0"/>
    <w:rsid w:val="4B683B54"/>
    <w:rsid w:val="4B692B8B"/>
    <w:rsid w:val="4B6E3289"/>
    <w:rsid w:val="4B6E6C91"/>
    <w:rsid w:val="4B7727C5"/>
    <w:rsid w:val="4B7957D5"/>
    <w:rsid w:val="4B7B4BCB"/>
    <w:rsid w:val="4B7D6ED4"/>
    <w:rsid w:val="4B9366F7"/>
    <w:rsid w:val="4B956C94"/>
    <w:rsid w:val="4B9761E7"/>
    <w:rsid w:val="4B983D0E"/>
    <w:rsid w:val="4B9E1324"/>
    <w:rsid w:val="4B9F509C"/>
    <w:rsid w:val="4BA12A28"/>
    <w:rsid w:val="4BA33AB6"/>
    <w:rsid w:val="4BA64DBB"/>
    <w:rsid w:val="4BAF3531"/>
    <w:rsid w:val="4BB328F5"/>
    <w:rsid w:val="4BBE25CA"/>
    <w:rsid w:val="4BC52D55"/>
    <w:rsid w:val="4BC92119"/>
    <w:rsid w:val="4BCD1C09"/>
    <w:rsid w:val="4BCE5974"/>
    <w:rsid w:val="4BD42F98"/>
    <w:rsid w:val="4BD44D46"/>
    <w:rsid w:val="4BD9235C"/>
    <w:rsid w:val="4BE33DD6"/>
    <w:rsid w:val="4BE85BF3"/>
    <w:rsid w:val="4BEC277D"/>
    <w:rsid w:val="4BFE0015"/>
    <w:rsid w:val="4C001FDF"/>
    <w:rsid w:val="4C0C0625"/>
    <w:rsid w:val="4C0D0258"/>
    <w:rsid w:val="4C182F0D"/>
    <w:rsid w:val="4C1C66ED"/>
    <w:rsid w:val="4C1F06B5"/>
    <w:rsid w:val="4C207F8B"/>
    <w:rsid w:val="4C22541C"/>
    <w:rsid w:val="4C2D40EB"/>
    <w:rsid w:val="4C334959"/>
    <w:rsid w:val="4C3752D5"/>
    <w:rsid w:val="4C426C15"/>
    <w:rsid w:val="4C43185C"/>
    <w:rsid w:val="4C441DAB"/>
    <w:rsid w:val="4C46376A"/>
    <w:rsid w:val="4C4719BC"/>
    <w:rsid w:val="4C4A0649"/>
    <w:rsid w:val="4C4B0D80"/>
    <w:rsid w:val="4C4C1669"/>
    <w:rsid w:val="4C50431F"/>
    <w:rsid w:val="4C527A4E"/>
    <w:rsid w:val="4C567E51"/>
    <w:rsid w:val="4C59524B"/>
    <w:rsid w:val="4C5A4EBB"/>
    <w:rsid w:val="4C5B5467"/>
    <w:rsid w:val="4C5E4384"/>
    <w:rsid w:val="4C6007E8"/>
    <w:rsid w:val="4C6267F5"/>
    <w:rsid w:val="4C6A56AA"/>
    <w:rsid w:val="4C744CC4"/>
    <w:rsid w:val="4C79769B"/>
    <w:rsid w:val="4C7E5ECA"/>
    <w:rsid w:val="4C83051A"/>
    <w:rsid w:val="4C876AA5"/>
    <w:rsid w:val="4C883D82"/>
    <w:rsid w:val="4C8B45FF"/>
    <w:rsid w:val="4C8D3790"/>
    <w:rsid w:val="4C952CDF"/>
    <w:rsid w:val="4C96649F"/>
    <w:rsid w:val="4C982217"/>
    <w:rsid w:val="4C9B2CF3"/>
    <w:rsid w:val="4C9D5A7F"/>
    <w:rsid w:val="4CA24E44"/>
    <w:rsid w:val="4CA40468"/>
    <w:rsid w:val="4CAA019C"/>
    <w:rsid w:val="4CAA5AA7"/>
    <w:rsid w:val="4CB00BC2"/>
    <w:rsid w:val="4CB132D9"/>
    <w:rsid w:val="4CB30248"/>
    <w:rsid w:val="4CBB1203"/>
    <w:rsid w:val="4CBC7038"/>
    <w:rsid w:val="4CBD1610"/>
    <w:rsid w:val="4CC0351C"/>
    <w:rsid w:val="4CC254E6"/>
    <w:rsid w:val="4CC759FC"/>
    <w:rsid w:val="4CCF550D"/>
    <w:rsid w:val="4CD314A1"/>
    <w:rsid w:val="4CD43B06"/>
    <w:rsid w:val="4CD945DE"/>
    <w:rsid w:val="4CDC4E93"/>
    <w:rsid w:val="4CEC75AB"/>
    <w:rsid w:val="4CED0E58"/>
    <w:rsid w:val="4CEF5BAF"/>
    <w:rsid w:val="4CF803E4"/>
    <w:rsid w:val="4CF82CB6"/>
    <w:rsid w:val="4CFA307A"/>
    <w:rsid w:val="4CFC34F6"/>
    <w:rsid w:val="4D027691"/>
    <w:rsid w:val="4D072EF9"/>
    <w:rsid w:val="4D0A29E9"/>
    <w:rsid w:val="4D0A5610"/>
    <w:rsid w:val="4D0E00FB"/>
    <w:rsid w:val="4D0F1B50"/>
    <w:rsid w:val="4D1126BF"/>
    <w:rsid w:val="4D115B26"/>
    <w:rsid w:val="4D1341E2"/>
    <w:rsid w:val="4D176606"/>
    <w:rsid w:val="4D1D44CD"/>
    <w:rsid w:val="4D241CFD"/>
    <w:rsid w:val="4D265A75"/>
    <w:rsid w:val="4D2A496C"/>
    <w:rsid w:val="4D2F41FE"/>
    <w:rsid w:val="4D3403C5"/>
    <w:rsid w:val="4D411299"/>
    <w:rsid w:val="4D48080E"/>
    <w:rsid w:val="4D4971D6"/>
    <w:rsid w:val="4D4B7289"/>
    <w:rsid w:val="4D4C3583"/>
    <w:rsid w:val="4D562915"/>
    <w:rsid w:val="4D5D520F"/>
    <w:rsid w:val="4D677E3B"/>
    <w:rsid w:val="4D6C0776"/>
    <w:rsid w:val="4D6E3E21"/>
    <w:rsid w:val="4D7473AF"/>
    <w:rsid w:val="4D7B0486"/>
    <w:rsid w:val="4D7B5AD0"/>
    <w:rsid w:val="4D7D2704"/>
    <w:rsid w:val="4D8254D0"/>
    <w:rsid w:val="4D826A23"/>
    <w:rsid w:val="4D8B58D8"/>
    <w:rsid w:val="4D8C132D"/>
    <w:rsid w:val="4D9724CF"/>
    <w:rsid w:val="4D981DA3"/>
    <w:rsid w:val="4D9F1383"/>
    <w:rsid w:val="4DA02521"/>
    <w:rsid w:val="4DA16EA9"/>
    <w:rsid w:val="4DAE03C1"/>
    <w:rsid w:val="4DAE6208"/>
    <w:rsid w:val="4DB10EE2"/>
    <w:rsid w:val="4DB50BA7"/>
    <w:rsid w:val="4DB64094"/>
    <w:rsid w:val="4DB95333"/>
    <w:rsid w:val="4DBA5CFF"/>
    <w:rsid w:val="4DBC07E4"/>
    <w:rsid w:val="4DC112FA"/>
    <w:rsid w:val="4DC442C6"/>
    <w:rsid w:val="4DC46469"/>
    <w:rsid w:val="4DC4703C"/>
    <w:rsid w:val="4DCA28A4"/>
    <w:rsid w:val="4DCD5698"/>
    <w:rsid w:val="4DCF3801"/>
    <w:rsid w:val="4DD23507"/>
    <w:rsid w:val="4DD454D1"/>
    <w:rsid w:val="4DD54DA5"/>
    <w:rsid w:val="4DD70B1D"/>
    <w:rsid w:val="4DD76D6F"/>
    <w:rsid w:val="4DE1374A"/>
    <w:rsid w:val="4DE174DB"/>
    <w:rsid w:val="4DE35714"/>
    <w:rsid w:val="4DE44FE8"/>
    <w:rsid w:val="4DEC4FB0"/>
    <w:rsid w:val="4DEF2FB9"/>
    <w:rsid w:val="4DF27705"/>
    <w:rsid w:val="4E0369D1"/>
    <w:rsid w:val="4E0472EF"/>
    <w:rsid w:val="4E073318"/>
    <w:rsid w:val="4E075D8A"/>
    <w:rsid w:val="4E0B4C6B"/>
    <w:rsid w:val="4E102281"/>
    <w:rsid w:val="4E125FF9"/>
    <w:rsid w:val="4E143B1F"/>
    <w:rsid w:val="4E1458CD"/>
    <w:rsid w:val="4E175F30"/>
    <w:rsid w:val="4E1E04FA"/>
    <w:rsid w:val="4E1E5B1E"/>
    <w:rsid w:val="4E244E42"/>
    <w:rsid w:val="4E27072B"/>
    <w:rsid w:val="4E281379"/>
    <w:rsid w:val="4E2B2C17"/>
    <w:rsid w:val="4E2B70BB"/>
    <w:rsid w:val="4E2E3285"/>
    <w:rsid w:val="4E320449"/>
    <w:rsid w:val="4E353A96"/>
    <w:rsid w:val="4E3E1515"/>
    <w:rsid w:val="4E3E61E3"/>
    <w:rsid w:val="4E3F66C2"/>
    <w:rsid w:val="4E485577"/>
    <w:rsid w:val="4E4F6905"/>
    <w:rsid w:val="4E511008"/>
    <w:rsid w:val="4E597982"/>
    <w:rsid w:val="4E5B0DF5"/>
    <w:rsid w:val="4E5B7900"/>
    <w:rsid w:val="4E6411DC"/>
    <w:rsid w:val="4E683E6B"/>
    <w:rsid w:val="4E6B6980"/>
    <w:rsid w:val="4E6B74B7"/>
    <w:rsid w:val="4E6C5D89"/>
    <w:rsid w:val="4E733CA7"/>
    <w:rsid w:val="4E7C7C9F"/>
    <w:rsid w:val="4E82001E"/>
    <w:rsid w:val="4E8A2033"/>
    <w:rsid w:val="4E8A5B90"/>
    <w:rsid w:val="4E8D0F77"/>
    <w:rsid w:val="4E8D742E"/>
    <w:rsid w:val="4E962786"/>
    <w:rsid w:val="4EA12ED9"/>
    <w:rsid w:val="4EA53EF7"/>
    <w:rsid w:val="4EB3158A"/>
    <w:rsid w:val="4EBD5F65"/>
    <w:rsid w:val="4EC00FAD"/>
    <w:rsid w:val="4EC233BC"/>
    <w:rsid w:val="4EC33D55"/>
    <w:rsid w:val="4EC72940"/>
    <w:rsid w:val="4EC949FE"/>
    <w:rsid w:val="4ECC264C"/>
    <w:rsid w:val="4ECF5C98"/>
    <w:rsid w:val="4ED11A10"/>
    <w:rsid w:val="4ED17C62"/>
    <w:rsid w:val="4ED60DD5"/>
    <w:rsid w:val="4ED908C5"/>
    <w:rsid w:val="4EE03FEA"/>
    <w:rsid w:val="4EEC684A"/>
    <w:rsid w:val="4EEF2AAB"/>
    <w:rsid w:val="4EEF633A"/>
    <w:rsid w:val="4EF13E61"/>
    <w:rsid w:val="4EF15C0F"/>
    <w:rsid w:val="4EF411F0"/>
    <w:rsid w:val="4EFF56E1"/>
    <w:rsid w:val="4F0001A6"/>
    <w:rsid w:val="4F0771E0"/>
    <w:rsid w:val="4F0973FC"/>
    <w:rsid w:val="4F0B3174"/>
    <w:rsid w:val="4F0C0C38"/>
    <w:rsid w:val="4F161E98"/>
    <w:rsid w:val="4F193510"/>
    <w:rsid w:val="4F1A1D21"/>
    <w:rsid w:val="4F1B2C8C"/>
    <w:rsid w:val="4F1D4C56"/>
    <w:rsid w:val="4F1E452A"/>
    <w:rsid w:val="4F2002A2"/>
    <w:rsid w:val="4F2132A9"/>
    <w:rsid w:val="4F22226C"/>
    <w:rsid w:val="4F243ECD"/>
    <w:rsid w:val="4F2F2435"/>
    <w:rsid w:val="4F343D4D"/>
    <w:rsid w:val="4F381A8F"/>
    <w:rsid w:val="4F3C2AD4"/>
    <w:rsid w:val="4F400944"/>
    <w:rsid w:val="4F44293C"/>
    <w:rsid w:val="4F473A81"/>
    <w:rsid w:val="4F4F0AED"/>
    <w:rsid w:val="4F543775"/>
    <w:rsid w:val="4F5904DD"/>
    <w:rsid w:val="4F5A0CD3"/>
    <w:rsid w:val="4F5D14F6"/>
    <w:rsid w:val="4F5D4B8B"/>
    <w:rsid w:val="4F5D5052"/>
    <w:rsid w:val="4F6373D5"/>
    <w:rsid w:val="4F6A1C93"/>
    <w:rsid w:val="4F6D7971"/>
    <w:rsid w:val="4F6D7F7A"/>
    <w:rsid w:val="4F6F4D85"/>
    <w:rsid w:val="4F75345F"/>
    <w:rsid w:val="4F7F76BE"/>
    <w:rsid w:val="4F845943"/>
    <w:rsid w:val="4F870321"/>
    <w:rsid w:val="4F8E16AF"/>
    <w:rsid w:val="4F8E345D"/>
    <w:rsid w:val="4F936CC6"/>
    <w:rsid w:val="4F960564"/>
    <w:rsid w:val="4F9843DC"/>
    <w:rsid w:val="4F9B0E29"/>
    <w:rsid w:val="4F9C3DCC"/>
    <w:rsid w:val="4F9E3D78"/>
    <w:rsid w:val="4FA076D0"/>
    <w:rsid w:val="4FA17635"/>
    <w:rsid w:val="4FA669F9"/>
    <w:rsid w:val="4FA72771"/>
    <w:rsid w:val="4FA82F61"/>
    <w:rsid w:val="4FA843B3"/>
    <w:rsid w:val="4FAB4A87"/>
    <w:rsid w:val="4FAC0EB5"/>
    <w:rsid w:val="4FAC106B"/>
    <w:rsid w:val="4FBA4253"/>
    <w:rsid w:val="4FBB03E3"/>
    <w:rsid w:val="4FC62A8C"/>
    <w:rsid w:val="4FC81DBA"/>
    <w:rsid w:val="4FCB2904"/>
    <w:rsid w:val="4FD95020"/>
    <w:rsid w:val="4FDE5BC3"/>
    <w:rsid w:val="4FE20F0D"/>
    <w:rsid w:val="4FE44AAA"/>
    <w:rsid w:val="4FE51552"/>
    <w:rsid w:val="4FE65048"/>
    <w:rsid w:val="4FE70DC0"/>
    <w:rsid w:val="4FE90FDC"/>
    <w:rsid w:val="4FFA4F97"/>
    <w:rsid w:val="4FFF435B"/>
    <w:rsid w:val="50055E16"/>
    <w:rsid w:val="500876B4"/>
    <w:rsid w:val="500F0A42"/>
    <w:rsid w:val="501716A5"/>
    <w:rsid w:val="501D5EB6"/>
    <w:rsid w:val="501F1A47"/>
    <w:rsid w:val="50242014"/>
    <w:rsid w:val="502A762A"/>
    <w:rsid w:val="502B24FE"/>
    <w:rsid w:val="502B33A2"/>
    <w:rsid w:val="503009B9"/>
    <w:rsid w:val="50304C03"/>
    <w:rsid w:val="50324731"/>
    <w:rsid w:val="50377F99"/>
    <w:rsid w:val="503B7919"/>
    <w:rsid w:val="503C1316"/>
    <w:rsid w:val="503C735D"/>
    <w:rsid w:val="503D4E76"/>
    <w:rsid w:val="5043693E"/>
    <w:rsid w:val="50446212"/>
    <w:rsid w:val="504F7091"/>
    <w:rsid w:val="50504C4B"/>
    <w:rsid w:val="505521CD"/>
    <w:rsid w:val="50575430"/>
    <w:rsid w:val="50591CBD"/>
    <w:rsid w:val="5066262C"/>
    <w:rsid w:val="5068006C"/>
    <w:rsid w:val="506F328F"/>
    <w:rsid w:val="50746AF7"/>
    <w:rsid w:val="5075461D"/>
    <w:rsid w:val="507F17D3"/>
    <w:rsid w:val="508023C1"/>
    <w:rsid w:val="508126D0"/>
    <w:rsid w:val="50834029"/>
    <w:rsid w:val="50836453"/>
    <w:rsid w:val="508536D8"/>
    <w:rsid w:val="508605D9"/>
    <w:rsid w:val="50865D61"/>
    <w:rsid w:val="50874A7C"/>
    <w:rsid w:val="5088002F"/>
    <w:rsid w:val="50964CC0"/>
    <w:rsid w:val="5099030C"/>
    <w:rsid w:val="509C6E7C"/>
    <w:rsid w:val="509E3B74"/>
    <w:rsid w:val="50A30189"/>
    <w:rsid w:val="50B01D51"/>
    <w:rsid w:val="50B43398"/>
    <w:rsid w:val="50B53614"/>
    <w:rsid w:val="50BE5FC4"/>
    <w:rsid w:val="50C32FBB"/>
    <w:rsid w:val="50CC248F"/>
    <w:rsid w:val="50D253CB"/>
    <w:rsid w:val="50DB55BF"/>
    <w:rsid w:val="50DD469C"/>
    <w:rsid w:val="50E35A2B"/>
    <w:rsid w:val="50E517A3"/>
    <w:rsid w:val="50E62C53"/>
    <w:rsid w:val="50E963C7"/>
    <w:rsid w:val="50ED0658"/>
    <w:rsid w:val="50F934A0"/>
    <w:rsid w:val="50FB0FC7"/>
    <w:rsid w:val="51025EB1"/>
    <w:rsid w:val="51051E45"/>
    <w:rsid w:val="510A745C"/>
    <w:rsid w:val="51114346"/>
    <w:rsid w:val="51124B24"/>
    <w:rsid w:val="51165E00"/>
    <w:rsid w:val="51167BAE"/>
    <w:rsid w:val="511A3B0D"/>
    <w:rsid w:val="511B51C5"/>
    <w:rsid w:val="511D56D0"/>
    <w:rsid w:val="512974F6"/>
    <w:rsid w:val="512E279E"/>
    <w:rsid w:val="513163F4"/>
    <w:rsid w:val="51321BA2"/>
    <w:rsid w:val="51352C37"/>
    <w:rsid w:val="51363DAD"/>
    <w:rsid w:val="5137016C"/>
    <w:rsid w:val="513B74F9"/>
    <w:rsid w:val="51404DF1"/>
    <w:rsid w:val="51433290"/>
    <w:rsid w:val="51493AE0"/>
    <w:rsid w:val="515523EF"/>
    <w:rsid w:val="515B1A65"/>
    <w:rsid w:val="5162104E"/>
    <w:rsid w:val="516C77CE"/>
    <w:rsid w:val="516F1B5D"/>
    <w:rsid w:val="51703763"/>
    <w:rsid w:val="517234D1"/>
    <w:rsid w:val="51736DAF"/>
    <w:rsid w:val="51750D79"/>
    <w:rsid w:val="51785E5F"/>
    <w:rsid w:val="517A68F1"/>
    <w:rsid w:val="517B24F4"/>
    <w:rsid w:val="517D5E7F"/>
    <w:rsid w:val="5181771E"/>
    <w:rsid w:val="5184720E"/>
    <w:rsid w:val="518730D6"/>
    <w:rsid w:val="518979CC"/>
    <w:rsid w:val="518A0A04"/>
    <w:rsid w:val="51903EDE"/>
    <w:rsid w:val="519136D9"/>
    <w:rsid w:val="519B6306"/>
    <w:rsid w:val="51A21442"/>
    <w:rsid w:val="51A8334E"/>
    <w:rsid w:val="51AB6549"/>
    <w:rsid w:val="51AE1B73"/>
    <w:rsid w:val="51B15A7A"/>
    <w:rsid w:val="51B573C7"/>
    <w:rsid w:val="51BD44CE"/>
    <w:rsid w:val="51C770FB"/>
    <w:rsid w:val="51CB489B"/>
    <w:rsid w:val="51CB6BEB"/>
    <w:rsid w:val="51CC64BF"/>
    <w:rsid w:val="51D81308"/>
    <w:rsid w:val="51E25060"/>
    <w:rsid w:val="51E43809"/>
    <w:rsid w:val="51E732F9"/>
    <w:rsid w:val="51EC2654"/>
    <w:rsid w:val="51F003FF"/>
    <w:rsid w:val="51F404AA"/>
    <w:rsid w:val="51F50086"/>
    <w:rsid w:val="51F6353C"/>
    <w:rsid w:val="51FA302C"/>
    <w:rsid w:val="51FA77A2"/>
    <w:rsid w:val="52000BC3"/>
    <w:rsid w:val="52036385"/>
    <w:rsid w:val="520D3941"/>
    <w:rsid w:val="520D5BFF"/>
    <w:rsid w:val="520D7203"/>
    <w:rsid w:val="521216D3"/>
    <w:rsid w:val="52171F0C"/>
    <w:rsid w:val="52193382"/>
    <w:rsid w:val="521A1920"/>
    <w:rsid w:val="521A36CE"/>
    <w:rsid w:val="521A722A"/>
    <w:rsid w:val="521F0CE5"/>
    <w:rsid w:val="522307D5"/>
    <w:rsid w:val="52232583"/>
    <w:rsid w:val="522B58DB"/>
    <w:rsid w:val="522D51B0"/>
    <w:rsid w:val="52383964"/>
    <w:rsid w:val="523D0E4F"/>
    <w:rsid w:val="523E73BD"/>
    <w:rsid w:val="52410C5B"/>
    <w:rsid w:val="52426781"/>
    <w:rsid w:val="524D7600"/>
    <w:rsid w:val="524E0182"/>
    <w:rsid w:val="52505342"/>
    <w:rsid w:val="52552958"/>
    <w:rsid w:val="52554706"/>
    <w:rsid w:val="5257047F"/>
    <w:rsid w:val="525F10E1"/>
    <w:rsid w:val="52636E23"/>
    <w:rsid w:val="526609AB"/>
    <w:rsid w:val="526A6404"/>
    <w:rsid w:val="526E48F5"/>
    <w:rsid w:val="5273095F"/>
    <w:rsid w:val="52747667"/>
    <w:rsid w:val="527728CF"/>
    <w:rsid w:val="527821A3"/>
    <w:rsid w:val="527903F5"/>
    <w:rsid w:val="527A416D"/>
    <w:rsid w:val="527E1EAF"/>
    <w:rsid w:val="52897ECB"/>
    <w:rsid w:val="528D3EA0"/>
    <w:rsid w:val="52911BE2"/>
    <w:rsid w:val="52921B9F"/>
    <w:rsid w:val="52990A97"/>
    <w:rsid w:val="529947A5"/>
    <w:rsid w:val="529A0352"/>
    <w:rsid w:val="529C30B9"/>
    <w:rsid w:val="529E1C09"/>
    <w:rsid w:val="52A01E26"/>
    <w:rsid w:val="52A66D10"/>
    <w:rsid w:val="52AD4542"/>
    <w:rsid w:val="52B15DE1"/>
    <w:rsid w:val="52B72CCB"/>
    <w:rsid w:val="52BB09F1"/>
    <w:rsid w:val="52C06024"/>
    <w:rsid w:val="52C13B4A"/>
    <w:rsid w:val="52C33D66"/>
    <w:rsid w:val="52C378C2"/>
    <w:rsid w:val="52C8312A"/>
    <w:rsid w:val="52CC2402"/>
    <w:rsid w:val="52D34711"/>
    <w:rsid w:val="52D41ACF"/>
    <w:rsid w:val="52D87FE4"/>
    <w:rsid w:val="52E85882"/>
    <w:rsid w:val="52E875F5"/>
    <w:rsid w:val="52E90756"/>
    <w:rsid w:val="52E91631"/>
    <w:rsid w:val="52F569E9"/>
    <w:rsid w:val="52F77CF4"/>
    <w:rsid w:val="52F97788"/>
    <w:rsid w:val="53000B16"/>
    <w:rsid w:val="53083527"/>
    <w:rsid w:val="530B4BE6"/>
    <w:rsid w:val="5311561E"/>
    <w:rsid w:val="53165C44"/>
    <w:rsid w:val="531C035E"/>
    <w:rsid w:val="53223D46"/>
    <w:rsid w:val="53253909"/>
    <w:rsid w:val="53285977"/>
    <w:rsid w:val="533407C0"/>
    <w:rsid w:val="53364661"/>
    <w:rsid w:val="533C1422"/>
    <w:rsid w:val="533F00C1"/>
    <w:rsid w:val="53446C55"/>
    <w:rsid w:val="53476745"/>
    <w:rsid w:val="53513120"/>
    <w:rsid w:val="53515832"/>
    <w:rsid w:val="53536E98"/>
    <w:rsid w:val="535B1AD6"/>
    <w:rsid w:val="535B1ED0"/>
    <w:rsid w:val="53625C05"/>
    <w:rsid w:val="536930A7"/>
    <w:rsid w:val="536A5F90"/>
    <w:rsid w:val="5373753A"/>
    <w:rsid w:val="5378365A"/>
    <w:rsid w:val="53784B50"/>
    <w:rsid w:val="537D0D49"/>
    <w:rsid w:val="538136A4"/>
    <w:rsid w:val="53870155"/>
    <w:rsid w:val="53890B0C"/>
    <w:rsid w:val="53937294"/>
    <w:rsid w:val="53966D85"/>
    <w:rsid w:val="539A6875"/>
    <w:rsid w:val="53A039CC"/>
    <w:rsid w:val="53A1505A"/>
    <w:rsid w:val="53A304DF"/>
    <w:rsid w:val="53A414A2"/>
    <w:rsid w:val="53AE0572"/>
    <w:rsid w:val="53B042EA"/>
    <w:rsid w:val="53B316E5"/>
    <w:rsid w:val="53B67427"/>
    <w:rsid w:val="53BD07B5"/>
    <w:rsid w:val="53C5286D"/>
    <w:rsid w:val="53D1600F"/>
    <w:rsid w:val="53D56516"/>
    <w:rsid w:val="53DA1367"/>
    <w:rsid w:val="53DA3229"/>
    <w:rsid w:val="53F22701"/>
    <w:rsid w:val="53F50323"/>
    <w:rsid w:val="53F7058E"/>
    <w:rsid w:val="53F73CC7"/>
    <w:rsid w:val="53FB3447"/>
    <w:rsid w:val="53FC12DE"/>
    <w:rsid w:val="54011BAC"/>
    <w:rsid w:val="540168F4"/>
    <w:rsid w:val="54040192"/>
    <w:rsid w:val="54063E08"/>
    <w:rsid w:val="540853CE"/>
    <w:rsid w:val="540F7987"/>
    <w:rsid w:val="541008E5"/>
    <w:rsid w:val="541D56A1"/>
    <w:rsid w:val="541F6D7A"/>
    <w:rsid w:val="54224ABC"/>
    <w:rsid w:val="542D5D29"/>
    <w:rsid w:val="542E16B3"/>
    <w:rsid w:val="543437E8"/>
    <w:rsid w:val="5438608E"/>
    <w:rsid w:val="543F741C"/>
    <w:rsid w:val="544C3B1E"/>
    <w:rsid w:val="544D7D8B"/>
    <w:rsid w:val="54536656"/>
    <w:rsid w:val="54543237"/>
    <w:rsid w:val="5462437A"/>
    <w:rsid w:val="54694499"/>
    <w:rsid w:val="546B1FBF"/>
    <w:rsid w:val="546B6463"/>
    <w:rsid w:val="54751090"/>
    <w:rsid w:val="547C5700"/>
    <w:rsid w:val="54815C87"/>
    <w:rsid w:val="548E389E"/>
    <w:rsid w:val="548F2152"/>
    <w:rsid w:val="549459BA"/>
    <w:rsid w:val="549C0AA6"/>
    <w:rsid w:val="549C4376"/>
    <w:rsid w:val="549C516E"/>
    <w:rsid w:val="549D29D2"/>
    <w:rsid w:val="54AD25D8"/>
    <w:rsid w:val="54B03E76"/>
    <w:rsid w:val="54B7510C"/>
    <w:rsid w:val="54B75204"/>
    <w:rsid w:val="54BE47E5"/>
    <w:rsid w:val="54C4143C"/>
    <w:rsid w:val="54C53DC5"/>
    <w:rsid w:val="54CB6F02"/>
    <w:rsid w:val="54D31585"/>
    <w:rsid w:val="54D758A7"/>
    <w:rsid w:val="54D85E05"/>
    <w:rsid w:val="54D964BB"/>
    <w:rsid w:val="54DA7145"/>
    <w:rsid w:val="54DB3B97"/>
    <w:rsid w:val="54DC6BBB"/>
    <w:rsid w:val="54DE6C35"/>
    <w:rsid w:val="54E3249D"/>
    <w:rsid w:val="54F00716"/>
    <w:rsid w:val="54F226E1"/>
    <w:rsid w:val="54F60D85"/>
    <w:rsid w:val="54F73313"/>
    <w:rsid w:val="54F80955"/>
    <w:rsid w:val="54F93EBC"/>
    <w:rsid w:val="54F95C48"/>
    <w:rsid w:val="55020B76"/>
    <w:rsid w:val="550A17D8"/>
    <w:rsid w:val="550B5550"/>
    <w:rsid w:val="551408A9"/>
    <w:rsid w:val="551C150B"/>
    <w:rsid w:val="551F09C2"/>
    <w:rsid w:val="55232D59"/>
    <w:rsid w:val="55286102"/>
    <w:rsid w:val="552A3C28"/>
    <w:rsid w:val="552B174F"/>
    <w:rsid w:val="552E2AC8"/>
    <w:rsid w:val="552F7491"/>
    <w:rsid w:val="55306627"/>
    <w:rsid w:val="553721DD"/>
    <w:rsid w:val="55374C2A"/>
    <w:rsid w:val="55384597"/>
    <w:rsid w:val="553B5C60"/>
    <w:rsid w:val="553D7E00"/>
    <w:rsid w:val="554027C6"/>
    <w:rsid w:val="55425416"/>
    <w:rsid w:val="55466588"/>
    <w:rsid w:val="554676FC"/>
    <w:rsid w:val="554967A4"/>
    <w:rsid w:val="555170A7"/>
    <w:rsid w:val="55570917"/>
    <w:rsid w:val="555E1B24"/>
    <w:rsid w:val="555E5F59"/>
    <w:rsid w:val="55603A56"/>
    <w:rsid w:val="55621614"/>
    <w:rsid w:val="5563174F"/>
    <w:rsid w:val="55665D0A"/>
    <w:rsid w:val="55690BF5"/>
    <w:rsid w:val="55696358"/>
    <w:rsid w:val="556A5234"/>
    <w:rsid w:val="556F5ADF"/>
    <w:rsid w:val="5576026A"/>
    <w:rsid w:val="55793FFC"/>
    <w:rsid w:val="557B0928"/>
    <w:rsid w:val="558477DD"/>
    <w:rsid w:val="5587536D"/>
    <w:rsid w:val="558772CD"/>
    <w:rsid w:val="55913CA7"/>
    <w:rsid w:val="55936EDE"/>
    <w:rsid w:val="55937A20"/>
    <w:rsid w:val="559B174B"/>
    <w:rsid w:val="559E0DEC"/>
    <w:rsid w:val="55B66725"/>
    <w:rsid w:val="55B85544"/>
    <w:rsid w:val="55B856D8"/>
    <w:rsid w:val="55B94DFB"/>
    <w:rsid w:val="55B94FAC"/>
    <w:rsid w:val="55BD3CD6"/>
    <w:rsid w:val="55BE25C3"/>
    <w:rsid w:val="55C20305"/>
    <w:rsid w:val="55C220B3"/>
    <w:rsid w:val="55C73951"/>
    <w:rsid w:val="55C81664"/>
    <w:rsid w:val="55CA0D6F"/>
    <w:rsid w:val="55CE0CF4"/>
    <w:rsid w:val="55D342C0"/>
    <w:rsid w:val="55DD61D5"/>
    <w:rsid w:val="55E4027B"/>
    <w:rsid w:val="55E77D6B"/>
    <w:rsid w:val="55E83909"/>
    <w:rsid w:val="55F04E72"/>
    <w:rsid w:val="55F40360"/>
    <w:rsid w:val="55F83D27"/>
    <w:rsid w:val="55FA7A9F"/>
    <w:rsid w:val="55FF3307"/>
    <w:rsid w:val="56094BBF"/>
    <w:rsid w:val="56095F34"/>
    <w:rsid w:val="560C1580"/>
    <w:rsid w:val="5610271D"/>
    <w:rsid w:val="56143D1E"/>
    <w:rsid w:val="561F1172"/>
    <w:rsid w:val="5624780D"/>
    <w:rsid w:val="562A6B20"/>
    <w:rsid w:val="562C598F"/>
    <w:rsid w:val="5632548A"/>
    <w:rsid w:val="563C1E65"/>
    <w:rsid w:val="564162D0"/>
    <w:rsid w:val="5642720A"/>
    <w:rsid w:val="56440D1A"/>
    <w:rsid w:val="56494582"/>
    <w:rsid w:val="564A39F3"/>
    <w:rsid w:val="564D4072"/>
    <w:rsid w:val="565076BF"/>
    <w:rsid w:val="56521E26"/>
    <w:rsid w:val="565C596F"/>
    <w:rsid w:val="565E4F71"/>
    <w:rsid w:val="566E7B50"/>
    <w:rsid w:val="56773354"/>
    <w:rsid w:val="56787715"/>
    <w:rsid w:val="567A6E1F"/>
    <w:rsid w:val="56815ACA"/>
    <w:rsid w:val="56826DF8"/>
    <w:rsid w:val="56847368"/>
    <w:rsid w:val="56861332"/>
    <w:rsid w:val="56867584"/>
    <w:rsid w:val="568832FC"/>
    <w:rsid w:val="569577C7"/>
    <w:rsid w:val="56A417B8"/>
    <w:rsid w:val="56A8411D"/>
    <w:rsid w:val="56B22A9C"/>
    <w:rsid w:val="56B37C4E"/>
    <w:rsid w:val="56B57E6A"/>
    <w:rsid w:val="56C1236A"/>
    <w:rsid w:val="56CD6F61"/>
    <w:rsid w:val="56CF2CD9"/>
    <w:rsid w:val="56D36283"/>
    <w:rsid w:val="56D4209E"/>
    <w:rsid w:val="56DB78D0"/>
    <w:rsid w:val="56E02A30"/>
    <w:rsid w:val="56E147BB"/>
    <w:rsid w:val="56FA587C"/>
    <w:rsid w:val="56FC7846"/>
    <w:rsid w:val="56FE6576"/>
    <w:rsid w:val="57030BD5"/>
    <w:rsid w:val="57154464"/>
    <w:rsid w:val="57186F54"/>
    <w:rsid w:val="57212E09"/>
    <w:rsid w:val="57233025"/>
    <w:rsid w:val="572A43B4"/>
    <w:rsid w:val="572A5116"/>
    <w:rsid w:val="572B3C88"/>
    <w:rsid w:val="572D0141"/>
    <w:rsid w:val="572F6E87"/>
    <w:rsid w:val="57340D8E"/>
    <w:rsid w:val="57380D29"/>
    <w:rsid w:val="57387C5F"/>
    <w:rsid w:val="573E67A8"/>
    <w:rsid w:val="57437223"/>
    <w:rsid w:val="57454D4A"/>
    <w:rsid w:val="574714D9"/>
    <w:rsid w:val="574D19C4"/>
    <w:rsid w:val="574F5BC8"/>
    <w:rsid w:val="575E6FC9"/>
    <w:rsid w:val="5765719A"/>
    <w:rsid w:val="576A2A02"/>
    <w:rsid w:val="57730263"/>
    <w:rsid w:val="577574C4"/>
    <w:rsid w:val="577D0987"/>
    <w:rsid w:val="577E05B4"/>
    <w:rsid w:val="577E64AD"/>
    <w:rsid w:val="5782419F"/>
    <w:rsid w:val="57853398"/>
    <w:rsid w:val="5789229C"/>
    <w:rsid w:val="57913BB1"/>
    <w:rsid w:val="57947C21"/>
    <w:rsid w:val="579655A5"/>
    <w:rsid w:val="57995095"/>
    <w:rsid w:val="579F72F0"/>
    <w:rsid w:val="57A203EE"/>
    <w:rsid w:val="57A557E8"/>
    <w:rsid w:val="57AA72A2"/>
    <w:rsid w:val="57AD0DA8"/>
    <w:rsid w:val="57B40121"/>
    <w:rsid w:val="57B4466D"/>
    <w:rsid w:val="57B72A76"/>
    <w:rsid w:val="57B8376D"/>
    <w:rsid w:val="57BC2B32"/>
    <w:rsid w:val="57BF2D4E"/>
    <w:rsid w:val="57C20EB7"/>
    <w:rsid w:val="57C3426C"/>
    <w:rsid w:val="57C403C1"/>
    <w:rsid w:val="57CD0385"/>
    <w:rsid w:val="57CE1F93"/>
    <w:rsid w:val="57D460CD"/>
    <w:rsid w:val="57D85BBE"/>
    <w:rsid w:val="57D9066D"/>
    <w:rsid w:val="57E176C8"/>
    <w:rsid w:val="57E36310"/>
    <w:rsid w:val="57E5652D"/>
    <w:rsid w:val="57EF25D9"/>
    <w:rsid w:val="57F347A6"/>
    <w:rsid w:val="57F64D9B"/>
    <w:rsid w:val="57F873A0"/>
    <w:rsid w:val="57FB18AC"/>
    <w:rsid w:val="57FB365A"/>
    <w:rsid w:val="57FF40B7"/>
    <w:rsid w:val="58003366"/>
    <w:rsid w:val="580746F5"/>
    <w:rsid w:val="58113055"/>
    <w:rsid w:val="58134E48"/>
    <w:rsid w:val="58254B7B"/>
    <w:rsid w:val="58262129"/>
    <w:rsid w:val="58266D31"/>
    <w:rsid w:val="58324E4B"/>
    <w:rsid w:val="584E2326"/>
    <w:rsid w:val="584E7C2E"/>
    <w:rsid w:val="58554656"/>
    <w:rsid w:val="585B234B"/>
    <w:rsid w:val="58607961"/>
    <w:rsid w:val="58672482"/>
    <w:rsid w:val="58694A68"/>
    <w:rsid w:val="586C7FBF"/>
    <w:rsid w:val="58704048"/>
    <w:rsid w:val="587358E6"/>
    <w:rsid w:val="587A6211"/>
    <w:rsid w:val="58813029"/>
    <w:rsid w:val="58847AF3"/>
    <w:rsid w:val="588743D1"/>
    <w:rsid w:val="5887701A"/>
    <w:rsid w:val="58896EB8"/>
    <w:rsid w:val="588A565D"/>
    <w:rsid w:val="588C0756"/>
    <w:rsid w:val="588D4BFA"/>
    <w:rsid w:val="588E0972"/>
    <w:rsid w:val="58900396"/>
    <w:rsid w:val="58977827"/>
    <w:rsid w:val="58985D02"/>
    <w:rsid w:val="589D2963"/>
    <w:rsid w:val="589F66DB"/>
    <w:rsid w:val="58A14202"/>
    <w:rsid w:val="58A50813"/>
    <w:rsid w:val="58A76131"/>
    <w:rsid w:val="58AC2BA6"/>
    <w:rsid w:val="58AC4CBD"/>
    <w:rsid w:val="58B008E9"/>
    <w:rsid w:val="58B101BD"/>
    <w:rsid w:val="58B23912"/>
    <w:rsid w:val="58BC728D"/>
    <w:rsid w:val="58BF6D7E"/>
    <w:rsid w:val="58C12AF6"/>
    <w:rsid w:val="58C425E6"/>
    <w:rsid w:val="58C52E9E"/>
    <w:rsid w:val="58C63CB6"/>
    <w:rsid w:val="58CE6FC1"/>
    <w:rsid w:val="58CF09EC"/>
    <w:rsid w:val="58D520FD"/>
    <w:rsid w:val="58DC348C"/>
    <w:rsid w:val="58DF11CE"/>
    <w:rsid w:val="58DF4D2A"/>
    <w:rsid w:val="58E135DE"/>
    <w:rsid w:val="58E3481A"/>
    <w:rsid w:val="58E379EF"/>
    <w:rsid w:val="58E42340"/>
    <w:rsid w:val="58E74DA8"/>
    <w:rsid w:val="58F12F18"/>
    <w:rsid w:val="58FA7DB6"/>
    <w:rsid w:val="59034EBC"/>
    <w:rsid w:val="5909228A"/>
    <w:rsid w:val="590E1F50"/>
    <w:rsid w:val="59101387"/>
    <w:rsid w:val="59181005"/>
    <w:rsid w:val="591A2206"/>
    <w:rsid w:val="591A49B2"/>
    <w:rsid w:val="591B1F9B"/>
    <w:rsid w:val="591B3EBB"/>
    <w:rsid w:val="592D018B"/>
    <w:rsid w:val="592E4385"/>
    <w:rsid w:val="59311FD3"/>
    <w:rsid w:val="5943350B"/>
    <w:rsid w:val="59451E75"/>
    <w:rsid w:val="59480B21"/>
    <w:rsid w:val="594828CF"/>
    <w:rsid w:val="594902D2"/>
    <w:rsid w:val="594A4899"/>
    <w:rsid w:val="594D25DB"/>
    <w:rsid w:val="595219A0"/>
    <w:rsid w:val="59532B55"/>
    <w:rsid w:val="595439FE"/>
    <w:rsid w:val="59545718"/>
    <w:rsid w:val="59617E35"/>
    <w:rsid w:val="5966544B"/>
    <w:rsid w:val="596671F9"/>
    <w:rsid w:val="596C0CB3"/>
    <w:rsid w:val="59705BAE"/>
    <w:rsid w:val="59747B68"/>
    <w:rsid w:val="5976568E"/>
    <w:rsid w:val="59777658"/>
    <w:rsid w:val="59777711"/>
    <w:rsid w:val="59914276"/>
    <w:rsid w:val="59927FEE"/>
    <w:rsid w:val="59986480"/>
    <w:rsid w:val="59992442"/>
    <w:rsid w:val="599B6EA3"/>
    <w:rsid w:val="59A10231"/>
    <w:rsid w:val="59A321FB"/>
    <w:rsid w:val="59B14918"/>
    <w:rsid w:val="59B241EC"/>
    <w:rsid w:val="59B461B6"/>
    <w:rsid w:val="59BE0AA6"/>
    <w:rsid w:val="59C0439F"/>
    <w:rsid w:val="59C146DB"/>
    <w:rsid w:val="59CD1026"/>
    <w:rsid w:val="59D40607"/>
    <w:rsid w:val="59D4354B"/>
    <w:rsid w:val="59DB3C9E"/>
    <w:rsid w:val="59E545C2"/>
    <w:rsid w:val="59EA1BD8"/>
    <w:rsid w:val="59F9006D"/>
    <w:rsid w:val="5A010FCF"/>
    <w:rsid w:val="5A051CCE"/>
    <w:rsid w:val="5A0B50DC"/>
    <w:rsid w:val="5A0F4038"/>
    <w:rsid w:val="5A132EDD"/>
    <w:rsid w:val="5A1629CD"/>
    <w:rsid w:val="5A1D52D1"/>
    <w:rsid w:val="5A1F4E71"/>
    <w:rsid w:val="5A290952"/>
    <w:rsid w:val="5A296BA4"/>
    <w:rsid w:val="5A3115B5"/>
    <w:rsid w:val="5A314163"/>
    <w:rsid w:val="5A327382"/>
    <w:rsid w:val="5A382944"/>
    <w:rsid w:val="5A3C13EA"/>
    <w:rsid w:val="5A3C32C0"/>
    <w:rsid w:val="5A3D4BA7"/>
    <w:rsid w:val="5A3D6ADB"/>
    <w:rsid w:val="5A3D7F5A"/>
    <w:rsid w:val="5A407A4A"/>
    <w:rsid w:val="5A4B606B"/>
    <w:rsid w:val="5A524A31"/>
    <w:rsid w:val="5A5C44A1"/>
    <w:rsid w:val="5A5C5BED"/>
    <w:rsid w:val="5A5D31A1"/>
    <w:rsid w:val="5A5F48DE"/>
    <w:rsid w:val="5A623E64"/>
    <w:rsid w:val="5A6279C1"/>
    <w:rsid w:val="5A627DA7"/>
    <w:rsid w:val="5A67192E"/>
    <w:rsid w:val="5A6951F3"/>
    <w:rsid w:val="5A696FA1"/>
    <w:rsid w:val="5A6B1B59"/>
    <w:rsid w:val="5A6F20DD"/>
    <w:rsid w:val="5A727099"/>
    <w:rsid w:val="5A792D5B"/>
    <w:rsid w:val="5A7D4234"/>
    <w:rsid w:val="5A7D47FA"/>
    <w:rsid w:val="5A8262B5"/>
    <w:rsid w:val="5A852700"/>
    <w:rsid w:val="5A8B33BB"/>
    <w:rsid w:val="5A932270"/>
    <w:rsid w:val="5A981526"/>
    <w:rsid w:val="5A9B1124"/>
    <w:rsid w:val="5AA1498D"/>
    <w:rsid w:val="5AA63D51"/>
    <w:rsid w:val="5AA75D1B"/>
    <w:rsid w:val="5AAB75B9"/>
    <w:rsid w:val="5AB04BD0"/>
    <w:rsid w:val="5AB4404E"/>
    <w:rsid w:val="5ABA5A4E"/>
    <w:rsid w:val="5ABC3575"/>
    <w:rsid w:val="5ABD6576"/>
    <w:rsid w:val="5ABE2233"/>
    <w:rsid w:val="5ABE7AB0"/>
    <w:rsid w:val="5AC266B1"/>
    <w:rsid w:val="5ACC392D"/>
    <w:rsid w:val="5ACC4C85"/>
    <w:rsid w:val="5ACE4E7E"/>
    <w:rsid w:val="5AD71773"/>
    <w:rsid w:val="5AD85ED5"/>
    <w:rsid w:val="5AD97875"/>
    <w:rsid w:val="5ADA2B62"/>
    <w:rsid w:val="5ADA39FB"/>
    <w:rsid w:val="5ADD173D"/>
    <w:rsid w:val="5ADF7263"/>
    <w:rsid w:val="5AE14D89"/>
    <w:rsid w:val="5AE445AB"/>
    <w:rsid w:val="5AEF235A"/>
    <w:rsid w:val="5AF95341"/>
    <w:rsid w:val="5AF96577"/>
    <w:rsid w:val="5AFA5E4B"/>
    <w:rsid w:val="5AFF16B3"/>
    <w:rsid w:val="5AFF2821"/>
    <w:rsid w:val="5B0A2C7F"/>
    <w:rsid w:val="5B10566E"/>
    <w:rsid w:val="5B155DE7"/>
    <w:rsid w:val="5B172EA1"/>
    <w:rsid w:val="5B1761D9"/>
    <w:rsid w:val="5B1B6721"/>
    <w:rsid w:val="5B1E7D8B"/>
    <w:rsid w:val="5B247141"/>
    <w:rsid w:val="5B2C01D0"/>
    <w:rsid w:val="5B2F01EA"/>
    <w:rsid w:val="5B377EB4"/>
    <w:rsid w:val="5B3F5598"/>
    <w:rsid w:val="5B423504"/>
    <w:rsid w:val="5B51362C"/>
    <w:rsid w:val="5B551AD3"/>
    <w:rsid w:val="5B5B5B3E"/>
    <w:rsid w:val="5B5C727B"/>
    <w:rsid w:val="5B661732"/>
    <w:rsid w:val="5B687259"/>
    <w:rsid w:val="5B7025B1"/>
    <w:rsid w:val="5B743700"/>
    <w:rsid w:val="5B762629"/>
    <w:rsid w:val="5B7A6590"/>
    <w:rsid w:val="5B9718EC"/>
    <w:rsid w:val="5B972875"/>
    <w:rsid w:val="5B9B0961"/>
    <w:rsid w:val="5B9D2EDC"/>
    <w:rsid w:val="5BA30291"/>
    <w:rsid w:val="5BA748A4"/>
    <w:rsid w:val="5BAF5E7C"/>
    <w:rsid w:val="5BB6101F"/>
    <w:rsid w:val="5BB66216"/>
    <w:rsid w:val="5BB71BBE"/>
    <w:rsid w:val="5BB73D3C"/>
    <w:rsid w:val="5BBC5C29"/>
    <w:rsid w:val="5BBE50CA"/>
    <w:rsid w:val="5BBE7366"/>
    <w:rsid w:val="5BC64949"/>
    <w:rsid w:val="5BD076CB"/>
    <w:rsid w:val="5BD14DFE"/>
    <w:rsid w:val="5BD42B40"/>
    <w:rsid w:val="5BD91F04"/>
    <w:rsid w:val="5BDF5D95"/>
    <w:rsid w:val="5BE07737"/>
    <w:rsid w:val="5BE158B6"/>
    <w:rsid w:val="5BE31E0F"/>
    <w:rsid w:val="5BEC7E8A"/>
    <w:rsid w:val="5BEF2E0C"/>
    <w:rsid w:val="5BEF690A"/>
    <w:rsid w:val="5BEF797A"/>
    <w:rsid w:val="5BF532BA"/>
    <w:rsid w:val="5BFB631F"/>
    <w:rsid w:val="5BFE6E4F"/>
    <w:rsid w:val="5BFE7528"/>
    <w:rsid w:val="5BFF3140"/>
    <w:rsid w:val="5C0056E3"/>
    <w:rsid w:val="5C074B91"/>
    <w:rsid w:val="5C1014A6"/>
    <w:rsid w:val="5C1761A2"/>
    <w:rsid w:val="5C1960A6"/>
    <w:rsid w:val="5C1D6295"/>
    <w:rsid w:val="5C205D85"/>
    <w:rsid w:val="5C21425D"/>
    <w:rsid w:val="5C221AFD"/>
    <w:rsid w:val="5C237623"/>
    <w:rsid w:val="5C280300"/>
    <w:rsid w:val="5C2869E8"/>
    <w:rsid w:val="5C2D6284"/>
    <w:rsid w:val="5C3444E4"/>
    <w:rsid w:val="5C356BFF"/>
    <w:rsid w:val="5C393362"/>
    <w:rsid w:val="5C3D06E5"/>
    <w:rsid w:val="5C474011"/>
    <w:rsid w:val="5C475B3F"/>
    <w:rsid w:val="5C49251E"/>
    <w:rsid w:val="5C4E28F2"/>
    <w:rsid w:val="5C516CB1"/>
    <w:rsid w:val="5C533A65"/>
    <w:rsid w:val="5C5A6D58"/>
    <w:rsid w:val="5C6043D4"/>
    <w:rsid w:val="5C6204C3"/>
    <w:rsid w:val="5C653E6B"/>
    <w:rsid w:val="5C78171D"/>
    <w:rsid w:val="5C797243"/>
    <w:rsid w:val="5C7D31D8"/>
    <w:rsid w:val="5C8005D2"/>
    <w:rsid w:val="5C8207EE"/>
    <w:rsid w:val="5C8C51C9"/>
    <w:rsid w:val="5C905612"/>
    <w:rsid w:val="5C912102"/>
    <w:rsid w:val="5C92471D"/>
    <w:rsid w:val="5C9B6DBC"/>
    <w:rsid w:val="5C9D3A03"/>
    <w:rsid w:val="5C9F4EFC"/>
    <w:rsid w:val="5CA60A10"/>
    <w:rsid w:val="5CA66CA6"/>
    <w:rsid w:val="5CA70254"/>
    <w:rsid w:val="5CA93FCD"/>
    <w:rsid w:val="5CAC604F"/>
    <w:rsid w:val="5CB07109"/>
    <w:rsid w:val="5CB22E1D"/>
    <w:rsid w:val="5CB564CD"/>
    <w:rsid w:val="5CB8619A"/>
    <w:rsid w:val="5CB87D6C"/>
    <w:rsid w:val="5CBC60F5"/>
    <w:rsid w:val="5CC71DD7"/>
    <w:rsid w:val="5CC901CB"/>
    <w:rsid w:val="5CD32DF8"/>
    <w:rsid w:val="5CE13766"/>
    <w:rsid w:val="5CE172C2"/>
    <w:rsid w:val="5CE70651"/>
    <w:rsid w:val="5CE95849"/>
    <w:rsid w:val="5CEE378D"/>
    <w:rsid w:val="5CF74D38"/>
    <w:rsid w:val="5D083C00"/>
    <w:rsid w:val="5D0B433F"/>
    <w:rsid w:val="5D107BA8"/>
    <w:rsid w:val="5D211242"/>
    <w:rsid w:val="5D215911"/>
    <w:rsid w:val="5D331AE8"/>
    <w:rsid w:val="5D3C274B"/>
    <w:rsid w:val="5D3F4F5B"/>
    <w:rsid w:val="5D4368DA"/>
    <w:rsid w:val="5D483E41"/>
    <w:rsid w:val="5D4C56B1"/>
    <w:rsid w:val="5D4F6922"/>
    <w:rsid w:val="5D5618F7"/>
    <w:rsid w:val="5D5C2E56"/>
    <w:rsid w:val="5D5E4DB7"/>
    <w:rsid w:val="5D5E6B65"/>
    <w:rsid w:val="5D5F28DD"/>
    <w:rsid w:val="5D645056"/>
    <w:rsid w:val="5D645DC6"/>
    <w:rsid w:val="5D7370B9"/>
    <w:rsid w:val="5D753EAF"/>
    <w:rsid w:val="5D775E79"/>
    <w:rsid w:val="5D810AA5"/>
    <w:rsid w:val="5D81328C"/>
    <w:rsid w:val="5D881E34"/>
    <w:rsid w:val="5D883BE2"/>
    <w:rsid w:val="5D8D2FA6"/>
    <w:rsid w:val="5D936A38"/>
    <w:rsid w:val="5D9407D9"/>
    <w:rsid w:val="5D942587"/>
    <w:rsid w:val="5D994523"/>
    <w:rsid w:val="5D997B9D"/>
    <w:rsid w:val="5DA16A52"/>
    <w:rsid w:val="5DA30A1C"/>
    <w:rsid w:val="5DA5144D"/>
    <w:rsid w:val="5DA52BF8"/>
    <w:rsid w:val="5DB35876"/>
    <w:rsid w:val="5DB37D2C"/>
    <w:rsid w:val="5DB46DC9"/>
    <w:rsid w:val="5DB83B00"/>
    <w:rsid w:val="5DBE2330"/>
    <w:rsid w:val="5DC3164B"/>
    <w:rsid w:val="5DC52FC5"/>
    <w:rsid w:val="5DC5551C"/>
    <w:rsid w:val="5DD13812"/>
    <w:rsid w:val="5DE30E18"/>
    <w:rsid w:val="5DEB7068"/>
    <w:rsid w:val="5DEE4D3F"/>
    <w:rsid w:val="5DEF0299"/>
    <w:rsid w:val="5DEF15A4"/>
    <w:rsid w:val="5DEF3C61"/>
    <w:rsid w:val="5DF203FB"/>
    <w:rsid w:val="5DF41277"/>
    <w:rsid w:val="5DFC08AB"/>
    <w:rsid w:val="5DFC49F7"/>
    <w:rsid w:val="5DFE5C52"/>
    <w:rsid w:val="5E0239AE"/>
    <w:rsid w:val="5E026C2D"/>
    <w:rsid w:val="5E056FE1"/>
    <w:rsid w:val="5E176D14"/>
    <w:rsid w:val="5E1A6CE7"/>
    <w:rsid w:val="5E1B143D"/>
    <w:rsid w:val="5E2207FD"/>
    <w:rsid w:val="5E2467F1"/>
    <w:rsid w:val="5E251431"/>
    <w:rsid w:val="5E280F21"/>
    <w:rsid w:val="5E287173"/>
    <w:rsid w:val="5E30357F"/>
    <w:rsid w:val="5E311F88"/>
    <w:rsid w:val="5E31411E"/>
    <w:rsid w:val="5E3653EC"/>
    <w:rsid w:val="5E371164"/>
    <w:rsid w:val="5E3D2C1E"/>
    <w:rsid w:val="5E3D49CC"/>
    <w:rsid w:val="5E3E6996"/>
    <w:rsid w:val="5E4A70E9"/>
    <w:rsid w:val="5E4C4C10"/>
    <w:rsid w:val="5E4E062C"/>
    <w:rsid w:val="5E563CE0"/>
    <w:rsid w:val="5E5B4E53"/>
    <w:rsid w:val="5E5E3869"/>
    <w:rsid w:val="5E651D80"/>
    <w:rsid w:val="5E6A32E8"/>
    <w:rsid w:val="5E6A778C"/>
    <w:rsid w:val="5E6E2DD8"/>
    <w:rsid w:val="5E710B1A"/>
    <w:rsid w:val="5E767EDE"/>
    <w:rsid w:val="5E8545C5"/>
    <w:rsid w:val="5E866D7C"/>
    <w:rsid w:val="5E895E64"/>
    <w:rsid w:val="5E8A398A"/>
    <w:rsid w:val="5E8B2BCC"/>
    <w:rsid w:val="5E9C1EE2"/>
    <w:rsid w:val="5EA06D09"/>
    <w:rsid w:val="5EAB3A07"/>
    <w:rsid w:val="5EAC644A"/>
    <w:rsid w:val="5EAD47D3"/>
    <w:rsid w:val="5EB17168"/>
    <w:rsid w:val="5EB31C23"/>
    <w:rsid w:val="5EB86772"/>
    <w:rsid w:val="5EC0115A"/>
    <w:rsid w:val="5EC05B97"/>
    <w:rsid w:val="5EC155FD"/>
    <w:rsid w:val="5ECD53B6"/>
    <w:rsid w:val="5EDA046D"/>
    <w:rsid w:val="5EDD1D0C"/>
    <w:rsid w:val="5EDD546C"/>
    <w:rsid w:val="5EE40830"/>
    <w:rsid w:val="5EED2CA8"/>
    <w:rsid w:val="5EFB70EB"/>
    <w:rsid w:val="5EFC0A8E"/>
    <w:rsid w:val="5EFC1E95"/>
    <w:rsid w:val="5EFC6636"/>
    <w:rsid w:val="5F066F8F"/>
    <w:rsid w:val="5F072679"/>
    <w:rsid w:val="5F0B0627"/>
    <w:rsid w:val="5F13572D"/>
    <w:rsid w:val="5F1514A5"/>
    <w:rsid w:val="5F1A2B43"/>
    <w:rsid w:val="5F1E4CDA"/>
    <w:rsid w:val="5F24793A"/>
    <w:rsid w:val="5F494EE8"/>
    <w:rsid w:val="5F4C0C3F"/>
    <w:rsid w:val="5F533996"/>
    <w:rsid w:val="5F555D46"/>
    <w:rsid w:val="5F574BF4"/>
    <w:rsid w:val="5F5B21A9"/>
    <w:rsid w:val="5F622E25"/>
    <w:rsid w:val="5F6441DB"/>
    <w:rsid w:val="5F69359F"/>
    <w:rsid w:val="5F697E94"/>
    <w:rsid w:val="5F6D308F"/>
    <w:rsid w:val="5F6D7533"/>
    <w:rsid w:val="5F7372C9"/>
    <w:rsid w:val="5F775CBC"/>
    <w:rsid w:val="5F8108E9"/>
    <w:rsid w:val="5F830B05"/>
    <w:rsid w:val="5F832A75"/>
    <w:rsid w:val="5F841C80"/>
    <w:rsid w:val="5F866165"/>
    <w:rsid w:val="5F881C77"/>
    <w:rsid w:val="5F886CD3"/>
    <w:rsid w:val="5F8B79B9"/>
    <w:rsid w:val="5F8E3006"/>
    <w:rsid w:val="5F920D48"/>
    <w:rsid w:val="5F93686E"/>
    <w:rsid w:val="5F9422B9"/>
    <w:rsid w:val="5F9C361C"/>
    <w:rsid w:val="5FA3544C"/>
    <w:rsid w:val="5FA36AB1"/>
    <w:rsid w:val="5FA42829"/>
    <w:rsid w:val="5FA55D24"/>
    <w:rsid w:val="5FA911F0"/>
    <w:rsid w:val="5FA97E40"/>
    <w:rsid w:val="5FB213EA"/>
    <w:rsid w:val="5FB32A6C"/>
    <w:rsid w:val="5FB4398F"/>
    <w:rsid w:val="5FB837BB"/>
    <w:rsid w:val="5FBC7B73"/>
    <w:rsid w:val="5FC133DB"/>
    <w:rsid w:val="5FC5111D"/>
    <w:rsid w:val="5FCB425A"/>
    <w:rsid w:val="5FCB6008"/>
    <w:rsid w:val="5FD037A9"/>
    <w:rsid w:val="5FD62369"/>
    <w:rsid w:val="5FD70E51"/>
    <w:rsid w:val="5FD9212E"/>
    <w:rsid w:val="5FE377F5"/>
    <w:rsid w:val="5FE550F4"/>
    <w:rsid w:val="5FE62499"/>
    <w:rsid w:val="5FF4555F"/>
    <w:rsid w:val="5FFB7934"/>
    <w:rsid w:val="5FFC2665"/>
    <w:rsid w:val="5FFC4413"/>
    <w:rsid w:val="5FFF71C4"/>
    <w:rsid w:val="600A4D82"/>
    <w:rsid w:val="600C0AFA"/>
    <w:rsid w:val="600F2BB9"/>
    <w:rsid w:val="601640DC"/>
    <w:rsid w:val="601B0D3D"/>
    <w:rsid w:val="601B6F8F"/>
    <w:rsid w:val="601E438A"/>
    <w:rsid w:val="60213E7A"/>
    <w:rsid w:val="602C2F4B"/>
    <w:rsid w:val="602E29D0"/>
    <w:rsid w:val="60327E35"/>
    <w:rsid w:val="60337DCE"/>
    <w:rsid w:val="6037369D"/>
    <w:rsid w:val="603911C4"/>
    <w:rsid w:val="60430294"/>
    <w:rsid w:val="604E70E3"/>
    <w:rsid w:val="604F6C39"/>
    <w:rsid w:val="60502F9C"/>
    <w:rsid w:val="60522285"/>
    <w:rsid w:val="60545FFD"/>
    <w:rsid w:val="605932A0"/>
    <w:rsid w:val="605B55AF"/>
    <w:rsid w:val="605E0C2A"/>
    <w:rsid w:val="606B4403"/>
    <w:rsid w:val="606C02F6"/>
    <w:rsid w:val="606D6C2A"/>
    <w:rsid w:val="607367C5"/>
    <w:rsid w:val="607611B6"/>
    <w:rsid w:val="60787F3E"/>
    <w:rsid w:val="608027D0"/>
    <w:rsid w:val="60895068"/>
    <w:rsid w:val="608F04AC"/>
    <w:rsid w:val="60911000"/>
    <w:rsid w:val="60917251"/>
    <w:rsid w:val="609522C0"/>
    <w:rsid w:val="60964868"/>
    <w:rsid w:val="609863C9"/>
    <w:rsid w:val="60B13450"/>
    <w:rsid w:val="60B60A66"/>
    <w:rsid w:val="60B7289E"/>
    <w:rsid w:val="60B91215"/>
    <w:rsid w:val="60BD21F3"/>
    <w:rsid w:val="60C519D6"/>
    <w:rsid w:val="60C82DAE"/>
    <w:rsid w:val="60C9117F"/>
    <w:rsid w:val="60CC405A"/>
    <w:rsid w:val="60D40EEC"/>
    <w:rsid w:val="60D847A8"/>
    <w:rsid w:val="60E71F1C"/>
    <w:rsid w:val="60EA2253"/>
    <w:rsid w:val="60F021CA"/>
    <w:rsid w:val="60F15F42"/>
    <w:rsid w:val="60F2357F"/>
    <w:rsid w:val="60F33A68"/>
    <w:rsid w:val="6104788F"/>
    <w:rsid w:val="6109328C"/>
    <w:rsid w:val="610C68D8"/>
    <w:rsid w:val="610D7308"/>
    <w:rsid w:val="611A7247"/>
    <w:rsid w:val="611B4D6D"/>
    <w:rsid w:val="611C2FBF"/>
    <w:rsid w:val="611F485D"/>
    <w:rsid w:val="612B4CC9"/>
    <w:rsid w:val="612C7AFC"/>
    <w:rsid w:val="613068C2"/>
    <w:rsid w:val="61306A6A"/>
    <w:rsid w:val="6131633F"/>
    <w:rsid w:val="6134408D"/>
    <w:rsid w:val="613646DB"/>
    <w:rsid w:val="613876CD"/>
    <w:rsid w:val="613A1697"/>
    <w:rsid w:val="61412A26"/>
    <w:rsid w:val="61447E20"/>
    <w:rsid w:val="61475B62"/>
    <w:rsid w:val="614E0E7A"/>
    <w:rsid w:val="615640F5"/>
    <w:rsid w:val="61564461"/>
    <w:rsid w:val="61646714"/>
    <w:rsid w:val="61652857"/>
    <w:rsid w:val="61652F93"/>
    <w:rsid w:val="617310B0"/>
    <w:rsid w:val="61733AD5"/>
    <w:rsid w:val="617A5F38"/>
    <w:rsid w:val="61831438"/>
    <w:rsid w:val="61831EE9"/>
    <w:rsid w:val="61880654"/>
    <w:rsid w:val="618C324A"/>
    <w:rsid w:val="61942060"/>
    <w:rsid w:val="619A2136"/>
    <w:rsid w:val="61A223F1"/>
    <w:rsid w:val="61A905CB"/>
    <w:rsid w:val="61AB60F1"/>
    <w:rsid w:val="61BD395C"/>
    <w:rsid w:val="61C40F61"/>
    <w:rsid w:val="61C44263"/>
    <w:rsid w:val="61C62F2B"/>
    <w:rsid w:val="61D5316E"/>
    <w:rsid w:val="61DA69D6"/>
    <w:rsid w:val="61DE3133"/>
    <w:rsid w:val="61E15FB7"/>
    <w:rsid w:val="61E215D8"/>
    <w:rsid w:val="61E30741"/>
    <w:rsid w:val="61ED04B8"/>
    <w:rsid w:val="61FB0E26"/>
    <w:rsid w:val="620121B5"/>
    <w:rsid w:val="62033AED"/>
    <w:rsid w:val="620922B7"/>
    <w:rsid w:val="620D6DAC"/>
    <w:rsid w:val="6215177B"/>
    <w:rsid w:val="621973D7"/>
    <w:rsid w:val="621B3277"/>
    <w:rsid w:val="621B3775"/>
    <w:rsid w:val="621B60AF"/>
    <w:rsid w:val="621C1871"/>
    <w:rsid w:val="621C616D"/>
    <w:rsid w:val="622444B3"/>
    <w:rsid w:val="62255EA3"/>
    <w:rsid w:val="62287742"/>
    <w:rsid w:val="62364782"/>
    <w:rsid w:val="623A28EB"/>
    <w:rsid w:val="62436329"/>
    <w:rsid w:val="624520A2"/>
    <w:rsid w:val="624B1238"/>
    <w:rsid w:val="624B4CB3"/>
    <w:rsid w:val="62514EEA"/>
    <w:rsid w:val="625F6176"/>
    <w:rsid w:val="626016E5"/>
    <w:rsid w:val="62652744"/>
    <w:rsid w:val="626562A0"/>
    <w:rsid w:val="626D7CE5"/>
    <w:rsid w:val="62764A6F"/>
    <w:rsid w:val="6277164E"/>
    <w:rsid w:val="627E2DC3"/>
    <w:rsid w:val="62884524"/>
    <w:rsid w:val="628A03FC"/>
    <w:rsid w:val="628C1A7E"/>
    <w:rsid w:val="6293585D"/>
    <w:rsid w:val="62944DD7"/>
    <w:rsid w:val="629848C7"/>
    <w:rsid w:val="629A2B7E"/>
    <w:rsid w:val="629E5BFD"/>
    <w:rsid w:val="62A52B40"/>
    <w:rsid w:val="62A768B8"/>
    <w:rsid w:val="62AD7C47"/>
    <w:rsid w:val="62AF1C11"/>
    <w:rsid w:val="62B53519"/>
    <w:rsid w:val="62B66AFB"/>
    <w:rsid w:val="62B8569B"/>
    <w:rsid w:val="62C37E0F"/>
    <w:rsid w:val="62C63B33"/>
    <w:rsid w:val="62C95C4A"/>
    <w:rsid w:val="62D23905"/>
    <w:rsid w:val="62D84CC4"/>
    <w:rsid w:val="62D963D1"/>
    <w:rsid w:val="62DB7D3A"/>
    <w:rsid w:val="62E0626E"/>
    <w:rsid w:val="62EE44E7"/>
    <w:rsid w:val="62F13FD7"/>
    <w:rsid w:val="62F835B8"/>
    <w:rsid w:val="62FC765F"/>
    <w:rsid w:val="62FE04A2"/>
    <w:rsid w:val="630006BE"/>
    <w:rsid w:val="63091321"/>
    <w:rsid w:val="630A5099"/>
    <w:rsid w:val="630B32EB"/>
    <w:rsid w:val="630C72F6"/>
    <w:rsid w:val="631210AD"/>
    <w:rsid w:val="631303F2"/>
    <w:rsid w:val="6315416A"/>
    <w:rsid w:val="631F6D97"/>
    <w:rsid w:val="6320666B"/>
    <w:rsid w:val="63253C81"/>
    <w:rsid w:val="632C3261"/>
    <w:rsid w:val="632E2DB8"/>
    <w:rsid w:val="63380AEB"/>
    <w:rsid w:val="63414F5F"/>
    <w:rsid w:val="634A44A7"/>
    <w:rsid w:val="634C3904"/>
    <w:rsid w:val="635C51E4"/>
    <w:rsid w:val="63730E90"/>
    <w:rsid w:val="637A221F"/>
    <w:rsid w:val="63807109"/>
    <w:rsid w:val="638766EA"/>
    <w:rsid w:val="638906B4"/>
    <w:rsid w:val="638B00E1"/>
    <w:rsid w:val="63902AC3"/>
    <w:rsid w:val="6394356A"/>
    <w:rsid w:val="63974B7F"/>
    <w:rsid w:val="63991833"/>
    <w:rsid w:val="63A01BDB"/>
    <w:rsid w:val="63A159FD"/>
    <w:rsid w:val="63A3623F"/>
    <w:rsid w:val="63A759EE"/>
    <w:rsid w:val="63AA01F8"/>
    <w:rsid w:val="63AD1399"/>
    <w:rsid w:val="63BE035D"/>
    <w:rsid w:val="63C139AA"/>
    <w:rsid w:val="63C616CA"/>
    <w:rsid w:val="63C61B2C"/>
    <w:rsid w:val="63CE4319"/>
    <w:rsid w:val="63CF1F67"/>
    <w:rsid w:val="63D40A38"/>
    <w:rsid w:val="63D40BE9"/>
    <w:rsid w:val="63D748EB"/>
    <w:rsid w:val="63DA24DC"/>
    <w:rsid w:val="63DF2082"/>
    <w:rsid w:val="63E853DA"/>
    <w:rsid w:val="63EB16DA"/>
    <w:rsid w:val="63F342EB"/>
    <w:rsid w:val="63F45E84"/>
    <w:rsid w:val="63F91396"/>
    <w:rsid w:val="63FB2B9B"/>
    <w:rsid w:val="63FF2724"/>
    <w:rsid w:val="640A1EDC"/>
    <w:rsid w:val="640F7046"/>
    <w:rsid w:val="6410048D"/>
    <w:rsid w:val="64102431"/>
    <w:rsid w:val="64104A9D"/>
    <w:rsid w:val="64107534"/>
    <w:rsid w:val="64122457"/>
    <w:rsid w:val="64177A6E"/>
    <w:rsid w:val="64185CC9"/>
    <w:rsid w:val="641A4ACF"/>
    <w:rsid w:val="641E704E"/>
    <w:rsid w:val="642122C3"/>
    <w:rsid w:val="64213E18"/>
    <w:rsid w:val="642301C1"/>
    <w:rsid w:val="6429154F"/>
    <w:rsid w:val="642975A4"/>
    <w:rsid w:val="642E1181"/>
    <w:rsid w:val="642E73FF"/>
    <w:rsid w:val="642F125B"/>
    <w:rsid w:val="643530A3"/>
    <w:rsid w:val="64396923"/>
    <w:rsid w:val="644C3BBB"/>
    <w:rsid w:val="644D7933"/>
    <w:rsid w:val="644F5459"/>
    <w:rsid w:val="644F5980"/>
    <w:rsid w:val="645962D8"/>
    <w:rsid w:val="645A795A"/>
    <w:rsid w:val="645E4796"/>
    <w:rsid w:val="64607667"/>
    <w:rsid w:val="64630F05"/>
    <w:rsid w:val="64654C7D"/>
    <w:rsid w:val="646F78AA"/>
    <w:rsid w:val="64754DD6"/>
    <w:rsid w:val="6477516F"/>
    <w:rsid w:val="6477675E"/>
    <w:rsid w:val="647A1DAB"/>
    <w:rsid w:val="647D7177"/>
    <w:rsid w:val="6481138B"/>
    <w:rsid w:val="6485595E"/>
    <w:rsid w:val="6486408C"/>
    <w:rsid w:val="648C220A"/>
    <w:rsid w:val="649015CE"/>
    <w:rsid w:val="649303EC"/>
    <w:rsid w:val="649738D0"/>
    <w:rsid w:val="649746A3"/>
    <w:rsid w:val="649851D8"/>
    <w:rsid w:val="649C61C5"/>
    <w:rsid w:val="649D360A"/>
    <w:rsid w:val="649E018F"/>
    <w:rsid w:val="649F16D8"/>
    <w:rsid w:val="649F37A3"/>
    <w:rsid w:val="64A05CB5"/>
    <w:rsid w:val="64A37553"/>
    <w:rsid w:val="64A5243A"/>
    <w:rsid w:val="64A55079"/>
    <w:rsid w:val="64A62789"/>
    <w:rsid w:val="64A64D5A"/>
    <w:rsid w:val="64A77044"/>
    <w:rsid w:val="64AC17B9"/>
    <w:rsid w:val="64AC465A"/>
    <w:rsid w:val="64AD25BC"/>
    <w:rsid w:val="64B67287"/>
    <w:rsid w:val="64B81251"/>
    <w:rsid w:val="64BA03AB"/>
    <w:rsid w:val="64BC23C3"/>
    <w:rsid w:val="64C179D9"/>
    <w:rsid w:val="64CA2D32"/>
    <w:rsid w:val="64CD1CA4"/>
    <w:rsid w:val="64CD4695"/>
    <w:rsid w:val="64CF659A"/>
    <w:rsid w:val="64D4595F"/>
    <w:rsid w:val="64D63485"/>
    <w:rsid w:val="64DD6316"/>
    <w:rsid w:val="64E742EF"/>
    <w:rsid w:val="64EE5D01"/>
    <w:rsid w:val="64EF09EB"/>
    <w:rsid w:val="64F32289"/>
    <w:rsid w:val="64F531DE"/>
    <w:rsid w:val="64FF0BBB"/>
    <w:rsid w:val="65071890"/>
    <w:rsid w:val="650E70C3"/>
    <w:rsid w:val="650F4EDC"/>
    <w:rsid w:val="650F65D3"/>
    <w:rsid w:val="65102E3B"/>
    <w:rsid w:val="651657E5"/>
    <w:rsid w:val="65197815"/>
    <w:rsid w:val="651F7378"/>
    <w:rsid w:val="65202952"/>
    <w:rsid w:val="65295CAB"/>
    <w:rsid w:val="652A557F"/>
    <w:rsid w:val="652C7549"/>
    <w:rsid w:val="65306AE1"/>
    <w:rsid w:val="65332685"/>
    <w:rsid w:val="65373578"/>
    <w:rsid w:val="653B59DE"/>
    <w:rsid w:val="653F727C"/>
    <w:rsid w:val="65444892"/>
    <w:rsid w:val="654523B9"/>
    <w:rsid w:val="654E74BF"/>
    <w:rsid w:val="654F0FE3"/>
    <w:rsid w:val="654F5A4C"/>
    <w:rsid w:val="655536E6"/>
    <w:rsid w:val="655A40B6"/>
    <w:rsid w:val="655A5E64"/>
    <w:rsid w:val="655B2009"/>
    <w:rsid w:val="655E2041"/>
    <w:rsid w:val="6561698E"/>
    <w:rsid w:val="65617242"/>
    <w:rsid w:val="65660F6D"/>
    <w:rsid w:val="6569254B"/>
    <w:rsid w:val="65692B1C"/>
    <w:rsid w:val="656960A7"/>
    <w:rsid w:val="656D3290"/>
    <w:rsid w:val="656D3CD1"/>
    <w:rsid w:val="656E047F"/>
    <w:rsid w:val="656E0C7A"/>
    <w:rsid w:val="657E22DE"/>
    <w:rsid w:val="65815AE7"/>
    <w:rsid w:val="658253BB"/>
    <w:rsid w:val="658613AB"/>
    <w:rsid w:val="658C5A86"/>
    <w:rsid w:val="658E3D60"/>
    <w:rsid w:val="6592735C"/>
    <w:rsid w:val="65965345"/>
    <w:rsid w:val="659D4E73"/>
    <w:rsid w:val="65A47F8A"/>
    <w:rsid w:val="65A645AF"/>
    <w:rsid w:val="65A65C46"/>
    <w:rsid w:val="65A72808"/>
    <w:rsid w:val="65A93AEA"/>
    <w:rsid w:val="65AA7631"/>
    <w:rsid w:val="65AB4911"/>
    <w:rsid w:val="65AC2438"/>
    <w:rsid w:val="65AF2C6B"/>
    <w:rsid w:val="65B512EC"/>
    <w:rsid w:val="65BA2DA7"/>
    <w:rsid w:val="65C32374"/>
    <w:rsid w:val="65D21085"/>
    <w:rsid w:val="65DC2D1D"/>
    <w:rsid w:val="65E87914"/>
    <w:rsid w:val="65FF4C5D"/>
    <w:rsid w:val="66070894"/>
    <w:rsid w:val="660A3C7B"/>
    <w:rsid w:val="66106E6A"/>
    <w:rsid w:val="66174AF9"/>
    <w:rsid w:val="66233D26"/>
    <w:rsid w:val="6626043C"/>
    <w:rsid w:val="66292807"/>
    <w:rsid w:val="663223A4"/>
    <w:rsid w:val="66377F53"/>
    <w:rsid w:val="663E5786"/>
    <w:rsid w:val="663F14FE"/>
    <w:rsid w:val="66466D76"/>
    <w:rsid w:val="66495ED8"/>
    <w:rsid w:val="66506E21"/>
    <w:rsid w:val="6656125F"/>
    <w:rsid w:val="665777F9"/>
    <w:rsid w:val="66611474"/>
    <w:rsid w:val="66643459"/>
    <w:rsid w:val="666B0E37"/>
    <w:rsid w:val="666F593F"/>
    <w:rsid w:val="667165ED"/>
    <w:rsid w:val="667271DD"/>
    <w:rsid w:val="66744292"/>
    <w:rsid w:val="6678592C"/>
    <w:rsid w:val="668276A8"/>
    <w:rsid w:val="66837358"/>
    <w:rsid w:val="668B64F1"/>
    <w:rsid w:val="668F5F71"/>
    <w:rsid w:val="66903B07"/>
    <w:rsid w:val="669435F8"/>
    <w:rsid w:val="669C425A"/>
    <w:rsid w:val="66A001EE"/>
    <w:rsid w:val="66A02FE8"/>
    <w:rsid w:val="66A3766A"/>
    <w:rsid w:val="66A6332B"/>
    <w:rsid w:val="66A650D9"/>
    <w:rsid w:val="66AD2284"/>
    <w:rsid w:val="66AD68DD"/>
    <w:rsid w:val="66B50838"/>
    <w:rsid w:val="66B6356E"/>
    <w:rsid w:val="66B867E0"/>
    <w:rsid w:val="66BB5D82"/>
    <w:rsid w:val="66C0263F"/>
    <w:rsid w:val="66C043ED"/>
    <w:rsid w:val="66C20165"/>
    <w:rsid w:val="66C32DAD"/>
    <w:rsid w:val="66CA300B"/>
    <w:rsid w:val="66CA7019"/>
    <w:rsid w:val="66CE11E4"/>
    <w:rsid w:val="66D858F9"/>
    <w:rsid w:val="66D94A3B"/>
    <w:rsid w:val="66DC3669"/>
    <w:rsid w:val="66DE4873"/>
    <w:rsid w:val="66E04A8F"/>
    <w:rsid w:val="66E574E4"/>
    <w:rsid w:val="66EE2460"/>
    <w:rsid w:val="670818F0"/>
    <w:rsid w:val="670F249D"/>
    <w:rsid w:val="671604B0"/>
    <w:rsid w:val="671A3A1E"/>
    <w:rsid w:val="671D498D"/>
    <w:rsid w:val="671F124A"/>
    <w:rsid w:val="6720582B"/>
    <w:rsid w:val="672160BF"/>
    <w:rsid w:val="67246C2F"/>
    <w:rsid w:val="67283D40"/>
    <w:rsid w:val="67303415"/>
    <w:rsid w:val="673426E5"/>
    <w:rsid w:val="67380427"/>
    <w:rsid w:val="673D1556"/>
    <w:rsid w:val="673D5A3D"/>
    <w:rsid w:val="673D6B88"/>
    <w:rsid w:val="673F7A07"/>
    <w:rsid w:val="6744501E"/>
    <w:rsid w:val="674566A0"/>
    <w:rsid w:val="674C076E"/>
    <w:rsid w:val="674C3ED2"/>
    <w:rsid w:val="674E0FD2"/>
    <w:rsid w:val="675114E9"/>
    <w:rsid w:val="67515045"/>
    <w:rsid w:val="6759039D"/>
    <w:rsid w:val="675A500F"/>
    <w:rsid w:val="676034DA"/>
    <w:rsid w:val="67670D0C"/>
    <w:rsid w:val="67696832"/>
    <w:rsid w:val="676B36AE"/>
    <w:rsid w:val="676C00D0"/>
    <w:rsid w:val="6773145F"/>
    <w:rsid w:val="6774612A"/>
    <w:rsid w:val="677671A1"/>
    <w:rsid w:val="67791B28"/>
    <w:rsid w:val="677A27ED"/>
    <w:rsid w:val="677A33C6"/>
    <w:rsid w:val="677C00AB"/>
    <w:rsid w:val="677E1BB2"/>
    <w:rsid w:val="6784366C"/>
    <w:rsid w:val="67871E57"/>
    <w:rsid w:val="67874F0A"/>
    <w:rsid w:val="6792321C"/>
    <w:rsid w:val="67B11C5B"/>
    <w:rsid w:val="67BA2A29"/>
    <w:rsid w:val="67BF6452"/>
    <w:rsid w:val="67C1306B"/>
    <w:rsid w:val="67C13389"/>
    <w:rsid w:val="67C223E6"/>
    <w:rsid w:val="67CC4DBC"/>
    <w:rsid w:val="67D0065F"/>
    <w:rsid w:val="67D068B1"/>
    <w:rsid w:val="67D22E92"/>
    <w:rsid w:val="67E40D2E"/>
    <w:rsid w:val="67E61570"/>
    <w:rsid w:val="67E710AD"/>
    <w:rsid w:val="67EC2600"/>
    <w:rsid w:val="67EE5231"/>
    <w:rsid w:val="67F73E3E"/>
    <w:rsid w:val="67F95C46"/>
    <w:rsid w:val="67FA392E"/>
    <w:rsid w:val="68045EB2"/>
    <w:rsid w:val="680E2F36"/>
    <w:rsid w:val="68120C78"/>
    <w:rsid w:val="68155815"/>
    <w:rsid w:val="681744E0"/>
    <w:rsid w:val="68183DB4"/>
    <w:rsid w:val="68190088"/>
    <w:rsid w:val="681F6961"/>
    <w:rsid w:val="68211651"/>
    <w:rsid w:val="682164D1"/>
    <w:rsid w:val="682C160E"/>
    <w:rsid w:val="682E5ACE"/>
    <w:rsid w:val="68351F53"/>
    <w:rsid w:val="683A01CF"/>
    <w:rsid w:val="683A42B1"/>
    <w:rsid w:val="683C3F47"/>
    <w:rsid w:val="683E6628"/>
    <w:rsid w:val="68413EEA"/>
    <w:rsid w:val="684150B9"/>
    <w:rsid w:val="68456A72"/>
    <w:rsid w:val="684D3A5E"/>
    <w:rsid w:val="6852376A"/>
    <w:rsid w:val="68584A6B"/>
    <w:rsid w:val="685A617B"/>
    <w:rsid w:val="685E3F02"/>
    <w:rsid w:val="68610A2F"/>
    <w:rsid w:val="68623D98"/>
    <w:rsid w:val="686B65DA"/>
    <w:rsid w:val="686F60CA"/>
    <w:rsid w:val="686F716C"/>
    <w:rsid w:val="68715612"/>
    <w:rsid w:val="68715CE9"/>
    <w:rsid w:val="6877013E"/>
    <w:rsid w:val="68784853"/>
    <w:rsid w:val="687A681D"/>
    <w:rsid w:val="687D6827"/>
    <w:rsid w:val="68805514"/>
    <w:rsid w:val="68831B76"/>
    <w:rsid w:val="68833924"/>
    <w:rsid w:val="688E1D41"/>
    <w:rsid w:val="689C2C37"/>
    <w:rsid w:val="689F6DBD"/>
    <w:rsid w:val="68A33FC6"/>
    <w:rsid w:val="68AA1EC4"/>
    <w:rsid w:val="68B03FED"/>
    <w:rsid w:val="68B24209"/>
    <w:rsid w:val="68B2580D"/>
    <w:rsid w:val="68B4049D"/>
    <w:rsid w:val="68B910F3"/>
    <w:rsid w:val="68C03542"/>
    <w:rsid w:val="68C10D09"/>
    <w:rsid w:val="68C55CEA"/>
    <w:rsid w:val="68C61A62"/>
    <w:rsid w:val="68C66006"/>
    <w:rsid w:val="68D8264B"/>
    <w:rsid w:val="68D91796"/>
    <w:rsid w:val="68D93E6E"/>
    <w:rsid w:val="68E1064A"/>
    <w:rsid w:val="68E21FF0"/>
    <w:rsid w:val="68E24AEE"/>
    <w:rsid w:val="68E31558"/>
    <w:rsid w:val="68E76220"/>
    <w:rsid w:val="68EA39A3"/>
    <w:rsid w:val="68EC49A5"/>
    <w:rsid w:val="68EF3FEF"/>
    <w:rsid w:val="68F1279D"/>
    <w:rsid w:val="68F53477"/>
    <w:rsid w:val="68F637A3"/>
    <w:rsid w:val="69006820"/>
    <w:rsid w:val="69006D22"/>
    <w:rsid w:val="690C1B6B"/>
    <w:rsid w:val="690F3409"/>
    <w:rsid w:val="69110F2F"/>
    <w:rsid w:val="691652C0"/>
    <w:rsid w:val="691D372D"/>
    <w:rsid w:val="691D3B46"/>
    <w:rsid w:val="691F0AA3"/>
    <w:rsid w:val="691F1ACC"/>
    <w:rsid w:val="692073C4"/>
    <w:rsid w:val="69232A11"/>
    <w:rsid w:val="69252C2D"/>
    <w:rsid w:val="692C53C1"/>
    <w:rsid w:val="692C5D69"/>
    <w:rsid w:val="69313380"/>
    <w:rsid w:val="69316E2F"/>
    <w:rsid w:val="693E784B"/>
    <w:rsid w:val="6942733B"/>
    <w:rsid w:val="694A1418"/>
    <w:rsid w:val="694E2071"/>
    <w:rsid w:val="695236E0"/>
    <w:rsid w:val="695452C0"/>
    <w:rsid w:val="69621026"/>
    <w:rsid w:val="696A6892"/>
    <w:rsid w:val="697158B0"/>
    <w:rsid w:val="6975068F"/>
    <w:rsid w:val="69750BB0"/>
    <w:rsid w:val="69766163"/>
    <w:rsid w:val="697A3B33"/>
    <w:rsid w:val="697D4817"/>
    <w:rsid w:val="698060B5"/>
    <w:rsid w:val="698A6F34"/>
    <w:rsid w:val="698C01F4"/>
    <w:rsid w:val="698C4A5A"/>
    <w:rsid w:val="698E07D2"/>
    <w:rsid w:val="698E0D6B"/>
    <w:rsid w:val="69937B96"/>
    <w:rsid w:val="69992CD3"/>
    <w:rsid w:val="699F653B"/>
    <w:rsid w:val="69A55B1C"/>
    <w:rsid w:val="69AE2E8F"/>
    <w:rsid w:val="69B47B0D"/>
    <w:rsid w:val="69B658FA"/>
    <w:rsid w:val="69BD4C13"/>
    <w:rsid w:val="69C53AC8"/>
    <w:rsid w:val="69D00818"/>
    <w:rsid w:val="69D34437"/>
    <w:rsid w:val="69D41F5D"/>
    <w:rsid w:val="69D44760"/>
    <w:rsid w:val="69D73C9D"/>
    <w:rsid w:val="69DF0CAE"/>
    <w:rsid w:val="69E03D0C"/>
    <w:rsid w:val="69F66377"/>
    <w:rsid w:val="69FB12B4"/>
    <w:rsid w:val="6A070584"/>
    <w:rsid w:val="6A085EF7"/>
    <w:rsid w:val="6A0C7949"/>
    <w:rsid w:val="6A110E0D"/>
    <w:rsid w:val="6A114F5F"/>
    <w:rsid w:val="6A1231B1"/>
    <w:rsid w:val="6A18009C"/>
    <w:rsid w:val="6A1A2C16"/>
    <w:rsid w:val="6A1C7D59"/>
    <w:rsid w:val="6A1D56B2"/>
    <w:rsid w:val="6A1D608B"/>
    <w:rsid w:val="6A1F58CE"/>
    <w:rsid w:val="6A2151A2"/>
    <w:rsid w:val="6A247F9D"/>
    <w:rsid w:val="6A2858CA"/>
    <w:rsid w:val="6A285BB8"/>
    <w:rsid w:val="6A2B5052"/>
    <w:rsid w:val="6A3179FB"/>
    <w:rsid w:val="6A367131"/>
    <w:rsid w:val="6A393D2D"/>
    <w:rsid w:val="6A3F387A"/>
    <w:rsid w:val="6A437567"/>
    <w:rsid w:val="6A4469CB"/>
    <w:rsid w:val="6A4C294C"/>
    <w:rsid w:val="6A505A87"/>
    <w:rsid w:val="6A520EC7"/>
    <w:rsid w:val="6A521800"/>
    <w:rsid w:val="6A570BC4"/>
    <w:rsid w:val="6A58341E"/>
    <w:rsid w:val="6A5923BA"/>
    <w:rsid w:val="6A5F5312"/>
    <w:rsid w:val="6A600297"/>
    <w:rsid w:val="6A644E25"/>
    <w:rsid w:val="6A6B7163"/>
    <w:rsid w:val="6A6D78F5"/>
    <w:rsid w:val="6A6D7C61"/>
    <w:rsid w:val="6A6F052B"/>
    <w:rsid w:val="6A7379C8"/>
    <w:rsid w:val="6A7C4ACE"/>
    <w:rsid w:val="6A883473"/>
    <w:rsid w:val="6A892D47"/>
    <w:rsid w:val="6A8B520E"/>
    <w:rsid w:val="6A8C33E7"/>
    <w:rsid w:val="6A935974"/>
    <w:rsid w:val="6A9A4F55"/>
    <w:rsid w:val="6AA06A0F"/>
    <w:rsid w:val="6AA241F2"/>
    <w:rsid w:val="6AA66AB5"/>
    <w:rsid w:val="6AAA163C"/>
    <w:rsid w:val="6AAD425D"/>
    <w:rsid w:val="6AAF6C52"/>
    <w:rsid w:val="6AB51D8E"/>
    <w:rsid w:val="6AB54568"/>
    <w:rsid w:val="6AB749AB"/>
    <w:rsid w:val="6AB75B07"/>
    <w:rsid w:val="6AB97AD1"/>
    <w:rsid w:val="6ABA6B4B"/>
    <w:rsid w:val="6ABB6223"/>
    <w:rsid w:val="6AC00E5F"/>
    <w:rsid w:val="6AC67AF8"/>
    <w:rsid w:val="6ACD70D8"/>
    <w:rsid w:val="6AD06BC8"/>
    <w:rsid w:val="6AD1632C"/>
    <w:rsid w:val="6AD472F2"/>
    <w:rsid w:val="6ADA17F5"/>
    <w:rsid w:val="6AE34B4E"/>
    <w:rsid w:val="6AE82164"/>
    <w:rsid w:val="6AF87E20"/>
    <w:rsid w:val="6AFB3C45"/>
    <w:rsid w:val="6B0548C4"/>
    <w:rsid w:val="6B056872"/>
    <w:rsid w:val="6B0D1BCA"/>
    <w:rsid w:val="6B120988"/>
    <w:rsid w:val="6B251DCB"/>
    <w:rsid w:val="6B277C64"/>
    <w:rsid w:val="6B2807B2"/>
    <w:rsid w:val="6B316C7D"/>
    <w:rsid w:val="6B317667"/>
    <w:rsid w:val="6B322639"/>
    <w:rsid w:val="6B347553"/>
    <w:rsid w:val="6B3562DC"/>
    <w:rsid w:val="6B3A4ABE"/>
    <w:rsid w:val="6B3A7059"/>
    <w:rsid w:val="6B3B04E6"/>
    <w:rsid w:val="6B453112"/>
    <w:rsid w:val="6B480E55"/>
    <w:rsid w:val="6B485F70"/>
    <w:rsid w:val="6B4E646B"/>
    <w:rsid w:val="6B56531F"/>
    <w:rsid w:val="6B580F0F"/>
    <w:rsid w:val="6B5F2BBA"/>
    <w:rsid w:val="6B686544"/>
    <w:rsid w:val="6B712159"/>
    <w:rsid w:val="6B741C4A"/>
    <w:rsid w:val="6B750753"/>
    <w:rsid w:val="6B7D0AFE"/>
    <w:rsid w:val="6B824366"/>
    <w:rsid w:val="6B84284F"/>
    <w:rsid w:val="6B8974A3"/>
    <w:rsid w:val="6B8E7776"/>
    <w:rsid w:val="6B910106"/>
    <w:rsid w:val="6B9B71D6"/>
    <w:rsid w:val="6BA234A1"/>
    <w:rsid w:val="6BA73DCD"/>
    <w:rsid w:val="6BA80E80"/>
    <w:rsid w:val="6BA936A1"/>
    <w:rsid w:val="6BAB2DA7"/>
    <w:rsid w:val="6BB31F39"/>
    <w:rsid w:val="6BBC47BD"/>
    <w:rsid w:val="6BC200C9"/>
    <w:rsid w:val="6BC229B5"/>
    <w:rsid w:val="6BC43EE3"/>
    <w:rsid w:val="6BC71D79"/>
    <w:rsid w:val="6BC73521"/>
    <w:rsid w:val="6BCE135A"/>
    <w:rsid w:val="6BD34BC2"/>
    <w:rsid w:val="6BE20961"/>
    <w:rsid w:val="6BE51F5F"/>
    <w:rsid w:val="6BF012D0"/>
    <w:rsid w:val="6BF1329A"/>
    <w:rsid w:val="6BF40694"/>
    <w:rsid w:val="6BF608B1"/>
    <w:rsid w:val="6BFA214F"/>
    <w:rsid w:val="6C044D7B"/>
    <w:rsid w:val="6C0A4A08"/>
    <w:rsid w:val="6C0B4DE0"/>
    <w:rsid w:val="6C0E1756"/>
    <w:rsid w:val="6C1937AA"/>
    <w:rsid w:val="6C224524"/>
    <w:rsid w:val="6C265DF4"/>
    <w:rsid w:val="6C270A6A"/>
    <w:rsid w:val="6C276CBC"/>
    <w:rsid w:val="6C2B2308"/>
    <w:rsid w:val="6C2B5ACD"/>
    <w:rsid w:val="6C2E1722"/>
    <w:rsid w:val="6C303DC2"/>
    <w:rsid w:val="6C315445"/>
    <w:rsid w:val="6C317340"/>
    <w:rsid w:val="6C334D28"/>
    <w:rsid w:val="6C437E9D"/>
    <w:rsid w:val="6C464C5F"/>
    <w:rsid w:val="6C4B6152"/>
    <w:rsid w:val="6C532055"/>
    <w:rsid w:val="6C5A7E3D"/>
    <w:rsid w:val="6C5B73FB"/>
    <w:rsid w:val="6C5F6456"/>
    <w:rsid w:val="6C635F46"/>
    <w:rsid w:val="6C636C38"/>
    <w:rsid w:val="6C643A6C"/>
    <w:rsid w:val="6C691A23"/>
    <w:rsid w:val="6C6A65E0"/>
    <w:rsid w:val="6C6B6BA9"/>
    <w:rsid w:val="6C700A8A"/>
    <w:rsid w:val="6C7041BF"/>
    <w:rsid w:val="6C7714C1"/>
    <w:rsid w:val="6C845EBC"/>
    <w:rsid w:val="6C84625B"/>
    <w:rsid w:val="6C866B92"/>
    <w:rsid w:val="6C8D4D71"/>
    <w:rsid w:val="6C8F5286"/>
    <w:rsid w:val="6CA65E33"/>
    <w:rsid w:val="6CBF6EF4"/>
    <w:rsid w:val="6CC72000"/>
    <w:rsid w:val="6CC72155"/>
    <w:rsid w:val="6CCB5899"/>
    <w:rsid w:val="6CCF6157"/>
    <w:rsid w:val="6CD0174B"/>
    <w:rsid w:val="6CD52833"/>
    <w:rsid w:val="6CD96208"/>
    <w:rsid w:val="6CDA3D2E"/>
    <w:rsid w:val="6CDC7AA6"/>
    <w:rsid w:val="6CDE42D3"/>
    <w:rsid w:val="6CE150BD"/>
    <w:rsid w:val="6CE30E35"/>
    <w:rsid w:val="6CED3D59"/>
    <w:rsid w:val="6CF323F6"/>
    <w:rsid w:val="6CFA1CDB"/>
    <w:rsid w:val="6CFA38A3"/>
    <w:rsid w:val="6CFD633E"/>
    <w:rsid w:val="6D001BFD"/>
    <w:rsid w:val="6D042B59"/>
    <w:rsid w:val="6D062B97"/>
    <w:rsid w:val="6D0A63C2"/>
    <w:rsid w:val="6D107750"/>
    <w:rsid w:val="6D12171A"/>
    <w:rsid w:val="6D162FB8"/>
    <w:rsid w:val="6D1763FC"/>
    <w:rsid w:val="6D194017"/>
    <w:rsid w:val="6D1F1741"/>
    <w:rsid w:val="6D284222"/>
    <w:rsid w:val="6D2900BF"/>
    <w:rsid w:val="6D3001C2"/>
    <w:rsid w:val="6D317DF2"/>
    <w:rsid w:val="6D3527BF"/>
    <w:rsid w:val="6D367263"/>
    <w:rsid w:val="6D396CA7"/>
    <w:rsid w:val="6D3978A6"/>
    <w:rsid w:val="6D3B2A1F"/>
    <w:rsid w:val="6D3C0545"/>
    <w:rsid w:val="6D416D08"/>
    <w:rsid w:val="6D446F7A"/>
    <w:rsid w:val="6D4A2C62"/>
    <w:rsid w:val="6D5B09CB"/>
    <w:rsid w:val="6D633D24"/>
    <w:rsid w:val="6D643DFF"/>
    <w:rsid w:val="6D683F25"/>
    <w:rsid w:val="6D6E4213"/>
    <w:rsid w:val="6D716441"/>
    <w:rsid w:val="6D7777CF"/>
    <w:rsid w:val="6D821C9F"/>
    <w:rsid w:val="6D8A7502"/>
    <w:rsid w:val="6D8C7F00"/>
    <w:rsid w:val="6D8D79DF"/>
    <w:rsid w:val="6D8E6FF3"/>
    <w:rsid w:val="6D9B2892"/>
    <w:rsid w:val="6D9D09CE"/>
    <w:rsid w:val="6D9E678A"/>
    <w:rsid w:val="6DA00AD4"/>
    <w:rsid w:val="6DAB2E3F"/>
    <w:rsid w:val="6DAC29DE"/>
    <w:rsid w:val="6DB225B5"/>
    <w:rsid w:val="6DB2509B"/>
    <w:rsid w:val="6DB34098"/>
    <w:rsid w:val="6DB545B6"/>
    <w:rsid w:val="6DB85E1E"/>
    <w:rsid w:val="6DBD3434"/>
    <w:rsid w:val="6DC40776"/>
    <w:rsid w:val="6DCF2230"/>
    <w:rsid w:val="6DD538E7"/>
    <w:rsid w:val="6DD662A4"/>
    <w:rsid w:val="6DDA2238"/>
    <w:rsid w:val="6DE02FB4"/>
    <w:rsid w:val="6DE07122"/>
    <w:rsid w:val="6DE45D16"/>
    <w:rsid w:val="6DE55CC9"/>
    <w:rsid w:val="6DF10D7F"/>
    <w:rsid w:val="6DF62C90"/>
    <w:rsid w:val="6DFB5D0A"/>
    <w:rsid w:val="6E00321F"/>
    <w:rsid w:val="6E065796"/>
    <w:rsid w:val="6E1374F8"/>
    <w:rsid w:val="6E1713F2"/>
    <w:rsid w:val="6E1B45FE"/>
    <w:rsid w:val="6E1B5C31"/>
    <w:rsid w:val="6E1B63AC"/>
    <w:rsid w:val="6E1D0376"/>
    <w:rsid w:val="6E1D2124"/>
    <w:rsid w:val="6E1E7249"/>
    <w:rsid w:val="6E243B6F"/>
    <w:rsid w:val="6E260A53"/>
    <w:rsid w:val="6E26547D"/>
    <w:rsid w:val="6E2923C5"/>
    <w:rsid w:val="6E2D4DE6"/>
    <w:rsid w:val="6E315BD0"/>
    <w:rsid w:val="6E34121C"/>
    <w:rsid w:val="6E380D0C"/>
    <w:rsid w:val="6E453429"/>
    <w:rsid w:val="6E4C2A0A"/>
    <w:rsid w:val="6E514CED"/>
    <w:rsid w:val="6E5A295D"/>
    <w:rsid w:val="6E600263"/>
    <w:rsid w:val="6E6A391F"/>
    <w:rsid w:val="6E6B2E90"/>
    <w:rsid w:val="6E6B7334"/>
    <w:rsid w:val="6E6E0BD2"/>
    <w:rsid w:val="6E6F167B"/>
    <w:rsid w:val="6E706D7C"/>
    <w:rsid w:val="6E707655"/>
    <w:rsid w:val="6E773506"/>
    <w:rsid w:val="6E7C3D24"/>
    <w:rsid w:val="6E7D0E15"/>
    <w:rsid w:val="6E87149D"/>
    <w:rsid w:val="6E873A42"/>
    <w:rsid w:val="6E8A4390"/>
    <w:rsid w:val="6E8B4A99"/>
    <w:rsid w:val="6E9C573F"/>
    <w:rsid w:val="6E9F3F82"/>
    <w:rsid w:val="6EA470E4"/>
    <w:rsid w:val="6EAD16FA"/>
    <w:rsid w:val="6EB034E3"/>
    <w:rsid w:val="6EB321F9"/>
    <w:rsid w:val="6EB563D5"/>
    <w:rsid w:val="6EB63BCD"/>
    <w:rsid w:val="6EBF142E"/>
    <w:rsid w:val="6EC50500"/>
    <w:rsid w:val="6ECC3702"/>
    <w:rsid w:val="6ECE341F"/>
    <w:rsid w:val="6ED92677"/>
    <w:rsid w:val="6EE3336E"/>
    <w:rsid w:val="6EE42C42"/>
    <w:rsid w:val="6EE47A10"/>
    <w:rsid w:val="6EE60D49"/>
    <w:rsid w:val="6EE76183"/>
    <w:rsid w:val="6EEB2223"/>
    <w:rsid w:val="6EEE28C4"/>
    <w:rsid w:val="6EEF6D6B"/>
    <w:rsid w:val="6EF015E7"/>
    <w:rsid w:val="6EF03395"/>
    <w:rsid w:val="6EF573E8"/>
    <w:rsid w:val="6EF80849"/>
    <w:rsid w:val="6EFE1F56"/>
    <w:rsid w:val="6F013B3F"/>
    <w:rsid w:val="6F045092"/>
    <w:rsid w:val="6F045C56"/>
    <w:rsid w:val="6F0532E4"/>
    <w:rsid w:val="6F064610"/>
    <w:rsid w:val="6F08033E"/>
    <w:rsid w:val="6F0B34B0"/>
    <w:rsid w:val="6F0D14C5"/>
    <w:rsid w:val="6F112EDE"/>
    <w:rsid w:val="6F1169DF"/>
    <w:rsid w:val="6F143BD5"/>
    <w:rsid w:val="6F152DFC"/>
    <w:rsid w:val="6F1569D0"/>
    <w:rsid w:val="6F1C062E"/>
    <w:rsid w:val="6F1C12E5"/>
    <w:rsid w:val="6F1F10E3"/>
    <w:rsid w:val="6F225983"/>
    <w:rsid w:val="6F2319BD"/>
    <w:rsid w:val="6F2D5F56"/>
    <w:rsid w:val="6F301732"/>
    <w:rsid w:val="6F310257"/>
    <w:rsid w:val="6F321C00"/>
    <w:rsid w:val="6F321E6A"/>
    <w:rsid w:val="6F34175B"/>
    <w:rsid w:val="6F3C2A7E"/>
    <w:rsid w:val="6F3C482C"/>
    <w:rsid w:val="6F4502DF"/>
    <w:rsid w:val="6F547DC8"/>
    <w:rsid w:val="6F59718C"/>
    <w:rsid w:val="6F5B1156"/>
    <w:rsid w:val="6F5D4E25"/>
    <w:rsid w:val="6F5D6E5C"/>
    <w:rsid w:val="6F5E26E0"/>
    <w:rsid w:val="6F5E29F5"/>
    <w:rsid w:val="6F6447C8"/>
    <w:rsid w:val="6F651FD5"/>
    <w:rsid w:val="6F6B5112"/>
    <w:rsid w:val="6F6B6EC0"/>
    <w:rsid w:val="6F81075B"/>
    <w:rsid w:val="6F8306AD"/>
    <w:rsid w:val="6F83507F"/>
    <w:rsid w:val="6F854425"/>
    <w:rsid w:val="6F8A0F15"/>
    <w:rsid w:val="6F8A291B"/>
    <w:rsid w:val="6F8F7052"/>
    <w:rsid w:val="6F975F07"/>
    <w:rsid w:val="6F984159"/>
    <w:rsid w:val="6F9A2075"/>
    <w:rsid w:val="6F9B0855"/>
    <w:rsid w:val="6FA7155B"/>
    <w:rsid w:val="6FAD66B8"/>
    <w:rsid w:val="6FB14A63"/>
    <w:rsid w:val="6FBE7937"/>
    <w:rsid w:val="6FBF6376"/>
    <w:rsid w:val="6FC211D5"/>
    <w:rsid w:val="6FD11419"/>
    <w:rsid w:val="6FD35191"/>
    <w:rsid w:val="6FDA77B7"/>
    <w:rsid w:val="6FE169C0"/>
    <w:rsid w:val="6FE33E45"/>
    <w:rsid w:val="6FEE1FCA"/>
    <w:rsid w:val="6FF12A0C"/>
    <w:rsid w:val="6FF84BF7"/>
    <w:rsid w:val="6FFC5590"/>
    <w:rsid w:val="6FFE5F86"/>
    <w:rsid w:val="7007308C"/>
    <w:rsid w:val="700D7F77"/>
    <w:rsid w:val="701106FB"/>
    <w:rsid w:val="7012558D"/>
    <w:rsid w:val="7016507D"/>
    <w:rsid w:val="701B0414"/>
    <w:rsid w:val="702A5C34"/>
    <w:rsid w:val="702E30DF"/>
    <w:rsid w:val="703025E3"/>
    <w:rsid w:val="70390D6C"/>
    <w:rsid w:val="703A6FBE"/>
    <w:rsid w:val="703F45D4"/>
    <w:rsid w:val="7040659E"/>
    <w:rsid w:val="70410004"/>
    <w:rsid w:val="704240C4"/>
    <w:rsid w:val="70436255"/>
    <w:rsid w:val="704C0A9F"/>
    <w:rsid w:val="704E2A69"/>
    <w:rsid w:val="705067E1"/>
    <w:rsid w:val="705252F6"/>
    <w:rsid w:val="706758D9"/>
    <w:rsid w:val="706D1DD0"/>
    <w:rsid w:val="706F478E"/>
    <w:rsid w:val="70700C31"/>
    <w:rsid w:val="70712953"/>
    <w:rsid w:val="7071718D"/>
    <w:rsid w:val="707443AD"/>
    <w:rsid w:val="70761FC0"/>
    <w:rsid w:val="70807A12"/>
    <w:rsid w:val="70856B87"/>
    <w:rsid w:val="70902282"/>
    <w:rsid w:val="70997814"/>
    <w:rsid w:val="70A26911"/>
    <w:rsid w:val="70A46B2D"/>
    <w:rsid w:val="70AE5DB9"/>
    <w:rsid w:val="70B0102E"/>
    <w:rsid w:val="70B36D70"/>
    <w:rsid w:val="70B84386"/>
    <w:rsid w:val="70B87749"/>
    <w:rsid w:val="70C075BD"/>
    <w:rsid w:val="70C1148D"/>
    <w:rsid w:val="70C525FF"/>
    <w:rsid w:val="70C71D41"/>
    <w:rsid w:val="70C73144"/>
    <w:rsid w:val="70C7505B"/>
    <w:rsid w:val="70CB2BBE"/>
    <w:rsid w:val="70CC4734"/>
    <w:rsid w:val="70D2143C"/>
    <w:rsid w:val="70D527EE"/>
    <w:rsid w:val="70DC0075"/>
    <w:rsid w:val="70DC1D73"/>
    <w:rsid w:val="70E37655"/>
    <w:rsid w:val="70EB475C"/>
    <w:rsid w:val="70ED4030"/>
    <w:rsid w:val="70F133F4"/>
    <w:rsid w:val="70F157AE"/>
    <w:rsid w:val="70F41506"/>
    <w:rsid w:val="70F570C2"/>
    <w:rsid w:val="7104137A"/>
    <w:rsid w:val="710C3399"/>
    <w:rsid w:val="71146851"/>
    <w:rsid w:val="71215CF9"/>
    <w:rsid w:val="71235CA4"/>
    <w:rsid w:val="712C2B86"/>
    <w:rsid w:val="71316944"/>
    <w:rsid w:val="71327459"/>
    <w:rsid w:val="71355426"/>
    <w:rsid w:val="71461992"/>
    <w:rsid w:val="71465249"/>
    <w:rsid w:val="71467BE4"/>
    <w:rsid w:val="714C2588"/>
    <w:rsid w:val="714D03BF"/>
    <w:rsid w:val="71502811"/>
    <w:rsid w:val="71581D09"/>
    <w:rsid w:val="715B3690"/>
    <w:rsid w:val="715B5300"/>
    <w:rsid w:val="715D43C1"/>
    <w:rsid w:val="715E6CDC"/>
    <w:rsid w:val="71653A78"/>
    <w:rsid w:val="716D6F1F"/>
    <w:rsid w:val="71704C61"/>
    <w:rsid w:val="717100DF"/>
    <w:rsid w:val="71716D75"/>
    <w:rsid w:val="717324A2"/>
    <w:rsid w:val="717636DA"/>
    <w:rsid w:val="717F0F19"/>
    <w:rsid w:val="718D136F"/>
    <w:rsid w:val="71973F9C"/>
    <w:rsid w:val="719C15B2"/>
    <w:rsid w:val="719D19FB"/>
    <w:rsid w:val="71A072F4"/>
    <w:rsid w:val="71A60683"/>
    <w:rsid w:val="71AA1F21"/>
    <w:rsid w:val="71B20DD6"/>
    <w:rsid w:val="71B2527A"/>
    <w:rsid w:val="71B42DA0"/>
    <w:rsid w:val="71B52674"/>
    <w:rsid w:val="71B763EC"/>
    <w:rsid w:val="71B82AA1"/>
    <w:rsid w:val="71BC0C29"/>
    <w:rsid w:val="71C4397A"/>
    <w:rsid w:val="71C43B3E"/>
    <w:rsid w:val="71C601B0"/>
    <w:rsid w:val="71CD3E62"/>
    <w:rsid w:val="71CD5C10"/>
    <w:rsid w:val="71CF1988"/>
    <w:rsid w:val="71CF3194"/>
    <w:rsid w:val="71CF3DD8"/>
    <w:rsid w:val="71D27F8A"/>
    <w:rsid w:val="71D945B4"/>
    <w:rsid w:val="71DE7E1D"/>
    <w:rsid w:val="71EA4129"/>
    <w:rsid w:val="71F238C8"/>
    <w:rsid w:val="71FD61AA"/>
    <w:rsid w:val="71FD64F5"/>
    <w:rsid w:val="720553A9"/>
    <w:rsid w:val="72086BD7"/>
    <w:rsid w:val="720E0702"/>
    <w:rsid w:val="72135E5F"/>
    <w:rsid w:val="72192C03"/>
    <w:rsid w:val="721E646B"/>
    <w:rsid w:val="7229553C"/>
    <w:rsid w:val="72312642"/>
    <w:rsid w:val="72361A07"/>
    <w:rsid w:val="724177ED"/>
    <w:rsid w:val="724759C2"/>
    <w:rsid w:val="724B0BBD"/>
    <w:rsid w:val="724C5DE0"/>
    <w:rsid w:val="724E4B1F"/>
    <w:rsid w:val="72553024"/>
    <w:rsid w:val="72565C05"/>
    <w:rsid w:val="725C58D5"/>
    <w:rsid w:val="725F5A12"/>
    <w:rsid w:val="72600832"/>
    <w:rsid w:val="726378D3"/>
    <w:rsid w:val="72640322"/>
    <w:rsid w:val="72641157"/>
    <w:rsid w:val="7265409A"/>
    <w:rsid w:val="72655E48"/>
    <w:rsid w:val="7267633E"/>
    <w:rsid w:val="726A16B0"/>
    <w:rsid w:val="72710C91"/>
    <w:rsid w:val="72723FF6"/>
    <w:rsid w:val="72783DCD"/>
    <w:rsid w:val="7278413D"/>
    <w:rsid w:val="727D7636"/>
    <w:rsid w:val="72824C4C"/>
    <w:rsid w:val="72834520"/>
    <w:rsid w:val="72851E13"/>
    <w:rsid w:val="728D79EF"/>
    <w:rsid w:val="728E539F"/>
    <w:rsid w:val="72A53549"/>
    <w:rsid w:val="72AC7F1B"/>
    <w:rsid w:val="72AE3C93"/>
    <w:rsid w:val="72B1434F"/>
    <w:rsid w:val="72B312A9"/>
    <w:rsid w:val="72B8241C"/>
    <w:rsid w:val="72BB3CBA"/>
    <w:rsid w:val="72BF3E69"/>
    <w:rsid w:val="72C708B1"/>
    <w:rsid w:val="72CA0D08"/>
    <w:rsid w:val="72CB65F3"/>
    <w:rsid w:val="72CF7087"/>
    <w:rsid w:val="72D336FA"/>
    <w:rsid w:val="72D51220"/>
    <w:rsid w:val="72D860FE"/>
    <w:rsid w:val="72F07E08"/>
    <w:rsid w:val="72F1559A"/>
    <w:rsid w:val="72F44653"/>
    <w:rsid w:val="72F5714F"/>
    <w:rsid w:val="73010CA3"/>
    <w:rsid w:val="730974BC"/>
    <w:rsid w:val="730F3D31"/>
    <w:rsid w:val="73107FB9"/>
    <w:rsid w:val="73120E2F"/>
    <w:rsid w:val="73122968"/>
    <w:rsid w:val="73135F4C"/>
    <w:rsid w:val="73152994"/>
    <w:rsid w:val="7315786E"/>
    <w:rsid w:val="731B7EAB"/>
    <w:rsid w:val="731D40E5"/>
    <w:rsid w:val="731F2796"/>
    <w:rsid w:val="731F5D5E"/>
    <w:rsid w:val="73221F8B"/>
    <w:rsid w:val="73337CF4"/>
    <w:rsid w:val="733A5527"/>
    <w:rsid w:val="73465C7A"/>
    <w:rsid w:val="73487C44"/>
    <w:rsid w:val="7349576A"/>
    <w:rsid w:val="73497518"/>
    <w:rsid w:val="734A4791"/>
    <w:rsid w:val="73521A35"/>
    <w:rsid w:val="735465E8"/>
    <w:rsid w:val="73566CAF"/>
    <w:rsid w:val="7357094A"/>
    <w:rsid w:val="73592A5F"/>
    <w:rsid w:val="735A1725"/>
    <w:rsid w:val="735A34D3"/>
    <w:rsid w:val="736A39E4"/>
    <w:rsid w:val="736C090E"/>
    <w:rsid w:val="73714DCC"/>
    <w:rsid w:val="73797DFD"/>
    <w:rsid w:val="737B24EE"/>
    <w:rsid w:val="737B7B34"/>
    <w:rsid w:val="738223DC"/>
    <w:rsid w:val="73852C46"/>
    <w:rsid w:val="73885001"/>
    <w:rsid w:val="7390793D"/>
    <w:rsid w:val="73925C3E"/>
    <w:rsid w:val="739979B0"/>
    <w:rsid w:val="73A17354"/>
    <w:rsid w:val="73A254D1"/>
    <w:rsid w:val="73A72328"/>
    <w:rsid w:val="73A750C7"/>
    <w:rsid w:val="73AA26AC"/>
    <w:rsid w:val="73AB1CF8"/>
    <w:rsid w:val="73AB3D2F"/>
    <w:rsid w:val="73B9469D"/>
    <w:rsid w:val="73BC6D60"/>
    <w:rsid w:val="73C10F9D"/>
    <w:rsid w:val="73C117A4"/>
    <w:rsid w:val="73C31078"/>
    <w:rsid w:val="73C41E76"/>
    <w:rsid w:val="73C51AD5"/>
    <w:rsid w:val="73C51C7D"/>
    <w:rsid w:val="73C92407"/>
    <w:rsid w:val="73CA68AB"/>
    <w:rsid w:val="73CD639B"/>
    <w:rsid w:val="73D56FFD"/>
    <w:rsid w:val="73D6781F"/>
    <w:rsid w:val="73D83687"/>
    <w:rsid w:val="73DC2DCE"/>
    <w:rsid w:val="73DE2356"/>
    <w:rsid w:val="73E109B4"/>
    <w:rsid w:val="73E3796C"/>
    <w:rsid w:val="73E454EF"/>
    <w:rsid w:val="73E536E4"/>
    <w:rsid w:val="73E949B6"/>
    <w:rsid w:val="73EB10C8"/>
    <w:rsid w:val="73FE47A6"/>
    <w:rsid w:val="73FE6554"/>
    <w:rsid w:val="740022CC"/>
    <w:rsid w:val="74051691"/>
    <w:rsid w:val="7409712D"/>
    <w:rsid w:val="740A6CA7"/>
    <w:rsid w:val="74116287"/>
    <w:rsid w:val="74147B26"/>
    <w:rsid w:val="741E793C"/>
    <w:rsid w:val="74245119"/>
    <w:rsid w:val="74284EDD"/>
    <w:rsid w:val="742A10F7"/>
    <w:rsid w:val="742D6E39"/>
    <w:rsid w:val="74324450"/>
    <w:rsid w:val="74365CEE"/>
    <w:rsid w:val="74387CB8"/>
    <w:rsid w:val="74420FDF"/>
    <w:rsid w:val="744228E5"/>
    <w:rsid w:val="7446107D"/>
    <w:rsid w:val="74525290"/>
    <w:rsid w:val="74541DCE"/>
    <w:rsid w:val="74542618"/>
    <w:rsid w:val="745A2F66"/>
    <w:rsid w:val="745E3944"/>
    <w:rsid w:val="74640AAD"/>
    <w:rsid w:val="74650185"/>
    <w:rsid w:val="7472484C"/>
    <w:rsid w:val="747B2B41"/>
    <w:rsid w:val="747D56CB"/>
    <w:rsid w:val="74806F69"/>
    <w:rsid w:val="74850A24"/>
    <w:rsid w:val="748A4B39"/>
    <w:rsid w:val="748F3650"/>
    <w:rsid w:val="74990904"/>
    <w:rsid w:val="74991580"/>
    <w:rsid w:val="749F7D37"/>
    <w:rsid w:val="74AC555F"/>
    <w:rsid w:val="74B03CF2"/>
    <w:rsid w:val="74B44E65"/>
    <w:rsid w:val="74B82BA7"/>
    <w:rsid w:val="74BD015D"/>
    <w:rsid w:val="74C3041D"/>
    <w:rsid w:val="74C810BD"/>
    <w:rsid w:val="74C9149E"/>
    <w:rsid w:val="74C94DB4"/>
    <w:rsid w:val="74DB4EF0"/>
    <w:rsid w:val="74DC4AE7"/>
    <w:rsid w:val="74DD43BC"/>
    <w:rsid w:val="74E160F8"/>
    <w:rsid w:val="74E41BEE"/>
    <w:rsid w:val="74E514C2"/>
    <w:rsid w:val="74E7348C"/>
    <w:rsid w:val="74ED70F5"/>
    <w:rsid w:val="74F040EF"/>
    <w:rsid w:val="74F160B9"/>
    <w:rsid w:val="74F3598D"/>
    <w:rsid w:val="74FA6D1C"/>
    <w:rsid w:val="74FF67F2"/>
    <w:rsid w:val="750000AA"/>
    <w:rsid w:val="75093403"/>
    <w:rsid w:val="7510653F"/>
    <w:rsid w:val="75127B90"/>
    <w:rsid w:val="752263F0"/>
    <w:rsid w:val="752277A4"/>
    <w:rsid w:val="75246E18"/>
    <w:rsid w:val="752B25F8"/>
    <w:rsid w:val="7530098F"/>
    <w:rsid w:val="75330480"/>
    <w:rsid w:val="75365382"/>
    <w:rsid w:val="75375467"/>
    <w:rsid w:val="75381725"/>
    <w:rsid w:val="75400D35"/>
    <w:rsid w:val="7553467E"/>
    <w:rsid w:val="75544D72"/>
    <w:rsid w:val="75565720"/>
    <w:rsid w:val="75576FC0"/>
    <w:rsid w:val="755C3532"/>
    <w:rsid w:val="755D1591"/>
    <w:rsid w:val="755F4D0A"/>
    <w:rsid w:val="75671ED7"/>
    <w:rsid w:val="757271FA"/>
    <w:rsid w:val="757545F4"/>
    <w:rsid w:val="757A6FC0"/>
    <w:rsid w:val="757D16FB"/>
    <w:rsid w:val="75840CDB"/>
    <w:rsid w:val="758B02BC"/>
    <w:rsid w:val="758B206A"/>
    <w:rsid w:val="75976C60"/>
    <w:rsid w:val="759D2A16"/>
    <w:rsid w:val="75A25616"/>
    <w:rsid w:val="75A710D9"/>
    <w:rsid w:val="75A924F0"/>
    <w:rsid w:val="75AB6268"/>
    <w:rsid w:val="75AD3537"/>
    <w:rsid w:val="75B01E62"/>
    <w:rsid w:val="75B3511C"/>
    <w:rsid w:val="75B570E6"/>
    <w:rsid w:val="75B94E29"/>
    <w:rsid w:val="75BA4488"/>
    <w:rsid w:val="75BF12C2"/>
    <w:rsid w:val="75C13CDD"/>
    <w:rsid w:val="75C31803"/>
    <w:rsid w:val="75C537CD"/>
    <w:rsid w:val="75CA32C9"/>
    <w:rsid w:val="75D25EEA"/>
    <w:rsid w:val="75D732ED"/>
    <w:rsid w:val="75DE0B1B"/>
    <w:rsid w:val="75E6623C"/>
    <w:rsid w:val="75E94ACF"/>
    <w:rsid w:val="75ED071E"/>
    <w:rsid w:val="75EE5368"/>
    <w:rsid w:val="75EF1417"/>
    <w:rsid w:val="75F220E9"/>
    <w:rsid w:val="75F517B1"/>
    <w:rsid w:val="75F8542B"/>
    <w:rsid w:val="7601232C"/>
    <w:rsid w:val="76065B94"/>
    <w:rsid w:val="760A0098"/>
    <w:rsid w:val="760F4A49"/>
    <w:rsid w:val="76236746"/>
    <w:rsid w:val="76263B40"/>
    <w:rsid w:val="762A3631"/>
    <w:rsid w:val="762F0C9A"/>
    <w:rsid w:val="76312C11"/>
    <w:rsid w:val="7635099D"/>
    <w:rsid w:val="76377F56"/>
    <w:rsid w:val="76465F91"/>
    <w:rsid w:val="764A3CD3"/>
    <w:rsid w:val="764B632B"/>
    <w:rsid w:val="764D4EA7"/>
    <w:rsid w:val="764E4E66"/>
    <w:rsid w:val="76577C66"/>
    <w:rsid w:val="76582880"/>
    <w:rsid w:val="76593F16"/>
    <w:rsid w:val="765C6FAE"/>
    <w:rsid w:val="766034F6"/>
    <w:rsid w:val="7666438C"/>
    <w:rsid w:val="766905FD"/>
    <w:rsid w:val="76714625"/>
    <w:rsid w:val="767D5E56"/>
    <w:rsid w:val="767E5FFC"/>
    <w:rsid w:val="768014A2"/>
    <w:rsid w:val="768750F0"/>
    <w:rsid w:val="76876CD5"/>
    <w:rsid w:val="768852C2"/>
    <w:rsid w:val="768E1E11"/>
    <w:rsid w:val="769242A1"/>
    <w:rsid w:val="76937428"/>
    <w:rsid w:val="76980B7D"/>
    <w:rsid w:val="76A01B45"/>
    <w:rsid w:val="76A2766B"/>
    <w:rsid w:val="76A5715B"/>
    <w:rsid w:val="76A7254E"/>
    <w:rsid w:val="76AF1D88"/>
    <w:rsid w:val="76B178AE"/>
    <w:rsid w:val="76C902CE"/>
    <w:rsid w:val="76CC293A"/>
    <w:rsid w:val="76CF41D8"/>
    <w:rsid w:val="76D33CC8"/>
    <w:rsid w:val="76DA5057"/>
    <w:rsid w:val="76DD5829"/>
    <w:rsid w:val="76DE41F1"/>
    <w:rsid w:val="76DF3CD0"/>
    <w:rsid w:val="76E11454"/>
    <w:rsid w:val="76E45ED5"/>
    <w:rsid w:val="76E732D0"/>
    <w:rsid w:val="76EC2FDC"/>
    <w:rsid w:val="76EC6E2F"/>
    <w:rsid w:val="76EF585D"/>
    <w:rsid w:val="76F1414E"/>
    <w:rsid w:val="76F87F1C"/>
    <w:rsid w:val="76FA1F58"/>
    <w:rsid w:val="76FD33E8"/>
    <w:rsid w:val="76FE71E4"/>
    <w:rsid w:val="770E4D00"/>
    <w:rsid w:val="7711657D"/>
    <w:rsid w:val="77153A6F"/>
    <w:rsid w:val="771A3308"/>
    <w:rsid w:val="771B11CB"/>
    <w:rsid w:val="771B1A7D"/>
    <w:rsid w:val="771D0B6E"/>
    <w:rsid w:val="771D3195"/>
    <w:rsid w:val="77244524"/>
    <w:rsid w:val="7728263E"/>
    <w:rsid w:val="772E7150"/>
    <w:rsid w:val="773C4F05"/>
    <w:rsid w:val="774626EC"/>
    <w:rsid w:val="77471230"/>
    <w:rsid w:val="77505319"/>
    <w:rsid w:val="775B081D"/>
    <w:rsid w:val="775E009D"/>
    <w:rsid w:val="775F730A"/>
    <w:rsid w:val="77611954"/>
    <w:rsid w:val="77646552"/>
    <w:rsid w:val="7769462C"/>
    <w:rsid w:val="777234E1"/>
    <w:rsid w:val="77731007"/>
    <w:rsid w:val="77762421"/>
    <w:rsid w:val="777C610E"/>
    <w:rsid w:val="777E2AB0"/>
    <w:rsid w:val="778B1D3B"/>
    <w:rsid w:val="778C3778"/>
    <w:rsid w:val="77980A6E"/>
    <w:rsid w:val="779E2EEF"/>
    <w:rsid w:val="77A66FEF"/>
    <w:rsid w:val="77B56B1F"/>
    <w:rsid w:val="77B7489D"/>
    <w:rsid w:val="77B75398"/>
    <w:rsid w:val="77B9239B"/>
    <w:rsid w:val="77B95C51"/>
    <w:rsid w:val="77BC650A"/>
    <w:rsid w:val="77C268AB"/>
    <w:rsid w:val="77C828A5"/>
    <w:rsid w:val="77CE3F30"/>
    <w:rsid w:val="77D126E4"/>
    <w:rsid w:val="77D23F80"/>
    <w:rsid w:val="77D61393"/>
    <w:rsid w:val="77D73080"/>
    <w:rsid w:val="77DE0B76"/>
    <w:rsid w:val="77DF3D82"/>
    <w:rsid w:val="77DF669D"/>
    <w:rsid w:val="77E048EF"/>
    <w:rsid w:val="77E5555E"/>
    <w:rsid w:val="77EB2296"/>
    <w:rsid w:val="77EE068E"/>
    <w:rsid w:val="77EF5AEB"/>
    <w:rsid w:val="77F02658"/>
    <w:rsid w:val="77F11A4A"/>
    <w:rsid w:val="77F359A1"/>
    <w:rsid w:val="78045370"/>
    <w:rsid w:val="78061E7B"/>
    <w:rsid w:val="780B7492"/>
    <w:rsid w:val="780F09F4"/>
    <w:rsid w:val="781400F4"/>
    <w:rsid w:val="781440A5"/>
    <w:rsid w:val="78184000"/>
    <w:rsid w:val="781910F9"/>
    <w:rsid w:val="781B0B0C"/>
    <w:rsid w:val="781E71C5"/>
    <w:rsid w:val="781F4CEB"/>
    <w:rsid w:val="78207686"/>
    <w:rsid w:val="782A7918"/>
    <w:rsid w:val="782B18E2"/>
    <w:rsid w:val="782F2CE8"/>
    <w:rsid w:val="78305A5A"/>
    <w:rsid w:val="78324A1E"/>
    <w:rsid w:val="78393FFF"/>
    <w:rsid w:val="783A169F"/>
    <w:rsid w:val="783B7D77"/>
    <w:rsid w:val="783C2C9E"/>
    <w:rsid w:val="783C3AEF"/>
    <w:rsid w:val="78472631"/>
    <w:rsid w:val="784847E6"/>
    <w:rsid w:val="784B788E"/>
    <w:rsid w:val="78526E6F"/>
    <w:rsid w:val="78556E00"/>
    <w:rsid w:val="785726D7"/>
    <w:rsid w:val="78597FC3"/>
    <w:rsid w:val="785E75C1"/>
    <w:rsid w:val="786077DD"/>
    <w:rsid w:val="7863107C"/>
    <w:rsid w:val="78686692"/>
    <w:rsid w:val="786A0221"/>
    <w:rsid w:val="786F5C73"/>
    <w:rsid w:val="786F7A21"/>
    <w:rsid w:val="78745037"/>
    <w:rsid w:val="78782D79"/>
    <w:rsid w:val="787D213D"/>
    <w:rsid w:val="787D5297"/>
    <w:rsid w:val="787E75BC"/>
    <w:rsid w:val="78870641"/>
    <w:rsid w:val="78886D34"/>
    <w:rsid w:val="788C3154"/>
    <w:rsid w:val="7894759B"/>
    <w:rsid w:val="78962BEC"/>
    <w:rsid w:val="789B25C4"/>
    <w:rsid w:val="789C4865"/>
    <w:rsid w:val="78A90480"/>
    <w:rsid w:val="78A91184"/>
    <w:rsid w:val="78AA797A"/>
    <w:rsid w:val="78AE5097"/>
    <w:rsid w:val="78B06145"/>
    <w:rsid w:val="78B83176"/>
    <w:rsid w:val="78C22E67"/>
    <w:rsid w:val="78C23FF4"/>
    <w:rsid w:val="78C96128"/>
    <w:rsid w:val="78D31728"/>
    <w:rsid w:val="78D36201"/>
    <w:rsid w:val="78E24696"/>
    <w:rsid w:val="78E55F35"/>
    <w:rsid w:val="78F47F26"/>
    <w:rsid w:val="78F567D8"/>
    <w:rsid w:val="78F91AEA"/>
    <w:rsid w:val="78FD502C"/>
    <w:rsid w:val="79030B7F"/>
    <w:rsid w:val="79033751"/>
    <w:rsid w:val="79036546"/>
    <w:rsid w:val="7907499D"/>
    <w:rsid w:val="790945BB"/>
    <w:rsid w:val="790E0FE8"/>
    <w:rsid w:val="79134850"/>
    <w:rsid w:val="79167E9C"/>
    <w:rsid w:val="79196BEE"/>
    <w:rsid w:val="791E4FA3"/>
    <w:rsid w:val="7927201B"/>
    <w:rsid w:val="79295E21"/>
    <w:rsid w:val="792F0F5E"/>
    <w:rsid w:val="793A6280"/>
    <w:rsid w:val="79435553"/>
    <w:rsid w:val="794C1B10"/>
    <w:rsid w:val="79507852"/>
    <w:rsid w:val="79570BE0"/>
    <w:rsid w:val="79610BF6"/>
    <w:rsid w:val="79703A50"/>
    <w:rsid w:val="79797DE9"/>
    <w:rsid w:val="79850083"/>
    <w:rsid w:val="79856DD0"/>
    <w:rsid w:val="798C6BC1"/>
    <w:rsid w:val="798F63DB"/>
    <w:rsid w:val="79943D15"/>
    <w:rsid w:val="79982FA7"/>
    <w:rsid w:val="79994543"/>
    <w:rsid w:val="79A32B26"/>
    <w:rsid w:val="79A501FE"/>
    <w:rsid w:val="79A75C38"/>
    <w:rsid w:val="79A8143C"/>
    <w:rsid w:val="79AE27CB"/>
    <w:rsid w:val="79B50780"/>
    <w:rsid w:val="79B50CA1"/>
    <w:rsid w:val="79B67450"/>
    <w:rsid w:val="79BB5459"/>
    <w:rsid w:val="79BC0732"/>
    <w:rsid w:val="79C421B0"/>
    <w:rsid w:val="79CE0777"/>
    <w:rsid w:val="79D47884"/>
    <w:rsid w:val="79D815F5"/>
    <w:rsid w:val="79E461EC"/>
    <w:rsid w:val="79EA2121"/>
    <w:rsid w:val="79EB757B"/>
    <w:rsid w:val="79F41B44"/>
    <w:rsid w:val="79FB54C8"/>
    <w:rsid w:val="7A072BC0"/>
    <w:rsid w:val="7A0D5743"/>
    <w:rsid w:val="7A0E5017"/>
    <w:rsid w:val="7A1563A6"/>
    <w:rsid w:val="7A232871"/>
    <w:rsid w:val="7A2332DE"/>
    <w:rsid w:val="7A233ABC"/>
    <w:rsid w:val="7A2E02FA"/>
    <w:rsid w:val="7A326F58"/>
    <w:rsid w:val="7A342CD0"/>
    <w:rsid w:val="7A364017"/>
    <w:rsid w:val="7A3C1B84"/>
    <w:rsid w:val="7A3D7C35"/>
    <w:rsid w:val="7A4153ED"/>
    <w:rsid w:val="7A486B67"/>
    <w:rsid w:val="7A490C32"/>
    <w:rsid w:val="7A4E0C93"/>
    <w:rsid w:val="7A516828"/>
    <w:rsid w:val="7A5373C1"/>
    <w:rsid w:val="7A572FE3"/>
    <w:rsid w:val="7A574C10"/>
    <w:rsid w:val="7A61783D"/>
    <w:rsid w:val="7A6A3232"/>
    <w:rsid w:val="7A6F5AB6"/>
    <w:rsid w:val="7A721A4A"/>
    <w:rsid w:val="7A811C8D"/>
    <w:rsid w:val="7A8265E1"/>
    <w:rsid w:val="7A8552D9"/>
    <w:rsid w:val="7A8F45AA"/>
    <w:rsid w:val="7A9B4AFD"/>
    <w:rsid w:val="7AAA5B1D"/>
    <w:rsid w:val="7AB542EE"/>
    <w:rsid w:val="7AC202DC"/>
    <w:rsid w:val="7AC85E24"/>
    <w:rsid w:val="7ACA53E2"/>
    <w:rsid w:val="7ACC2F08"/>
    <w:rsid w:val="7AD27EBD"/>
    <w:rsid w:val="7AD41DBD"/>
    <w:rsid w:val="7AD46E57"/>
    <w:rsid w:val="7AD61FD9"/>
    <w:rsid w:val="7AD71577"/>
    <w:rsid w:val="7AD77BBF"/>
    <w:rsid w:val="7AD93877"/>
    <w:rsid w:val="7ADE5D3C"/>
    <w:rsid w:val="7ADE6D34"/>
    <w:rsid w:val="7AE528BD"/>
    <w:rsid w:val="7AE53E79"/>
    <w:rsid w:val="7AE82AC3"/>
    <w:rsid w:val="7AED182A"/>
    <w:rsid w:val="7AEE7D53"/>
    <w:rsid w:val="7AEF4E49"/>
    <w:rsid w:val="7AF43E53"/>
    <w:rsid w:val="7AF4420D"/>
    <w:rsid w:val="7B017E0B"/>
    <w:rsid w:val="7B022DCE"/>
    <w:rsid w:val="7B0408F4"/>
    <w:rsid w:val="7B0B76CA"/>
    <w:rsid w:val="7B136D89"/>
    <w:rsid w:val="7B137599"/>
    <w:rsid w:val="7B1C6EE2"/>
    <w:rsid w:val="7B1E128A"/>
    <w:rsid w:val="7B2368A0"/>
    <w:rsid w:val="7B2745E3"/>
    <w:rsid w:val="7B2A7C2F"/>
    <w:rsid w:val="7B2D5625"/>
    <w:rsid w:val="7B2F4F94"/>
    <w:rsid w:val="7B3311D9"/>
    <w:rsid w:val="7B3313CC"/>
    <w:rsid w:val="7B3828E7"/>
    <w:rsid w:val="7B3A4316"/>
    <w:rsid w:val="7B3B184D"/>
    <w:rsid w:val="7B4038F6"/>
    <w:rsid w:val="7B4909FD"/>
    <w:rsid w:val="7B4A02D1"/>
    <w:rsid w:val="7B4C1F4E"/>
    <w:rsid w:val="7B4C229B"/>
    <w:rsid w:val="7B4E05AB"/>
    <w:rsid w:val="7B51165F"/>
    <w:rsid w:val="7B56407B"/>
    <w:rsid w:val="7B576EF9"/>
    <w:rsid w:val="7B5876EA"/>
    <w:rsid w:val="7B5A6D5A"/>
    <w:rsid w:val="7B61727C"/>
    <w:rsid w:val="7B65510B"/>
    <w:rsid w:val="7B686D42"/>
    <w:rsid w:val="7B6C6499"/>
    <w:rsid w:val="7B6E018F"/>
    <w:rsid w:val="7B7018CD"/>
    <w:rsid w:val="7B7122A7"/>
    <w:rsid w:val="7B786BEC"/>
    <w:rsid w:val="7B797EF7"/>
    <w:rsid w:val="7B7A118C"/>
    <w:rsid w:val="7B7D06A6"/>
    <w:rsid w:val="7B810197"/>
    <w:rsid w:val="7B815205"/>
    <w:rsid w:val="7B841746"/>
    <w:rsid w:val="7B8578B3"/>
    <w:rsid w:val="7B8E4662"/>
    <w:rsid w:val="7B901A89"/>
    <w:rsid w:val="7B9559F0"/>
    <w:rsid w:val="7B9647DB"/>
    <w:rsid w:val="7B9854E0"/>
    <w:rsid w:val="7BA4768F"/>
    <w:rsid w:val="7BB00C9D"/>
    <w:rsid w:val="7BB06259"/>
    <w:rsid w:val="7BB35E76"/>
    <w:rsid w:val="7BBD4F47"/>
    <w:rsid w:val="7BC30778"/>
    <w:rsid w:val="7BC47EE0"/>
    <w:rsid w:val="7BC65BA9"/>
    <w:rsid w:val="7BCF6A0D"/>
    <w:rsid w:val="7BD06079"/>
    <w:rsid w:val="7BD227A0"/>
    <w:rsid w:val="7BD36518"/>
    <w:rsid w:val="7BD5403F"/>
    <w:rsid w:val="7BD605FA"/>
    <w:rsid w:val="7BE349AD"/>
    <w:rsid w:val="7BEE3352"/>
    <w:rsid w:val="7BEE5100"/>
    <w:rsid w:val="7BF10DD0"/>
    <w:rsid w:val="7BF23E2B"/>
    <w:rsid w:val="7BFC15CB"/>
    <w:rsid w:val="7C006C7B"/>
    <w:rsid w:val="7C0973EC"/>
    <w:rsid w:val="7C1009D7"/>
    <w:rsid w:val="7C1034D3"/>
    <w:rsid w:val="7C122B9D"/>
    <w:rsid w:val="7C136915"/>
    <w:rsid w:val="7C1508DF"/>
    <w:rsid w:val="7C1C012B"/>
    <w:rsid w:val="7C1C3A1B"/>
    <w:rsid w:val="7C1D7794"/>
    <w:rsid w:val="7C234B89"/>
    <w:rsid w:val="7C25698E"/>
    <w:rsid w:val="7C2F7BF3"/>
    <w:rsid w:val="7C30396B"/>
    <w:rsid w:val="7C3207AF"/>
    <w:rsid w:val="7C37425F"/>
    <w:rsid w:val="7C374CF9"/>
    <w:rsid w:val="7C3F770A"/>
    <w:rsid w:val="7C460A98"/>
    <w:rsid w:val="7C460EF2"/>
    <w:rsid w:val="7C4915FB"/>
    <w:rsid w:val="7C523471"/>
    <w:rsid w:val="7C5238E1"/>
    <w:rsid w:val="7C523992"/>
    <w:rsid w:val="7C5A2796"/>
    <w:rsid w:val="7C5C02BC"/>
    <w:rsid w:val="7C624616"/>
    <w:rsid w:val="7C694787"/>
    <w:rsid w:val="7C6C5AC7"/>
    <w:rsid w:val="7C6D4277"/>
    <w:rsid w:val="7C704248"/>
    <w:rsid w:val="7C7C44BA"/>
    <w:rsid w:val="7C865339"/>
    <w:rsid w:val="7C8A307B"/>
    <w:rsid w:val="7C8D4BFF"/>
    <w:rsid w:val="7C94337D"/>
    <w:rsid w:val="7C961A20"/>
    <w:rsid w:val="7C9B7036"/>
    <w:rsid w:val="7C9C2DAE"/>
    <w:rsid w:val="7C9C5B48"/>
    <w:rsid w:val="7CA0464C"/>
    <w:rsid w:val="7CA37C99"/>
    <w:rsid w:val="7CA67789"/>
    <w:rsid w:val="7CA852AF"/>
    <w:rsid w:val="7CAB4D9F"/>
    <w:rsid w:val="7CC40FE0"/>
    <w:rsid w:val="7CC52305"/>
    <w:rsid w:val="7CC6544B"/>
    <w:rsid w:val="7CC759B6"/>
    <w:rsid w:val="7CC7607D"/>
    <w:rsid w:val="7CD2057E"/>
    <w:rsid w:val="7CE704CD"/>
    <w:rsid w:val="7CE7227B"/>
    <w:rsid w:val="7CE85E00"/>
    <w:rsid w:val="7CF7272E"/>
    <w:rsid w:val="7CFB4E79"/>
    <w:rsid w:val="7CFC7686"/>
    <w:rsid w:val="7CFE1373"/>
    <w:rsid w:val="7D000522"/>
    <w:rsid w:val="7D0239FF"/>
    <w:rsid w:val="7D050953"/>
    <w:rsid w:val="7D050EA4"/>
    <w:rsid w:val="7D060AB1"/>
    <w:rsid w:val="7D0A7D18"/>
    <w:rsid w:val="7D0E2CFF"/>
    <w:rsid w:val="7D172435"/>
    <w:rsid w:val="7D2C7C8E"/>
    <w:rsid w:val="7D374932"/>
    <w:rsid w:val="7D3B0266"/>
    <w:rsid w:val="7D3B6123"/>
    <w:rsid w:val="7D3E4DCA"/>
    <w:rsid w:val="7D3F36BC"/>
    <w:rsid w:val="7D407C37"/>
    <w:rsid w:val="7D472D1A"/>
    <w:rsid w:val="7D4C3E65"/>
    <w:rsid w:val="7D4F1BCF"/>
    <w:rsid w:val="7D4F5468"/>
    <w:rsid w:val="7D513857"/>
    <w:rsid w:val="7D595BAD"/>
    <w:rsid w:val="7D5D253D"/>
    <w:rsid w:val="7D5E40CD"/>
    <w:rsid w:val="7D627B54"/>
    <w:rsid w:val="7D6438CC"/>
    <w:rsid w:val="7D6733BC"/>
    <w:rsid w:val="7D690EE2"/>
    <w:rsid w:val="7D6A07B6"/>
    <w:rsid w:val="7D6B5370"/>
    <w:rsid w:val="7D6C607B"/>
    <w:rsid w:val="7D7D2BE0"/>
    <w:rsid w:val="7D7E4262"/>
    <w:rsid w:val="7D873F68"/>
    <w:rsid w:val="7D965A4F"/>
    <w:rsid w:val="7D983576"/>
    <w:rsid w:val="7D9A1F96"/>
    <w:rsid w:val="7D9C3085"/>
    <w:rsid w:val="7D9F66B2"/>
    <w:rsid w:val="7DA51F79"/>
    <w:rsid w:val="7DA737B9"/>
    <w:rsid w:val="7DAE0FEB"/>
    <w:rsid w:val="7DAF2614"/>
    <w:rsid w:val="7DB44E1F"/>
    <w:rsid w:val="7DB54CF6"/>
    <w:rsid w:val="7DBE01F2"/>
    <w:rsid w:val="7DBE52F3"/>
    <w:rsid w:val="7DC002A3"/>
    <w:rsid w:val="7DC4490E"/>
    <w:rsid w:val="7DCC321F"/>
    <w:rsid w:val="7DCD56F2"/>
    <w:rsid w:val="7DDC1500"/>
    <w:rsid w:val="7DE1782C"/>
    <w:rsid w:val="7DF82266"/>
    <w:rsid w:val="7E012F1F"/>
    <w:rsid w:val="7E0155BF"/>
    <w:rsid w:val="7E0429B9"/>
    <w:rsid w:val="7E1075B0"/>
    <w:rsid w:val="7E1150D6"/>
    <w:rsid w:val="7E153868"/>
    <w:rsid w:val="7E1842DD"/>
    <w:rsid w:val="7E2467B8"/>
    <w:rsid w:val="7E256AB6"/>
    <w:rsid w:val="7E265025"/>
    <w:rsid w:val="7E350DC4"/>
    <w:rsid w:val="7E374D98"/>
    <w:rsid w:val="7E374F5D"/>
    <w:rsid w:val="7E3A462D"/>
    <w:rsid w:val="7E3A6786"/>
    <w:rsid w:val="7E3F3803"/>
    <w:rsid w:val="7E40312D"/>
    <w:rsid w:val="7E420EFD"/>
    <w:rsid w:val="7E4454AB"/>
    <w:rsid w:val="7E455CCF"/>
    <w:rsid w:val="7E4717C3"/>
    <w:rsid w:val="7E4746B0"/>
    <w:rsid w:val="7E492AC2"/>
    <w:rsid w:val="7E4A52AE"/>
    <w:rsid w:val="7E503E50"/>
    <w:rsid w:val="7E525E1A"/>
    <w:rsid w:val="7E5356EF"/>
    <w:rsid w:val="7E5D7A10"/>
    <w:rsid w:val="7E5F0913"/>
    <w:rsid w:val="7E617E0B"/>
    <w:rsid w:val="7E6318FD"/>
    <w:rsid w:val="7E645D4D"/>
    <w:rsid w:val="7E665422"/>
    <w:rsid w:val="7E77762F"/>
    <w:rsid w:val="7E851D4C"/>
    <w:rsid w:val="7E8C0116"/>
    <w:rsid w:val="7E90249F"/>
    <w:rsid w:val="7E937274"/>
    <w:rsid w:val="7E950186"/>
    <w:rsid w:val="7E9A79FE"/>
    <w:rsid w:val="7E9D7B39"/>
    <w:rsid w:val="7EA62CDF"/>
    <w:rsid w:val="7EAA7A04"/>
    <w:rsid w:val="7EAB72D9"/>
    <w:rsid w:val="7EAD12A3"/>
    <w:rsid w:val="7EB817E1"/>
    <w:rsid w:val="7EC30AC6"/>
    <w:rsid w:val="7EC871EC"/>
    <w:rsid w:val="7EC87E8B"/>
    <w:rsid w:val="7ED20D09"/>
    <w:rsid w:val="7ED56104"/>
    <w:rsid w:val="7ED86A4B"/>
    <w:rsid w:val="7EE12CFA"/>
    <w:rsid w:val="7EE57B5E"/>
    <w:rsid w:val="7EE66563"/>
    <w:rsid w:val="7EEC4F75"/>
    <w:rsid w:val="7EEF6826"/>
    <w:rsid w:val="7EF07F62"/>
    <w:rsid w:val="7EF47601"/>
    <w:rsid w:val="7F001CE7"/>
    <w:rsid w:val="7F0330F0"/>
    <w:rsid w:val="7F062B7D"/>
    <w:rsid w:val="7F080287"/>
    <w:rsid w:val="7F08297D"/>
    <w:rsid w:val="7F0C5FC9"/>
    <w:rsid w:val="7F0F5AB9"/>
    <w:rsid w:val="7F196938"/>
    <w:rsid w:val="7F1B4B4D"/>
    <w:rsid w:val="7F1B620C"/>
    <w:rsid w:val="7F1D01D6"/>
    <w:rsid w:val="7F2350C1"/>
    <w:rsid w:val="7F2552DD"/>
    <w:rsid w:val="7F2B657D"/>
    <w:rsid w:val="7F372393"/>
    <w:rsid w:val="7F3C05B8"/>
    <w:rsid w:val="7F450D2C"/>
    <w:rsid w:val="7F4553FC"/>
    <w:rsid w:val="7F45772D"/>
    <w:rsid w:val="7F4D6A98"/>
    <w:rsid w:val="7F5A20B8"/>
    <w:rsid w:val="7F5E0418"/>
    <w:rsid w:val="7F6370F5"/>
    <w:rsid w:val="7F664645"/>
    <w:rsid w:val="7F673200"/>
    <w:rsid w:val="7F6851CA"/>
    <w:rsid w:val="7F6A7194"/>
    <w:rsid w:val="7F6C4CBA"/>
    <w:rsid w:val="7F6D25ED"/>
    <w:rsid w:val="7F82628B"/>
    <w:rsid w:val="7F833DB1"/>
    <w:rsid w:val="7F855D7C"/>
    <w:rsid w:val="7F8901BE"/>
    <w:rsid w:val="7F8A5C84"/>
    <w:rsid w:val="7F8F6BFA"/>
    <w:rsid w:val="7F915D1B"/>
    <w:rsid w:val="7F923FF5"/>
    <w:rsid w:val="7F963AE5"/>
    <w:rsid w:val="7F9B10FB"/>
    <w:rsid w:val="7F9B559F"/>
    <w:rsid w:val="7F9E2999"/>
    <w:rsid w:val="7F9E36E8"/>
    <w:rsid w:val="7FA06711"/>
    <w:rsid w:val="7FA206DC"/>
    <w:rsid w:val="7FAC155A"/>
    <w:rsid w:val="7FB87EFF"/>
    <w:rsid w:val="7FBC58C7"/>
    <w:rsid w:val="7FBE0A7D"/>
    <w:rsid w:val="7FC14BF4"/>
    <w:rsid w:val="7FC438B8"/>
    <w:rsid w:val="7FC5261C"/>
    <w:rsid w:val="7FC757CF"/>
    <w:rsid w:val="7FC93EBA"/>
    <w:rsid w:val="7FCA05C5"/>
    <w:rsid w:val="7FD64829"/>
    <w:rsid w:val="7FE17456"/>
    <w:rsid w:val="7FE47E50"/>
    <w:rsid w:val="7FE74340"/>
    <w:rsid w:val="7FF476B5"/>
    <w:rsid w:val="7FF76C79"/>
    <w:rsid w:val="7FF9449B"/>
    <w:rsid w:val="7FFF5B2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qFormat="1"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9">
    <w:name w:val="heading 2"/>
    <w:basedOn w:val="1"/>
    <w:next w:val="1"/>
    <w:qFormat/>
    <w:locked/>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10">
    <w:name w:val="heading 3"/>
    <w:basedOn w:val="1"/>
    <w:next w:val="1"/>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38">
    <w:name w:val="Default Paragraph Font"/>
    <w:semiHidden/>
    <w:qFormat/>
    <w:uiPriority w:val="0"/>
  </w:style>
  <w:style w:type="table" w:default="1" w:styleId="3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qFormat/>
    <w:locked/>
    <w:uiPriority w:val="0"/>
    <w:pPr>
      <w:spacing w:after="120" w:line="240" w:lineRule="auto"/>
      <w:ind w:left="420" w:leftChars="200" w:firstLine="420" w:firstLineChars="200"/>
    </w:pPr>
    <w:rPr>
      <w:rFonts w:ascii="Times New Roman" w:hAnsi="Times New Roman"/>
      <w:sz w:val="21"/>
      <w:lang w:val="en-US" w:eastAsia="zh-CN"/>
    </w:rPr>
  </w:style>
  <w:style w:type="paragraph" w:styleId="3">
    <w:name w:val="Body Text Indent"/>
    <w:basedOn w:val="1"/>
    <w:next w:val="4"/>
    <w:link w:val="46"/>
    <w:qFormat/>
    <w:uiPriority w:val="0"/>
    <w:pPr>
      <w:spacing w:after="120"/>
      <w:ind w:left="420" w:leftChars="200"/>
    </w:pPr>
    <w:rPr>
      <w:kern w:val="0"/>
      <w:sz w:val="24"/>
      <w:szCs w:val="20"/>
    </w:rPr>
  </w:style>
  <w:style w:type="paragraph" w:customStyle="1" w:styleId="4">
    <w:name w:val="样式 正文文本缩进 + 行距: 1.5 倍行距"/>
    <w:basedOn w:val="5"/>
    <w:next w:val="1"/>
    <w:qFormat/>
    <w:uiPriority w:val="0"/>
    <w:pPr>
      <w:spacing w:after="120" w:line="360" w:lineRule="auto"/>
      <w:ind w:left="90" w:leftChars="32" w:firstLine="560" w:firstLineChars="200"/>
    </w:pPr>
    <w:rPr>
      <w:rFonts w:cs="宋体"/>
    </w:rPr>
  </w:style>
  <w:style w:type="paragraph" w:customStyle="1" w:styleId="5">
    <w:name w:val="正文文本缩进1"/>
    <w:basedOn w:val="6"/>
    <w:next w:val="4"/>
    <w:qFormat/>
    <w:uiPriority w:val="0"/>
    <w:pPr>
      <w:spacing w:after="120"/>
      <w:ind w:left="420" w:leftChars="200"/>
    </w:pPr>
    <w:rPr>
      <w:sz w:val="24"/>
    </w:rPr>
  </w:style>
  <w:style w:type="paragraph" w:customStyle="1" w:styleId="6">
    <w:name w:val="正文1"/>
    <w:basedOn w:val="7"/>
    <w:next w:val="1"/>
    <w:qFormat/>
    <w:uiPriority w:val="0"/>
    <w:pPr>
      <w:adjustRightInd w:val="0"/>
      <w:snapToGrid w:val="0"/>
      <w:spacing w:line="500" w:lineRule="atLeast"/>
      <w:ind w:firstLine="567"/>
    </w:pPr>
    <w:rPr>
      <w:sz w:val="28"/>
    </w:rPr>
  </w:style>
  <w:style w:type="paragraph" w:customStyle="1" w:styleId="7">
    <w:name w:val="正文11"/>
    <w:basedOn w:val="1"/>
    <w:qFormat/>
    <w:uiPriority w:val="0"/>
    <w:pPr>
      <w:adjustRightInd w:val="0"/>
      <w:snapToGrid w:val="0"/>
      <w:spacing w:line="360" w:lineRule="auto"/>
      <w:ind w:firstLine="420" w:firstLineChars="200"/>
    </w:pPr>
    <w:rPr>
      <w:color w:val="000000"/>
      <w:sz w:val="24"/>
    </w:rPr>
  </w:style>
  <w:style w:type="paragraph" w:styleId="11">
    <w:name w:val="Normal Indent"/>
    <w:basedOn w:val="1"/>
    <w:next w:val="12"/>
    <w:qFormat/>
    <w:locked/>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4"/>
      <w:szCs w:val="24"/>
      <w:lang w:val="en-US" w:eastAsia="zh-CN" w:bidi="ar"/>
    </w:rPr>
  </w:style>
  <w:style w:type="paragraph" w:styleId="12">
    <w:name w:val="footnote text"/>
    <w:basedOn w:val="1"/>
    <w:qFormat/>
    <w:locked/>
    <w:uiPriority w:val="0"/>
    <w:pPr>
      <w:snapToGrid w:val="0"/>
      <w:jc w:val="left"/>
    </w:pPr>
    <w:rPr>
      <w:sz w:val="18"/>
      <w:szCs w:val="18"/>
    </w:rPr>
  </w:style>
  <w:style w:type="paragraph" w:styleId="13">
    <w:name w:val="caption"/>
    <w:basedOn w:val="1"/>
    <w:next w:val="1"/>
    <w:qFormat/>
    <w:locked/>
    <w:uiPriority w:val="0"/>
    <w:pPr>
      <w:widowControl/>
      <w:adjustRightInd w:val="0"/>
      <w:snapToGrid w:val="0"/>
      <w:jc w:val="center"/>
    </w:pPr>
    <w:rPr>
      <w:rFonts w:eastAsia="黑体"/>
      <w:kern w:val="0"/>
      <w:sz w:val="24"/>
      <w:szCs w:val="20"/>
    </w:rPr>
  </w:style>
  <w:style w:type="paragraph" w:styleId="14">
    <w:name w:val="toa heading"/>
    <w:basedOn w:val="1"/>
    <w:next w:val="1"/>
    <w:qFormat/>
    <w:locked/>
    <w:uiPriority w:val="0"/>
    <w:rPr>
      <w:rFonts w:ascii="Arial" w:hAnsi="Arial"/>
    </w:rPr>
  </w:style>
  <w:style w:type="paragraph" w:styleId="15">
    <w:name w:val="annotation text"/>
    <w:basedOn w:val="1"/>
    <w:link w:val="48"/>
    <w:semiHidden/>
    <w:qFormat/>
    <w:uiPriority w:val="0"/>
    <w:pPr>
      <w:jc w:val="left"/>
    </w:pPr>
    <w:rPr>
      <w:kern w:val="0"/>
      <w:sz w:val="24"/>
      <w:szCs w:val="20"/>
    </w:rPr>
  </w:style>
  <w:style w:type="paragraph" w:styleId="16">
    <w:name w:val="Salutation"/>
    <w:basedOn w:val="1"/>
    <w:next w:val="1"/>
    <w:qFormat/>
    <w:locked/>
    <w:uiPriority w:val="0"/>
    <w:rPr>
      <w:sz w:val="24"/>
    </w:rPr>
  </w:style>
  <w:style w:type="paragraph" w:styleId="17">
    <w:name w:val="Body Text"/>
    <w:basedOn w:val="1"/>
    <w:next w:val="18"/>
    <w:link w:val="47"/>
    <w:qFormat/>
    <w:uiPriority w:val="0"/>
    <w:pPr>
      <w:widowControl/>
      <w:snapToGrid w:val="0"/>
      <w:spacing w:before="60" w:after="160" w:line="259" w:lineRule="auto"/>
      <w:ind w:right="113"/>
    </w:pPr>
    <w:rPr>
      <w:kern w:val="0"/>
      <w:sz w:val="18"/>
      <w:szCs w:val="20"/>
    </w:rPr>
  </w:style>
  <w:style w:type="paragraph" w:styleId="18">
    <w:name w:val="List Bullet 5"/>
    <w:basedOn w:val="1"/>
    <w:qFormat/>
    <w:locked/>
    <w:uiPriority w:val="0"/>
    <w:pPr>
      <w:numPr>
        <w:ilvl w:val="0"/>
        <w:numId w:val="1"/>
      </w:numPr>
    </w:pPr>
  </w:style>
  <w:style w:type="paragraph" w:styleId="19">
    <w:name w:val="toc 3"/>
    <w:basedOn w:val="1"/>
    <w:next w:val="1"/>
    <w:qFormat/>
    <w:locked/>
    <w:uiPriority w:val="0"/>
    <w:pPr>
      <w:ind w:left="840" w:leftChars="400"/>
    </w:pPr>
  </w:style>
  <w:style w:type="paragraph" w:styleId="20">
    <w:name w:val="Plain Text"/>
    <w:basedOn w:val="1"/>
    <w:qFormat/>
    <w:locked/>
    <w:uiPriority w:val="0"/>
    <w:rPr>
      <w:rFonts w:ascii="宋体" w:hAnsi="Courier New" w:cs="Courier New"/>
      <w:szCs w:val="21"/>
    </w:rPr>
  </w:style>
  <w:style w:type="paragraph" w:styleId="21">
    <w:name w:val="Date"/>
    <w:basedOn w:val="1"/>
    <w:next w:val="1"/>
    <w:link w:val="49"/>
    <w:qFormat/>
    <w:uiPriority w:val="0"/>
    <w:pPr>
      <w:ind w:left="100" w:leftChars="2500"/>
    </w:pPr>
    <w:rPr>
      <w:kern w:val="0"/>
      <w:sz w:val="24"/>
      <w:szCs w:val="20"/>
    </w:rPr>
  </w:style>
  <w:style w:type="paragraph" w:styleId="22">
    <w:name w:val="Body Text Indent 2"/>
    <w:basedOn w:val="1"/>
    <w:qFormat/>
    <w:locked/>
    <w:uiPriority w:val="0"/>
    <w:pPr>
      <w:spacing w:line="360" w:lineRule="auto"/>
      <w:ind w:firstLine="480" w:firstLineChars="200"/>
    </w:pPr>
    <w:rPr>
      <w:rFonts w:ascii="宋体" w:hAnsi="宋体"/>
      <w:sz w:val="24"/>
    </w:rPr>
  </w:style>
  <w:style w:type="paragraph" w:styleId="23">
    <w:name w:val="Balloon Text"/>
    <w:basedOn w:val="1"/>
    <w:link w:val="50"/>
    <w:semiHidden/>
    <w:qFormat/>
    <w:uiPriority w:val="0"/>
    <w:rPr>
      <w:kern w:val="0"/>
      <w:sz w:val="18"/>
      <w:szCs w:val="20"/>
    </w:rPr>
  </w:style>
  <w:style w:type="paragraph" w:styleId="24">
    <w:name w:val="footer"/>
    <w:basedOn w:val="1"/>
    <w:link w:val="51"/>
    <w:qFormat/>
    <w:uiPriority w:val="99"/>
    <w:pPr>
      <w:tabs>
        <w:tab w:val="center" w:pos="4153"/>
        <w:tab w:val="right" w:pos="8306"/>
      </w:tabs>
      <w:snapToGrid w:val="0"/>
      <w:jc w:val="left"/>
    </w:pPr>
    <w:rPr>
      <w:kern w:val="0"/>
      <w:sz w:val="18"/>
      <w:szCs w:val="20"/>
    </w:rPr>
  </w:style>
  <w:style w:type="paragraph" w:styleId="25">
    <w:name w:val="header"/>
    <w:basedOn w:val="1"/>
    <w:next w:val="26"/>
    <w:link w:val="52"/>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6">
    <w:name w:val="样式5"/>
    <w:basedOn w:val="6"/>
    <w:next w:val="1"/>
    <w:qFormat/>
    <w:uiPriority w:val="0"/>
    <w:pPr>
      <w:spacing w:line="360" w:lineRule="auto"/>
      <w:jc w:val="center"/>
    </w:pPr>
    <w:rPr>
      <w:sz w:val="24"/>
      <w:szCs w:val="28"/>
    </w:rPr>
  </w:style>
  <w:style w:type="paragraph" w:styleId="27">
    <w:name w:val="toc 1"/>
    <w:basedOn w:val="1"/>
    <w:next w:val="1"/>
    <w:qFormat/>
    <w:locked/>
    <w:uiPriority w:val="0"/>
  </w:style>
  <w:style w:type="paragraph" w:styleId="28">
    <w:name w:val="table of figures"/>
    <w:basedOn w:val="1"/>
    <w:next w:val="1"/>
    <w:qFormat/>
    <w:locked/>
    <w:uiPriority w:val="0"/>
    <w:pPr>
      <w:widowControl/>
      <w:spacing w:line="240" w:lineRule="auto"/>
      <w:ind w:left="420" w:hanging="420"/>
      <w:jc w:val="left"/>
    </w:pPr>
    <w:rPr>
      <w:rFonts w:ascii="Calibri"/>
      <w:smallCaps/>
      <w:kern w:val="0"/>
      <w:sz w:val="20"/>
      <w:szCs w:val="20"/>
    </w:rPr>
  </w:style>
  <w:style w:type="paragraph" w:styleId="29">
    <w:name w:val="toc 2"/>
    <w:basedOn w:val="1"/>
    <w:next w:val="1"/>
    <w:qFormat/>
    <w:locked/>
    <w:uiPriority w:val="0"/>
    <w:pPr>
      <w:ind w:left="420" w:leftChars="200"/>
    </w:pPr>
  </w:style>
  <w:style w:type="paragraph" w:styleId="30">
    <w:name w:val="Body Text 2"/>
    <w:basedOn w:val="1"/>
    <w:unhideWhenUsed/>
    <w:qFormat/>
    <w:locked/>
    <w:uiPriority w:val="99"/>
    <w:pPr>
      <w:spacing w:line="420" w:lineRule="auto"/>
      <w:jc w:val="center"/>
    </w:pPr>
    <w:rPr>
      <w:rFonts w:ascii="楷体_GB2312" w:eastAsia="楷体_GB2312"/>
      <w:szCs w:val="20"/>
    </w:rPr>
  </w:style>
  <w:style w:type="paragraph" w:styleId="31">
    <w:name w:val="Message Header"/>
    <w:basedOn w:val="1"/>
    <w:qFormat/>
    <w:locked/>
    <w:uiPriority w:val="0"/>
    <w:pPr>
      <w:pBdr>
        <w:top w:val="none" w:color="auto" w:sz="0" w:space="1"/>
        <w:left w:val="none" w:color="auto" w:sz="0" w:space="1"/>
        <w:bottom w:val="none" w:color="auto" w:sz="0" w:space="1"/>
        <w:right w:val="none" w:color="auto" w:sz="0" w:space="1"/>
      </w:pBdr>
      <w:ind w:left="1080" w:leftChars="500" w:hanging="1080" w:hangingChars="500"/>
    </w:pPr>
    <w:rPr>
      <w:rFonts w:ascii="Arial" w:hAnsi="Arial" w:eastAsia="宋体" w:cs="Times New Roman"/>
      <w:szCs w:val="24"/>
    </w:rPr>
  </w:style>
  <w:style w:type="paragraph" w:styleId="32">
    <w:name w:val="Normal (Web)"/>
    <w:basedOn w:val="1"/>
    <w:link w:val="53"/>
    <w:qFormat/>
    <w:uiPriority w:val="0"/>
    <w:pPr>
      <w:widowControl/>
      <w:spacing w:before="100" w:beforeAutospacing="1" w:after="100" w:afterAutospacing="1"/>
      <w:jc w:val="left"/>
    </w:pPr>
    <w:rPr>
      <w:rFonts w:ascii="宋体" w:hAnsi="宋体"/>
      <w:kern w:val="0"/>
      <w:sz w:val="24"/>
      <w:szCs w:val="20"/>
    </w:rPr>
  </w:style>
  <w:style w:type="paragraph" w:styleId="33">
    <w:name w:val="Title"/>
    <w:basedOn w:val="1"/>
    <w:qFormat/>
    <w:locked/>
    <w:uiPriority w:val="0"/>
    <w:pPr>
      <w:spacing w:before="240" w:after="60" w:line="360" w:lineRule="auto"/>
      <w:ind w:firstLine="510"/>
      <w:jc w:val="center"/>
      <w:outlineLvl w:val="0"/>
    </w:pPr>
    <w:rPr>
      <w:rFonts w:ascii="Arial" w:hAnsi="Arial" w:eastAsia="仿宋_GB2312"/>
      <w:b/>
      <w:sz w:val="32"/>
      <w:szCs w:val="20"/>
    </w:rPr>
  </w:style>
  <w:style w:type="paragraph" w:styleId="34">
    <w:name w:val="annotation subject"/>
    <w:basedOn w:val="15"/>
    <w:next w:val="15"/>
    <w:link w:val="54"/>
    <w:semiHidden/>
    <w:qFormat/>
    <w:uiPriority w:val="0"/>
    <w:rPr>
      <w:b/>
      <w:sz w:val="24"/>
      <w:szCs w:val="20"/>
    </w:rPr>
  </w:style>
  <w:style w:type="paragraph" w:styleId="35">
    <w:name w:val="Body Text First Indent"/>
    <w:basedOn w:val="17"/>
    <w:next w:val="1"/>
    <w:qFormat/>
    <w:locked/>
    <w:uiPriority w:val="0"/>
    <w:pPr>
      <w:ind w:firstLine="420" w:firstLineChars="100"/>
    </w:pPr>
  </w:style>
  <w:style w:type="table" w:styleId="37">
    <w:name w:val="Table Grid"/>
    <w:basedOn w:val="3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locked/>
    <w:uiPriority w:val="0"/>
    <w:rPr>
      <w:b/>
    </w:rPr>
  </w:style>
  <w:style w:type="character" w:styleId="40">
    <w:name w:val="page number"/>
    <w:qFormat/>
    <w:locked/>
    <w:uiPriority w:val="0"/>
  </w:style>
  <w:style w:type="character" w:styleId="41">
    <w:name w:val="FollowedHyperlink"/>
    <w:qFormat/>
    <w:locked/>
    <w:uiPriority w:val="0"/>
    <w:rPr>
      <w:color w:val="800080"/>
      <w:u w:val="none"/>
    </w:rPr>
  </w:style>
  <w:style w:type="character" w:styleId="42">
    <w:name w:val="Emphasis"/>
    <w:qFormat/>
    <w:locked/>
    <w:uiPriority w:val="0"/>
  </w:style>
  <w:style w:type="character" w:styleId="43">
    <w:name w:val="Hyperlink"/>
    <w:qFormat/>
    <w:locked/>
    <w:uiPriority w:val="0"/>
    <w:rPr>
      <w:color w:val="0000FF"/>
      <w:u w:val="none"/>
    </w:rPr>
  </w:style>
  <w:style w:type="character" w:styleId="44">
    <w:name w:val="annotation reference"/>
    <w:semiHidden/>
    <w:qFormat/>
    <w:uiPriority w:val="0"/>
    <w:rPr>
      <w:sz w:val="21"/>
    </w:rPr>
  </w:style>
  <w:style w:type="paragraph" w:customStyle="1" w:styleId="45">
    <w:name w:val="Body Text Indent"/>
    <w:basedOn w:val="1"/>
    <w:next w:val="4"/>
    <w:qFormat/>
    <w:uiPriority w:val="0"/>
    <w:pPr>
      <w:spacing w:after="120"/>
      <w:ind w:left="420"/>
    </w:pPr>
    <w:rPr>
      <w:szCs w:val="21"/>
    </w:rPr>
  </w:style>
  <w:style w:type="character" w:customStyle="1" w:styleId="46">
    <w:name w:val="正文文本缩进 字符"/>
    <w:link w:val="3"/>
    <w:semiHidden/>
    <w:qFormat/>
    <w:locked/>
    <w:uiPriority w:val="0"/>
    <w:rPr>
      <w:rFonts w:ascii="Times New Roman" w:hAnsi="Times New Roman" w:eastAsia="宋体"/>
      <w:sz w:val="24"/>
    </w:rPr>
  </w:style>
  <w:style w:type="character" w:customStyle="1" w:styleId="47">
    <w:name w:val="正文文本 字符"/>
    <w:link w:val="17"/>
    <w:qFormat/>
    <w:locked/>
    <w:uiPriority w:val="0"/>
    <w:rPr>
      <w:sz w:val="18"/>
    </w:rPr>
  </w:style>
  <w:style w:type="character" w:customStyle="1" w:styleId="48">
    <w:name w:val="批注文字 字符"/>
    <w:link w:val="15"/>
    <w:qFormat/>
    <w:locked/>
    <w:uiPriority w:val="0"/>
    <w:rPr>
      <w:rFonts w:ascii="Times New Roman" w:hAnsi="Times New Roman" w:eastAsia="宋体"/>
      <w:sz w:val="24"/>
    </w:rPr>
  </w:style>
  <w:style w:type="character" w:customStyle="1" w:styleId="49">
    <w:name w:val="日期 字符1"/>
    <w:link w:val="21"/>
    <w:qFormat/>
    <w:locked/>
    <w:uiPriority w:val="0"/>
    <w:rPr>
      <w:rFonts w:ascii="Times New Roman" w:hAnsi="Times New Roman" w:eastAsia="宋体"/>
      <w:sz w:val="24"/>
    </w:rPr>
  </w:style>
  <w:style w:type="character" w:customStyle="1" w:styleId="50">
    <w:name w:val="批注框文本 字符"/>
    <w:link w:val="23"/>
    <w:semiHidden/>
    <w:qFormat/>
    <w:locked/>
    <w:uiPriority w:val="0"/>
    <w:rPr>
      <w:rFonts w:ascii="Times New Roman" w:hAnsi="Times New Roman" w:eastAsia="宋体"/>
      <w:sz w:val="18"/>
    </w:rPr>
  </w:style>
  <w:style w:type="character" w:customStyle="1" w:styleId="51">
    <w:name w:val="页脚 字符1"/>
    <w:link w:val="24"/>
    <w:qFormat/>
    <w:locked/>
    <w:uiPriority w:val="99"/>
    <w:rPr>
      <w:sz w:val="18"/>
    </w:rPr>
  </w:style>
  <w:style w:type="character" w:customStyle="1" w:styleId="52">
    <w:name w:val="页眉 字符"/>
    <w:link w:val="25"/>
    <w:qFormat/>
    <w:locked/>
    <w:uiPriority w:val="0"/>
    <w:rPr>
      <w:sz w:val="18"/>
    </w:rPr>
  </w:style>
  <w:style w:type="character" w:customStyle="1" w:styleId="53">
    <w:name w:val="普通(网站) 字符"/>
    <w:link w:val="32"/>
    <w:qFormat/>
    <w:locked/>
    <w:uiPriority w:val="0"/>
    <w:rPr>
      <w:rFonts w:ascii="宋体" w:hAnsi="宋体" w:eastAsia="宋体"/>
      <w:sz w:val="24"/>
    </w:rPr>
  </w:style>
  <w:style w:type="character" w:customStyle="1" w:styleId="54">
    <w:name w:val="批注主题 字符"/>
    <w:link w:val="34"/>
    <w:semiHidden/>
    <w:qFormat/>
    <w:locked/>
    <w:uiPriority w:val="0"/>
    <w:rPr>
      <w:rFonts w:ascii="Times New Roman" w:hAnsi="Times New Roman" w:eastAsia="宋体"/>
      <w:b/>
      <w:kern w:val="2"/>
      <w:sz w:val="24"/>
    </w:rPr>
  </w:style>
  <w:style w:type="paragraph" w:customStyle="1" w:styleId="55">
    <w:name w:val="样式 标题 1一级标题 + 段前: 0.5 行 段后: 0.5 行"/>
    <w:basedOn w:val="8"/>
    <w:qFormat/>
    <w:uiPriority w:val="99"/>
    <w:pPr>
      <w:spacing w:line="320" w:lineRule="exact"/>
      <w:outlineLvl w:val="9"/>
    </w:pPr>
    <w:rPr>
      <w:spacing w:val="-6"/>
      <w:sz w:val="21"/>
      <w:szCs w:val="21"/>
    </w:rPr>
  </w:style>
  <w:style w:type="paragraph" w:customStyle="1" w:styleId="56">
    <w:name w:val="一般内容"/>
    <w:basedOn w:val="1"/>
    <w:qFormat/>
    <w:uiPriority w:val="0"/>
    <w:pPr>
      <w:spacing w:line="360" w:lineRule="auto"/>
      <w:ind w:firstLine="200" w:firstLineChars="200"/>
    </w:pPr>
    <w:rPr>
      <w:rFonts w:ascii="Arial" w:hAnsi="Arial" w:cs="Arial"/>
      <w:bCs/>
      <w:sz w:val="24"/>
    </w:rPr>
  </w:style>
  <w:style w:type="character" w:customStyle="1" w:styleId="57">
    <w:name w:val="apple-style-span"/>
    <w:qFormat/>
    <w:uiPriority w:val="0"/>
  </w:style>
  <w:style w:type="character" w:customStyle="1" w:styleId="58">
    <w:name w:val="样式 正文 +"/>
    <w:qFormat/>
    <w:uiPriority w:val="0"/>
    <w:rPr>
      <w:kern w:val="0"/>
      <w:sz w:val="24"/>
    </w:rPr>
  </w:style>
  <w:style w:type="character" w:customStyle="1" w:styleId="59">
    <w:name w:val="页脚 字符"/>
    <w:qFormat/>
    <w:uiPriority w:val="99"/>
  </w:style>
  <w:style w:type="character" w:customStyle="1" w:styleId="60">
    <w:name w:val="正文文本 字符1"/>
    <w:semiHidden/>
    <w:qFormat/>
    <w:uiPriority w:val="0"/>
    <w:rPr>
      <w:rFonts w:ascii="Times New Roman" w:hAnsi="Times New Roman" w:eastAsia="宋体"/>
      <w:sz w:val="24"/>
    </w:rPr>
  </w:style>
  <w:style w:type="character" w:customStyle="1" w:styleId="61">
    <w:name w:val="日期 字符"/>
    <w:semiHidden/>
    <w:qFormat/>
    <w:uiPriority w:val="0"/>
    <w:rPr>
      <w:rFonts w:ascii="Times New Roman" w:hAnsi="Times New Roman" w:eastAsia="宋体"/>
      <w:sz w:val="24"/>
    </w:rPr>
  </w:style>
  <w:style w:type="character" w:customStyle="1" w:styleId="62">
    <w:name w:val="表格 Char"/>
    <w:link w:val="63"/>
    <w:qFormat/>
    <w:locked/>
    <w:uiPriority w:val="0"/>
    <w:rPr>
      <w:rFonts w:ascii="宋体"/>
      <w:sz w:val="21"/>
    </w:rPr>
  </w:style>
  <w:style w:type="paragraph" w:customStyle="1" w:styleId="63">
    <w:name w:val="表格"/>
    <w:basedOn w:val="64"/>
    <w:next w:val="1"/>
    <w:link w:val="62"/>
    <w:qFormat/>
    <w:uiPriority w:val="0"/>
    <w:pPr>
      <w:adjustRightInd w:val="0"/>
      <w:snapToGrid w:val="0"/>
      <w:spacing w:beforeLines="10" w:afterLines="10" w:line="259" w:lineRule="auto"/>
      <w:jc w:val="center"/>
    </w:pPr>
    <w:rPr>
      <w:rFonts w:ascii="宋体"/>
      <w:kern w:val="0"/>
      <w:szCs w:val="20"/>
    </w:rPr>
  </w:style>
  <w:style w:type="paragraph" w:customStyle="1" w:styleId="64">
    <w:name w:val="表格使用文字"/>
    <w:basedOn w:val="1"/>
    <w:qFormat/>
    <w:uiPriority w:val="99"/>
    <w:pPr>
      <w:jc w:val="center"/>
    </w:pPr>
    <w:rPr>
      <w:color w:val="000000"/>
      <w:szCs w:val="21"/>
    </w:rPr>
  </w:style>
  <w:style w:type="character" w:customStyle="1" w:styleId="65">
    <w:name w:val="批注文字 字符1"/>
    <w:semiHidden/>
    <w:qFormat/>
    <w:uiPriority w:val="0"/>
    <w:rPr>
      <w:rFonts w:ascii="Times New Roman" w:hAnsi="Times New Roman" w:eastAsia="宋体"/>
      <w:sz w:val="24"/>
    </w:rPr>
  </w:style>
  <w:style w:type="paragraph" w:customStyle="1" w:styleId="6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8">
    <w:name w:val="样式35"/>
    <w:basedOn w:val="1"/>
    <w:next w:val="1"/>
    <w:qFormat/>
    <w:uiPriority w:val="0"/>
    <w:pPr>
      <w:spacing w:line="312" w:lineRule="auto"/>
      <w:ind w:firstLine="567"/>
    </w:pPr>
    <w:rPr>
      <w:rFonts w:ascii="宋体"/>
      <w:sz w:val="28"/>
    </w:rPr>
  </w:style>
  <w:style w:type="paragraph" w:customStyle="1" w:styleId="69">
    <w:name w:val="Char Char1 Char Char Char Char Char Char"/>
    <w:basedOn w:val="1"/>
    <w:qFormat/>
    <w:uiPriority w:val="0"/>
    <w:pPr>
      <w:keepNext w:val="0"/>
      <w:keepLines w:val="0"/>
      <w:widowControl w:val="0"/>
      <w:suppressLineNumbers w:val="0"/>
      <w:spacing w:before="0" w:beforeAutospacing="0" w:after="0" w:afterAutospacing="0"/>
      <w:ind w:left="0" w:right="0"/>
      <w:jc w:val="both"/>
    </w:pPr>
    <w:rPr>
      <w:rFonts w:hint="default" w:ascii="Calibri" w:hAnsi="Calibri" w:cs="Calibri"/>
      <w:kern w:val="2"/>
      <w:sz w:val="21"/>
      <w:szCs w:val="21"/>
      <w:lang w:val="en-US" w:eastAsia="zh-CN" w:bidi="ar"/>
    </w:rPr>
  </w:style>
  <w:style w:type="paragraph" w:customStyle="1" w:styleId="70">
    <w:name w:val="表格标题"/>
    <w:basedOn w:val="1"/>
    <w:next w:val="1"/>
    <w:qFormat/>
    <w:uiPriority w:val="0"/>
    <w:pPr>
      <w:snapToGrid w:val="0"/>
      <w:spacing w:beforeLines="50"/>
      <w:ind w:firstLine="525" w:firstLineChars="250"/>
      <w:jc w:val="center"/>
    </w:pPr>
    <w:rPr>
      <w:rFonts w:eastAsia="黑体"/>
    </w:rPr>
  </w:style>
  <w:style w:type="paragraph" w:customStyle="1" w:styleId="71">
    <w:name w:val="Date1"/>
    <w:basedOn w:val="1"/>
    <w:next w:val="1"/>
    <w:qFormat/>
    <w:uiPriority w:val="0"/>
    <w:rPr>
      <w:sz w:val="21"/>
      <w:szCs w:val="20"/>
    </w:rPr>
  </w:style>
  <w:style w:type="paragraph" w:customStyle="1" w:styleId="72">
    <w:name w:val="表格文字"/>
    <w:basedOn w:val="11"/>
    <w:qFormat/>
    <w:uiPriority w:val="0"/>
    <w:pPr>
      <w:snapToGrid w:val="0"/>
      <w:ind w:firstLine="0" w:firstLineChars="0"/>
      <w:jc w:val="center"/>
    </w:pPr>
    <w:rPr>
      <w:rFonts w:ascii="宋体" w:hAnsi="Arial"/>
      <w:szCs w:val="20"/>
    </w:rPr>
  </w:style>
  <w:style w:type="paragraph" w:customStyle="1" w:styleId="73">
    <w:name w:val="表格-居中"/>
    <w:basedOn w:val="1"/>
    <w:qFormat/>
    <w:uiPriority w:val="0"/>
    <w:pPr>
      <w:spacing w:line="320" w:lineRule="exact"/>
      <w:jc w:val="center"/>
    </w:pPr>
    <w:rPr>
      <w:rFonts w:ascii="宋体"/>
      <w:szCs w:val="21"/>
    </w:rPr>
  </w:style>
  <w:style w:type="paragraph" w:customStyle="1" w:styleId="74">
    <w:name w:val="表格-标题"/>
    <w:basedOn w:val="1"/>
    <w:qFormat/>
    <w:uiPriority w:val="0"/>
    <w:pPr>
      <w:spacing w:line="320" w:lineRule="exact"/>
      <w:jc w:val="center"/>
    </w:pPr>
    <w:rPr>
      <w:rFonts w:ascii="宋体"/>
      <w:b/>
      <w:szCs w:val="21"/>
    </w:rPr>
  </w:style>
  <w:style w:type="paragraph" w:customStyle="1" w:styleId="75">
    <w:name w:val="填表内容"/>
    <w:basedOn w:val="1"/>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76">
    <w:name w:val="正文文本 (2)1"/>
    <w:basedOn w:val="1"/>
    <w:qFormat/>
    <w:uiPriority w:val="0"/>
    <w:pPr>
      <w:shd w:val="clear" w:color="auto" w:fill="FFFFFF"/>
      <w:spacing w:before="960" w:line="619" w:lineRule="exact"/>
      <w:ind w:hanging="500"/>
      <w:jc w:val="distribute"/>
    </w:pPr>
    <w:rPr>
      <w:rFonts w:ascii="MingLiU" w:hAnsi="MingLiU" w:eastAsia="MingLiU"/>
      <w:kern w:val="0"/>
      <w:sz w:val="22"/>
      <w:szCs w:val="22"/>
    </w:rPr>
  </w:style>
  <w:style w:type="paragraph" w:customStyle="1" w:styleId="77">
    <w:name w:val="表格内文字"/>
    <w:basedOn w:val="1"/>
    <w:qFormat/>
    <w:uiPriority w:val="0"/>
    <w:pPr>
      <w:tabs>
        <w:tab w:val="left" w:pos="0"/>
      </w:tabs>
      <w:adjustRightInd w:val="0"/>
      <w:snapToGrid w:val="0"/>
      <w:jc w:val="center"/>
    </w:pPr>
    <w:rPr>
      <w:rFonts w:eastAsia="仿宋_GB2312"/>
      <w:sz w:val="24"/>
    </w:rPr>
  </w:style>
  <w:style w:type="paragraph" w:customStyle="1" w:styleId="78">
    <w:name w:val="表格内容"/>
    <w:basedOn w:val="32"/>
    <w:qFormat/>
    <w:uiPriority w:val="0"/>
    <w:pPr>
      <w:spacing w:line="320" w:lineRule="exact"/>
      <w:jc w:val="center"/>
    </w:pPr>
    <w:rPr>
      <w:rFonts w:ascii="宋体"/>
      <w:szCs w:val="21"/>
    </w:rPr>
  </w:style>
  <w:style w:type="paragraph" w:customStyle="1" w:styleId="79">
    <w:name w:val="正文 首行缩进:  2 字符"/>
    <w:basedOn w:val="1"/>
    <w:qFormat/>
    <w:uiPriority w:val="0"/>
    <w:pPr>
      <w:adjustRightInd w:val="0"/>
      <w:snapToGrid w:val="0"/>
      <w:spacing w:line="500" w:lineRule="exact"/>
      <w:ind w:firstLine="200" w:firstLineChars="200"/>
      <w:jc w:val="left"/>
    </w:pPr>
    <w:rPr>
      <w:sz w:val="24"/>
      <w:szCs w:val="20"/>
    </w:rPr>
  </w:style>
  <w:style w:type="paragraph" w:customStyle="1" w:styleId="8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1">
    <w:name w:val="WPSOffice手动目录 1"/>
    <w:qFormat/>
    <w:uiPriority w:val="0"/>
    <w:rPr>
      <w:rFonts w:ascii="Times New Roman" w:hAnsi="Times New Roman" w:eastAsia="宋体" w:cs="Times New Roman"/>
      <w:lang w:val="en-US" w:eastAsia="zh-CN" w:bidi="ar-SA"/>
    </w:rPr>
  </w:style>
  <w:style w:type="paragraph" w:customStyle="1" w:styleId="82">
    <w:name w:val="正文，文本"/>
    <w:basedOn w:val="1"/>
    <w:qFormat/>
    <w:uiPriority w:val="0"/>
    <w:pPr>
      <w:spacing w:line="360" w:lineRule="auto"/>
      <w:ind w:firstLine="480" w:firstLineChars="200"/>
    </w:pPr>
    <w:rPr>
      <w:rFonts w:cs="宋体"/>
      <w:sz w:val="24"/>
      <w:szCs w:val="20"/>
    </w:rPr>
  </w:style>
  <w:style w:type="paragraph" w:customStyle="1" w:styleId="83">
    <w:name w:val="Table Paragraph"/>
    <w:basedOn w:val="1"/>
    <w:qFormat/>
    <w:uiPriority w:val="1"/>
    <w:rPr>
      <w:rFonts w:ascii="宋体" w:hAnsi="宋体" w:cs="宋体"/>
      <w:lang w:val="zh-CN" w:bidi="zh-CN"/>
    </w:rPr>
  </w:style>
  <w:style w:type="paragraph" w:customStyle="1" w:styleId="84">
    <w:name w:val="表"/>
    <w:basedOn w:val="1"/>
    <w:next w:val="1"/>
    <w:qFormat/>
    <w:uiPriority w:val="0"/>
    <w:pPr>
      <w:snapToGrid w:val="0"/>
      <w:jc w:val="center"/>
    </w:pPr>
    <w:rPr>
      <w:rFonts w:ascii="Times New Roman" w:hAnsi="Times New Roman"/>
      <w:spacing w:val="2"/>
    </w:rPr>
  </w:style>
  <w:style w:type="paragraph" w:customStyle="1" w:styleId="85">
    <w:name w:val="表内文字"/>
    <w:basedOn w:val="70"/>
    <w:next w:val="1"/>
    <w:qFormat/>
    <w:uiPriority w:val="0"/>
    <w:pPr>
      <w:spacing w:line="240" w:lineRule="auto"/>
      <w:ind w:firstLine="0" w:firstLineChars="0"/>
      <w:jc w:val="center"/>
    </w:pPr>
  </w:style>
  <w:style w:type="character" w:customStyle="1" w:styleId="86">
    <w:name w:val="znspantitle"/>
    <w:qFormat/>
    <w:uiPriority w:val="0"/>
    <w:rPr>
      <w:b/>
      <w:bCs/>
      <w:color w:val="333333"/>
    </w:rPr>
  </w:style>
  <w:style w:type="character" w:customStyle="1" w:styleId="87">
    <w:name w:val="disabled"/>
    <w:qFormat/>
    <w:uiPriority w:val="0"/>
    <w:rPr>
      <w:vanish/>
    </w:rPr>
  </w:style>
  <w:style w:type="paragraph" w:customStyle="1" w:styleId="88">
    <w:name w:val="表格首行"/>
    <w:basedOn w:val="1"/>
    <w:qFormat/>
    <w:uiPriority w:val="0"/>
    <w:pPr>
      <w:snapToGrid w:val="0"/>
      <w:spacing w:line="240" w:lineRule="auto"/>
      <w:ind w:firstLine="0" w:firstLineChars="0"/>
      <w:jc w:val="center"/>
    </w:pPr>
    <w:rPr>
      <w:rFonts w:cs="Times New Roman"/>
      <w:b/>
      <w:sz w:val="21"/>
    </w:rPr>
  </w:style>
  <w:style w:type="character" w:customStyle="1" w:styleId="89">
    <w:name w:val="font11"/>
    <w:qFormat/>
    <w:uiPriority w:val="0"/>
    <w:rPr>
      <w:rFonts w:hint="eastAsia" w:ascii="宋体" w:hAnsi="宋体" w:eastAsia="宋体" w:cs="宋体"/>
      <w:color w:val="000000"/>
      <w:sz w:val="21"/>
      <w:szCs w:val="21"/>
      <w:u w:val="none"/>
    </w:rPr>
  </w:style>
  <w:style w:type="character" w:customStyle="1" w:styleId="90">
    <w:name w:val="font41"/>
    <w:basedOn w:val="38"/>
    <w:qFormat/>
    <w:uiPriority w:val="0"/>
    <w:rPr>
      <w:rFonts w:hint="eastAsia" w:ascii="宋体" w:hAnsi="宋体" w:eastAsia="宋体" w:cs="宋体"/>
      <w:color w:val="000000"/>
      <w:sz w:val="21"/>
      <w:szCs w:val="21"/>
      <w:u w:val="none"/>
    </w:rPr>
  </w:style>
  <w:style w:type="character" w:customStyle="1" w:styleId="91">
    <w:name w:val="font21"/>
    <w:qFormat/>
    <w:uiPriority w:val="0"/>
    <w:rPr>
      <w:rFonts w:hint="default" w:ascii="Times New Roman" w:hAnsi="Times New Roman" w:cs="Times New Roman"/>
      <w:color w:val="000000"/>
      <w:sz w:val="21"/>
      <w:szCs w:val="21"/>
      <w:u w:val="none"/>
    </w:rPr>
  </w:style>
  <w:style w:type="paragraph" w:customStyle="1" w:styleId="92">
    <w:name w:val="Other|1"/>
    <w:basedOn w:val="1"/>
    <w:qFormat/>
    <w:uiPriority w:val="0"/>
    <w:pPr>
      <w:widowControl w:val="0"/>
      <w:shd w:val="clear" w:color="auto" w:fill="auto"/>
    </w:pPr>
    <w:rPr>
      <w:rFonts w:ascii="宋体" w:hAnsi="宋体" w:eastAsia="宋体" w:cs="宋体"/>
      <w:sz w:val="18"/>
      <w:szCs w:val="18"/>
      <w:u w:val="none"/>
      <w:shd w:val="clear" w:color="auto" w:fill="auto"/>
      <w:lang w:val="zh-TW" w:eastAsia="zh-TW" w:bidi="zh-TW"/>
    </w:rPr>
  </w:style>
  <w:style w:type="paragraph" w:customStyle="1" w:styleId="93">
    <w:name w:val="li_正文"/>
    <w:basedOn w:val="1"/>
    <w:qFormat/>
    <w:uiPriority w:val="0"/>
    <w:pPr>
      <w:ind w:firstLine="200" w:firstLineChars="200"/>
      <w:jc w:val="left"/>
    </w:pPr>
    <w:rPr>
      <w:sz w:val="28"/>
      <w:szCs w:val="28"/>
    </w:rPr>
  </w:style>
  <w:style w:type="character" w:customStyle="1" w:styleId="94">
    <w:name w:val="font12"/>
    <w:basedOn w:val="38"/>
    <w:qFormat/>
    <w:uiPriority w:val="0"/>
    <w:rPr>
      <w:rFonts w:hint="eastAsia" w:ascii="宋体" w:hAnsi="宋体" w:eastAsia="宋体" w:cs="宋体"/>
      <w:color w:val="000000"/>
      <w:sz w:val="21"/>
      <w:szCs w:val="21"/>
      <w:u w:val="none"/>
    </w:rPr>
  </w:style>
  <w:style w:type="character" w:customStyle="1" w:styleId="95">
    <w:name w:val="font51"/>
    <w:basedOn w:val="38"/>
    <w:qFormat/>
    <w:uiPriority w:val="0"/>
    <w:rPr>
      <w:rFonts w:hint="default" w:ascii="Times New Roman" w:hAnsi="Times New Roman" w:cs="Times New Roman"/>
      <w:color w:val="FF0000"/>
      <w:sz w:val="21"/>
      <w:szCs w:val="21"/>
      <w:u w:val="none"/>
    </w:rPr>
  </w:style>
  <w:style w:type="character" w:customStyle="1" w:styleId="96">
    <w:name w:val="font91"/>
    <w:basedOn w:val="38"/>
    <w:qFormat/>
    <w:uiPriority w:val="0"/>
    <w:rPr>
      <w:rFonts w:hint="eastAsia" w:ascii="宋体" w:hAnsi="宋体" w:eastAsia="宋体" w:cs="宋体"/>
      <w:color w:val="FF0000"/>
      <w:sz w:val="21"/>
      <w:szCs w:val="21"/>
      <w:u w:val="none"/>
    </w:rPr>
  </w:style>
  <w:style w:type="character" w:customStyle="1" w:styleId="97">
    <w:name w:val="font01"/>
    <w:basedOn w:val="38"/>
    <w:qFormat/>
    <w:uiPriority w:val="0"/>
    <w:rPr>
      <w:rFonts w:hint="eastAsia" w:ascii="宋体" w:hAnsi="宋体" w:eastAsia="宋体" w:cs="宋体"/>
      <w:color w:val="000000"/>
      <w:sz w:val="22"/>
      <w:szCs w:val="22"/>
      <w:u w:val="none"/>
    </w:rPr>
  </w:style>
  <w:style w:type="paragraph" w:customStyle="1" w:styleId="98">
    <w:name w:val="正文3"/>
    <w:qFormat/>
    <w:uiPriority w:val="0"/>
    <w:pPr>
      <w:jc w:val="both"/>
    </w:pPr>
    <w:rPr>
      <w:rFonts w:ascii="Calibri" w:hAnsi="Calibri" w:eastAsia="宋体" w:cs="宋体"/>
      <w:kern w:val="2"/>
      <w:sz w:val="21"/>
      <w:szCs w:val="21"/>
      <w:lang w:val="en-US" w:eastAsia="zh-CN" w:bidi="ar-SA"/>
    </w:rPr>
  </w:style>
  <w:style w:type="paragraph" w:customStyle="1" w:styleId="99">
    <w:name w:val="正文 首行缩进: 2 字符"/>
    <w:basedOn w:val="1"/>
    <w:qFormat/>
    <w:uiPriority w:val="0"/>
    <w:pPr>
      <w:adjustRightInd w:val="0"/>
      <w:snapToGrid w:val="0"/>
      <w:spacing w:line="500" w:lineRule="exact"/>
      <w:ind w:firstLine="200" w:firstLineChars="200"/>
      <w:jc w:val="left"/>
    </w:pPr>
    <w:rPr>
      <w:sz w:val="24"/>
    </w:rPr>
  </w:style>
  <w:style w:type="table" w:customStyle="1" w:styleId="100">
    <w:name w:val="Table Normal"/>
    <w:unhideWhenUsed/>
    <w:qFormat/>
    <w:uiPriority w:val="0"/>
    <w:tblPr>
      <w:tblCellMar>
        <w:top w:w="0" w:type="dxa"/>
        <w:left w:w="0" w:type="dxa"/>
        <w:bottom w:w="0" w:type="dxa"/>
        <w:right w:w="0" w:type="dxa"/>
      </w:tblCellMar>
    </w:tblPr>
  </w:style>
  <w:style w:type="paragraph" w:customStyle="1" w:styleId="101">
    <w:name w:val="表内容"/>
    <w:basedOn w:val="102"/>
    <w:next w:val="1"/>
    <w:qFormat/>
    <w:uiPriority w:val="0"/>
    <w:pPr>
      <w:adjustRightInd w:val="0"/>
      <w:snapToGrid w:val="0"/>
      <w:spacing w:line="312" w:lineRule="exact"/>
      <w:jc w:val="center"/>
    </w:pPr>
    <w:rPr>
      <w:rFonts w:ascii="Times New Roman" w:hAnsi="Times New Roman" w:eastAsia="宋体"/>
      <w:snapToGrid w:val="0"/>
      <w:kern w:val="0"/>
      <w:szCs w:val="21"/>
    </w:rPr>
  </w:style>
  <w:style w:type="paragraph" w:customStyle="1" w:styleId="102">
    <w:name w:val="报告书正文"/>
    <w:basedOn w:val="1"/>
    <w:qFormat/>
    <w:uiPriority w:val="0"/>
    <w:pPr>
      <w:adjustRightInd w:val="0"/>
      <w:snapToGrid w:val="0"/>
      <w:spacing w:line="480" w:lineRule="atLeast"/>
      <w:ind w:firstLine="425"/>
    </w:pPr>
    <w:rPr>
      <w:rFonts w:ascii="宋体-18030" w:hAnsi="宋体-18030" w:eastAsia="仿宋_GB2312" w:cs="新宋体-18030"/>
      <w:color w:val="000000"/>
      <w:kern w:val="2"/>
      <w:sz w:val="24"/>
      <w:szCs w:val="24"/>
      <w:lang w:val="en-US" w:eastAsia="zh-CN" w:bidi="ar-SA"/>
    </w:rPr>
  </w:style>
  <w:style w:type="paragraph" w:customStyle="1" w:styleId="103">
    <w:name w:val="列出段落1"/>
    <w:basedOn w:val="1"/>
    <w:qFormat/>
    <w:uiPriority w:val="34"/>
    <w:pPr>
      <w:spacing w:line="360" w:lineRule="auto"/>
      <w:ind w:firstLine="420" w:firstLineChars="200"/>
    </w:pPr>
    <w:rPr>
      <w:szCs w:val="21"/>
    </w:rPr>
  </w:style>
  <w:style w:type="paragraph" w:customStyle="1" w:styleId="104">
    <w:name w:val="Table Text"/>
    <w:basedOn w:val="1"/>
    <w:semiHidden/>
    <w:qFormat/>
    <w:uiPriority w:val="0"/>
    <w:rPr>
      <w:rFonts w:ascii="宋体" w:hAnsi="宋体" w:eastAsia="宋体" w:cs="宋体"/>
      <w:sz w:val="24"/>
      <w:szCs w:val="24"/>
      <w:lang w:val="en-US" w:eastAsia="en-US" w:bidi="ar-SA"/>
    </w:rPr>
  </w:style>
  <w:style w:type="paragraph" w:styleId="105">
    <w:name w:val="List Paragraph"/>
    <w:basedOn w:val="1"/>
    <w:autoRedefine/>
    <w:qFormat/>
    <w:uiPriority w:val="34"/>
    <w:pPr>
      <w:ind w:firstLine="420" w:firstLineChars="200"/>
    </w:pPr>
  </w:style>
  <w:style w:type="paragraph" w:customStyle="1" w:styleId="106">
    <w:name w:val="表头格式"/>
    <w:basedOn w:val="1"/>
    <w:next w:val="1"/>
    <w:autoRedefine/>
    <w:qFormat/>
    <w:uiPriority w:val="0"/>
    <w:pPr>
      <w:jc w:val="center"/>
    </w:pPr>
    <w:rPr>
      <w:b/>
      <w:bCs/>
    </w:rPr>
  </w:style>
  <w:style w:type="paragraph" w:customStyle="1" w:styleId="107">
    <w:name w:val="Style"/>
    <w:autoRedefine/>
    <w:qFormat/>
    <w:uiPriority w:val="0"/>
    <w:pPr>
      <w:widowControl w:val="0"/>
      <w:autoSpaceDE w:val="0"/>
      <w:autoSpaceDN w:val="0"/>
      <w:adjustRightInd w:val="0"/>
    </w:pPr>
    <w:rPr>
      <w:rFonts w:ascii="TimesNewRomanPSMT" w:hAnsi="TimesNewRomanPSMT" w:eastAsia="宋体" w:cs="TimesNewRomanPSMT"/>
      <w:sz w:val="24"/>
      <w:szCs w:val="24"/>
      <w:lang w:val="zh" w:eastAsia="zh-CN" w:bidi="ar-SA"/>
    </w:rPr>
  </w:style>
  <w:style w:type="paragraph" w:customStyle="1" w:styleId="108">
    <w:name w:val="标题002"/>
    <w:basedOn w:val="9"/>
    <w:autoRedefine/>
    <w:qFormat/>
    <w:uiPriority w:val="0"/>
    <w:pPr>
      <w:numPr>
        <w:ilvl w:val="0"/>
        <w:numId w:val="0"/>
      </w:numPr>
    </w:p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2.jpeg"/><Relationship Id="rId43" Type="http://schemas.openxmlformats.org/officeDocument/2006/relationships/image" Target="media/image21.jpe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jpeg"/><Relationship Id="rId4" Type="http://schemas.openxmlformats.org/officeDocument/2006/relationships/footer" Target="footer2.xml"/><Relationship Id="rId39" Type="http://schemas.openxmlformats.org/officeDocument/2006/relationships/image" Target="media/image17.emf"/><Relationship Id="rId38" Type="http://schemas.openxmlformats.org/officeDocument/2006/relationships/oleObject" Target="embeddings/oleObject5.bin"/><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jpeg"/><Relationship Id="rId33" Type="http://schemas.openxmlformats.org/officeDocument/2006/relationships/image" Target="media/image12.png"/><Relationship Id="rId32" Type="http://schemas.openxmlformats.org/officeDocument/2006/relationships/image" Target="media/image11.wmf"/><Relationship Id="rId31" Type="http://schemas.openxmlformats.org/officeDocument/2006/relationships/oleObject" Target="embeddings/oleObject4.bin"/><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wmf"/><Relationship Id="rId23" Type="http://schemas.openxmlformats.org/officeDocument/2006/relationships/oleObject" Target="embeddings/oleObject3.bin"/><Relationship Id="rId22" Type="http://schemas.openxmlformats.org/officeDocument/2006/relationships/image" Target="media/image3.emf"/><Relationship Id="rId21" Type="http://schemas.openxmlformats.org/officeDocument/2006/relationships/oleObject" Target="embeddings/oleObject2.bin"/><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67</Pages>
  <Words>15950</Words>
  <Characters>16643</Characters>
  <Lines>278</Lines>
  <Paragraphs>78</Paragraphs>
  <TotalTime>4</TotalTime>
  <ScaleCrop>false</ScaleCrop>
  <LinksUpToDate>false</LinksUpToDate>
  <CharactersWithSpaces>16791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尚云环境</dc:creator>
  <cp:lastModifiedBy>小王的大王</cp:lastModifiedBy>
  <cp:lastPrinted>2025-03-26T08:07:00Z</cp:lastPrinted>
  <dcterms:modified xsi:type="dcterms:W3CDTF">2026-07-08T02:39:20Z</dcterms:modified>
  <dc:title>建设项目环境影响报告表（污染影响类）</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317BFBCA879C4F9EBA4B48C1AF4F883D_13</vt:lpwstr>
  </property>
  <property fmtid="{D5CDD505-2E9C-101B-9397-08002B2CF9AE}" pid="4" name="KSOTemplateDocerSaveRecord">
    <vt:lpwstr>eyJoZGlkIjoiNzA4OWJmMzY2ZDA1Y2U1YjRiZTkyYzA4MzFhNTI0MjEiLCJ1c2VySWQiOiI5MTEwNDcwMTkifQ==</vt:lpwstr>
  </property>
</Properties>
</file>