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</w:pPr>
      <w:bookmarkStart w:id="0" w:name="_GoBack"/>
      <w:r>
        <w:rPr>
          <w:rStyle w:val="5"/>
          <w:rFonts w:ascii="微软雅黑" w:hAnsi="微软雅黑" w:eastAsia="微软雅黑" w:cs="微软雅黑"/>
          <w:sz w:val="36"/>
          <w:szCs w:val="36"/>
        </w:rPr>
        <w:t>淄川区商务局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</w:pPr>
      <w:r>
        <w:rPr>
          <w:rStyle w:val="5"/>
          <w:rFonts w:hint="eastAsia" w:ascii="微软雅黑" w:hAnsi="微软雅黑" w:eastAsia="微软雅黑" w:cs="微软雅黑"/>
          <w:sz w:val="36"/>
          <w:szCs w:val="36"/>
        </w:rPr>
        <w:t>关于城里社区城市一刻钟便民生活圈建设子方案</w:t>
      </w:r>
    </w:p>
    <w:bookmarkEnd w:id="0"/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</w:pPr>
      <w: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textAlignment w:val="auto"/>
      </w:pPr>
      <w:r>
        <w:rPr>
          <w:rFonts w:hint="eastAsia" w:ascii="微软雅黑" w:hAnsi="微软雅黑" w:eastAsia="微软雅黑" w:cs="微软雅黑"/>
          <w:sz w:val="24"/>
          <w:szCs w:val="24"/>
        </w:rPr>
        <w:t>为加快推进城市一刻钟便民生活圈建设，满足社区商业“便民、利民、惠民”需要，根据省商务厅《关于开展城市一刻钟便民生活圈建设试点评审工作的通知》和《淄博市城市一刻钟便民生活圈建设试点实施方案》，制定本实施方案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textAlignment w:val="auto"/>
      </w:pPr>
      <w:r>
        <w:rPr>
          <w:rStyle w:val="5"/>
          <w:rFonts w:hint="eastAsia" w:ascii="微软雅黑" w:hAnsi="微软雅黑" w:eastAsia="微软雅黑" w:cs="微软雅黑"/>
          <w:sz w:val="24"/>
          <w:szCs w:val="24"/>
        </w:rPr>
        <w:t>一、社区基本情况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textAlignment w:val="auto"/>
      </w:pPr>
      <w:r>
        <w:rPr>
          <w:rFonts w:hint="eastAsia" w:ascii="微软雅黑" w:hAnsi="微软雅黑" w:eastAsia="微软雅黑" w:cs="微软雅黑"/>
          <w:sz w:val="24"/>
          <w:szCs w:val="24"/>
        </w:rPr>
        <w:t>城里社区地处淄川城区中心，常住人口为1.8万余人，共有2个大型商业综合体，其中SM城市广场是淄川区最大的综合性购物广场，1个综合型商业步行街。总计商业网点255余家，基本可以满足社区居民日常购物消费需要。社区由40%的新式小区与60%的老旧小区组成，年龄组成结构为中老年人偏多，目前社区划分为9个网格进行网格化管理服务，贯彻落实“便民、利民、惠民”的工作要求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textAlignment w:val="auto"/>
      </w:pPr>
      <w:r>
        <w:rPr>
          <w:rStyle w:val="5"/>
          <w:rFonts w:hint="eastAsia" w:ascii="微软雅黑" w:hAnsi="微软雅黑" w:eastAsia="微软雅黑" w:cs="微软雅黑"/>
          <w:sz w:val="24"/>
          <w:szCs w:val="24"/>
        </w:rPr>
        <w:t>二、主要建设内容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textAlignment w:val="auto"/>
      </w:pPr>
      <w:r>
        <w:rPr>
          <w:rFonts w:hint="eastAsia" w:ascii="微软雅黑" w:hAnsi="微软雅黑" w:eastAsia="微软雅黑" w:cs="微软雅黑"/>
          <w:sz w:val="24"/>
          <w:szCs w:val="24"/>
        </w:rPr>
        <w:t>（一）完善社区商业周边业态。根据社区中老年人居多老旧小区较多的特点，鼓励老旧小区统筹利用闲置厂房仓库、公有物业划拨等存量资源，补齐商业设施短板和提升现有设施水平。新建小区坚持相对集中的原则，围绕SM城市广场与银座购物中心发展聚集式商业形态，推动社区商业提档升级，以新零售、新业态、新模式为突破，聚焦社区商业品质提升和功能拓展，实现社区生活服务“智能化”。充分发挥9个网格的作用，运用数字化管理手段主动发现问题和解决问题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textAlignment w:val="auto"/>
      </w:pPr>
      <w:r>
        <w:rPr>
          <w:rFonts w:hint="eastAsia" w:ascii="微软雅黑" w:hAnsi="微软雅黑" w:eastAsia="微软雅黑" w:cs="微软雅黑"/>
          <w:sz w:val="24"/>
          <w:szCs w:val="24"/>
        </w:rPr>
        <w:t>（二）强化社区商业公共服务的功能。引导金融、快递、旅游、维修等商业服务项目叠加到社区便利店、超市，增加和扩大社区便利店、超市叠加的政务和公共服务种类。优先发展居民对生活品质提升最迫切需要的老年康护、特色餐饮、运动健身、新式书店、幼儿托管等业态。加快推进城里中心便民市场标准化改造升级，满足居民消费需求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textAlignment w:val="auto"/>
      </w:pPr>
      <w:r>
        <w:rPr>
          <w:rFonts w:hint="eastAsia" w:ascii="微软雅黑" w:hAnsi="微软雅黑" w:eastAsia="微软雅黑" w:cs="微软雅黑"/>
          <w:sz w:val="24"/>
          <w:szCs w:val="24"/>
        </w:rPr>
        <w:t>（三）探索社区商业建设评议机制。加强基层党建引领和工作力量配置，发挥街道、社区基层组织作用，动员社区居民群众提出社区商业发展需求，建立基层组织与居民群众共同推进一刻钟便民生活圈建设评议机制。通过手机终端、GIS等互联网平台，将群众反应最急需、最短缺的社区商业短板作为建设重点，共同推进一刻钟便民生活圈的全面平衡发展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textAlignment w:val="auto"/>
      </w:pPr>
      <w:r>
        <w:rPr>
          <w:rStyle w:val="5"/>
          <w:rFonts w:hint="eastAsia" w:ascii="微软雅黑" w:hAnsi="微软雅黑" w:eastAsia="微软雅黑" w:cs="微软雅黑"/>
          <w:sz w:val="24"/>
          <w:szCs w:val="24"/>
        </w:rPr>
        <w:t>三、保障措施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textAlignment w:val="auto"/>
      </w:pPr>
      <w:r>
        <w:rPr>
          <w:rFonts w:hint="eastAsia" w:ascii="微软雅黑" w:hAnsi="微软雅黑" w:eastAsia="微软雅黑" w:cs="微软雅黑"/>
          <w:sz w:val="24"/>
          <w:szCs w:val="24"/>
        </w:rPr>
        <w:t>（一）建立多方共商共管机制。发挥多方协同作用，整合街道、社区、物业、商户等各方力量，完善管理制度，强化诚信经营和守法意识，建立共建共管的营商环境，实现服务规范、商户共赢、居民满意的良性循环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textAlignment w:val="auto"/>
      </w:pPr>
      <w:r>
        <w:rPr>
          <w:rFonts w:hint="eastAsia" w:ascii="微软雅黑" w:hAnsi="微软雅黑" w:eastAsia="微软雅黑" w:cs="微软雅黑"/>
          <w:sz w:val="24"/>
          <w:szCs w:val="24"/>
        </w:rPr>
        <w:t>（二）优化服务管理。鼓励举办形式多样的社区消费节等促销活动。鼓励加强社区法律援助服务，为商户涉法和居民消费纠纷提供服务。以安全、美观为目标，规范户外广告、门店招牌、灯光景观等管理，强化安全、提升品质，推动社区环境更加整洁美观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textAlignment w:val="auto"/>
      </w:pPr>
      <w:r>
        <w:rPr>
          <w:rFonts w:hint="eastAsia" w:ascii="微软雅黑" w:hAnsi="微软雅黑" w:eastAsia="微软雅黑" w:cs="微软雅黑"/>
          <w:sz w:val="24"/>
          <w:szCs w:val="24"/>
        </w:rPr>
        <w:t>（三）营造良好发展氛围。规范一刻钟便民商业设施经营行为,打造公平公开、广泛参与、竞争有序的营商环境，加强一刻钟便民商业设施日常管理,促进一刻钟便民生活圈健康文明有序发展。及时总结建设中的好经验、好做法、新模式,提炼“可复制、可推广”的建设经验,充分利用报纸、电视、微博、微信等各种媒体，宣传一刻钟便民生活圈的作用意义，营造浓厚的舆论氛围。 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jc w:val="left"/>
        <w:textAlignment w:val="auto"/>
      </w:pPr>
      <w:r>
        <w:rPr>
          <w:rFonts w:hint="eastAsia" w:ascii="微软雅黑" w:hAnsi="微软雅黑" w:eastAsia="微软雅黑" w:cs="微软雅黑"/>
          <w:sz w:val="24"/>
          <w:szCs w:val="24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jc w:val="right"/>
        <w:textAlignment w:val="auto"/>
      </w:pPr>
      <w:r>
        <w:rPr>
          <w:rFonts w:hint="eastAsia" w:ascii="微软雅黑" w:hAnsi="微软雅黑" w:eastAsia="微软雅黑" w:cs="微软雅黑"/>
          <w:sz w:val="24"/>
          <w:szCs w:val="24"/>
        </w:rPr>
        <w:t>淄川区商务局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jc w:val="right"/>
        <w:textAlignment w:val="auto"/>
      </w:pPr>
      <w:r>
        <w:rPr>
          <w:rFonts w:hint="eastAsia" w:ascii="微软雅黑" w:hAnsi="微软雅黑" w:eastAsia="微软雅黑" w:cs="微软雅黑"/>
          <w:sz w:val="24"/>
          <w:szCs w:val="24"/>
        </w:rPr>
        <w:t>2022年2月11日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E73966"/>
    <w:rsid w:val="6CE7396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hh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2022-11-16T08:06:00Z</dcterms:created>
  <dc:creator>银杏果</dc:creator>
  <cp:lastModifiedBy>银杏果</cp:lastModifiedBy>
  <dcterms:modified xsi:type="dcterms:W3CDTF">2022-11-16T08:07:29Z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