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i w:val="0"/>
          <w:caps w:val="0"/>
          <w:color w:val="auto"/>
          <w:spacing w:val="0"/>
          <w:kern w:val="0"/>
          <w:sz w:val="44"/>
          <w:szCs w:val="44"/>
          <w:shd w:val="clear" w:color="auto" w:fill="FFFFFF"/>
          <w:lang w:val="en-US" w:eastAsia="zh-CN" w:bidi="ar"/>
        </w:rPr>
      </w:pPr>
      <w:r>
        <w:rPr>
          <w:rFonts w:hint="default" w:ascii="Times New Roman" w:hAnsi="Times New Roman" w:eastAsia="方正小标宋简体" w:cs="Times New Roman"/>
          <w:b w:val="0"/>
          <w:bCs/>
          <w:i w:val="0"/>
          <w:caps w:val="0"/>
          <w:color w:val="auto"/>
          <w:spacing w:val="0"/>
          <w:kern w:val="0"/>
          <w:sz w:val="44"/>
          <w:szCs w:val="44"/>
          <w:shd w:val="clear" w:color="auto" w:fill="FFFFFF"/>
          <w:lang w:val="en-US" w:eastAsia="zh-CN" w:bidi="ar"/>
        </w:rPr>
        <w:t>淄博市淄川区双杨镇人民政府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i w:val="0"/>
          <w:caps w:val="0"/>
          <w:color w:val="auto"/>
          <w:spacing w:val="0"/>
          <w:kern w:val="0"/>
          <w:sz w:val="44"/>
          <w:szCs w:val="44"/>
          <w:shd w:val="clear" w:color="auto" w:fill="FFFFFF"/>
          <w:lang w:val="en-US" w:eastAsia="zh-CN" w:bidi="ar"/>
        </w:rPr>
      </w:pPr>
      <w:r>
        <w:rPr>
          <w:rFonts w:hint="default" w:ascii="Times New Roman" w:hAnsi="Times New Roman" w:eastAsia="方正小标宋简体" w:cs="Times New Roman"/>
          <w:b w:val="0"/>
          <w:bCs/>
          <w:i w:val="0"/>
          <w:caps w:val="0"/>
          <w:color w:val="auto"/>
          <w:spacing w:val="0"/>
          <w:kern w:val="0"/>
          <w:sz w:val="44"/>
          <w:szCs w:val="44"/>
          <w:shd w:val="clear" w:color="auto" w:fill="FFFFFF"/>
          <w:lang w:val="en-US" w:eastAsia="zh-CN" w:bidi="ar"/>
        </w:rPr>
        <w:t>2023年政府信息公开工作年度报告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i w:val="0"/>
          <w:caps w:val="0"/>
          <w:color w:val="333333"/>
          <w:spacing w:val="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spacing w:val="0"/>
          <w:sz w:val="32"/>
          <w:szCs w:val="32"/>
          <w:u w:val="none"/>
          <w:lang w:val="en-US" w:eastAsia="zh-CN"/>
        </w:rPr>
      </w:pPr>
      <w:r>
        <w:rPr>
          <w:rFonts w:hint="default" w:ascii="Times New Roman" w:hAnsi="Times New Roman" w:eastAsia="仿宋_GB2312" w:cs="Times New Roman"/>
          <w:i w:val="0"/>
          <w:caps w:val="0"/>
          <w:color w:val="000000"/>
          <w:spacing w:val="0"/>
          <w:sz w:val="32"/>
          <w:szCs w:val="32"/>
          <w:lang w:eastAsia="zh-CN"/>
        </w:rPr>
        <w:t>本年度报告中所列数据的统计期限自202</w:t>
      </w:r>
      <w:r>
        <w:rPr>
          <w:rFonts w:hint="default" w:ascii="Times New Roman" w:hAnsi="Times New Roman" w:eastAsia="仿宋_GB2312" w:cs="Times New Roman"/>
          <w:i w:val="0"/>
          <w:caps w:val="0"/>
          <w:color w:val="000000"/>
          <w:spacing w:val="0"/>
          <w:sz w:val="32"/>
          <w:szCs w:val="32"/>
          <w:lang w:val="en-US" w:eastAsia="zh-CN"/>
        </w:rPr>
        <w:t>3</w:t>
      </w:r>
      <w:r>
        <w:rPr>
          <w:rFonts w:hint="default" w:ascii="Times New Roman" w:hAnsi="Times New Roman" w:eastAsia="仿宋_GB2312" w:cs="Times New Roman"/>
          <w:i w:val="0"/>
          <w:caps w:val="0"/>
          <w:color w:val="000000"/>
          <w:spacing w:val="0"/>
          <w:sz w:val="32"/>
          <w:szCs w:val="32"/>
          <w:lang w:eastAsia="zh-CN"/>
        </w:rPr>
        <w:t>年1月1日起，至202</w:t>
      </w:r>
      <w:r>
        <w:rPr>
          <w:rFonts w:hint="default" w:ascii="Times New Roman" w:hAnsi="Times New Roman" w:eastAsia="仿宋_GB2312" w:cs="Times New Roman"/>
          <w:i w:val="0"/>
          <w:caps w:val="0"/>
          <w:color w:val="000000"/>
          <w:spacing w:val="0"/>
          <w:sz w:val="32"/>
          <w:szCs w:val="32"/>
          <w:lang w:val="en-US" w:eastAsia="zh-CN"/>
        </w:rPr>
        <w:t>3</w:t>
      </w:r>
      <w:r>
        <w:rPr>
          <w:rFonts w:hint="default" w:ascii="Times New Roman" w:hAnsi="Times New Roman" w:eastAsia="仿宋_GB2312" w:cs="Times New Roman"/>
          <w:i w:val="0"/>
          <w:caps w:val="0"/>
          <w:color w:val="000000"/>
          <w:spacing w:val="0"/>
          <w:sz w:val="32"/>
          <w:szCs w:val="32"/>
          <w:lang w:eastAsia="zh-CN"/>
        </w:rPr>
        <w:t>年12月31日止。如对报告内容有疑问，请与</w:t>
      </w:r>
      <w:r>
        <w:rPr>
          <w:rFonts w:hint="eastAsia" w:ascii="Times New Roman" w:hAnsi="Times New Roman" w:eastAsia="仿宋_GB2312" w:cs="Times New Roman"/>
          <w:i w:val="0"/>
          <w:caps w:val="0"/>
          <w:color w:val="000000"/>
          <w:spacing w:val="0"/>
          <w:sz w:val="32"/>
          <w:szCs w:val="32"/>
          <w:lang w:val="en-US" w:eastAsia="zh-CN"/>
        </w:rPr>
        <w:t>淄博市</w:t>
      </w:r>
      <w:r>
        <w:rPr>
          <w:rFonts w:hint="default" w:ascii="Times New Roman" w:hAnsi="Times New Roman" w:eastAsia="仿宋_GB2312" w:cs="Times New Roman"/>
          <w:i w:val="0"/>
          <w:caps w:val="0"/>
          <w:color w:val="000000"/>
          <w:spacing w:val="0"/>
          <w:sz w:val="32"/>
          <w:szCs w:val="32"/>
          <w:lang w:val="en-US" w:eastAsia="zh-CN"/>
        </w:rPr>
        <w:t>淄川区双杨镇人民政府联系（地址：山东省淄博市淄川区杨萌路与宝塔街交叉路口往东南约100米；邮编：255185；电话：0533-5481001；邮箱：</w:t>
      </w:r>
      <w:r>
        <w:rPr>
          <w:rFonts w:hint="default" w:ascii="Times New Roman" w:hAnsi="Times New Roman" w:eastAsia="仿宋_GB2312" w:cs="Times New Roman"/>
          <w:i w:val="0"/>
          <w:caps w:val="0"/>
          <w:color w:val="000000"/>
          <w:spacing w:val="0"/>
          <w:sz w:val="32"/>
          <w:szCs w:val="32"/>
          <w:u w:val="none"/>
          <w:lang w:val="en-US" w:eastAsia="zh-CN"/>
        </w:rPr>
        <w:t>syzdzbgs123</w:t>
      </w:r>
      <w:r>
        <w:rPr>
          <w:rFonts w:hint="default" w:ascii="Times New Roman" w:hAnsi="Times New Roman" w:eastAsia="仿宋_GB2312" w:cs="Times New Roman"/>
          <w:i w:val="0"/>
          <w:caps w:val="0"/>
          <w:color w:val="000000"/>
          <w:spacing w:val="0"/>
          <w:sz w:val="32"/>
          <w:szCs w:val="32"/>
          <w:u w:val="none"/>
          <w:lang w:val="en-US" w:eastAsia="zh-CN"/>
        </w:rPr>
        <w:t>@zb.shandong.cn）</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i w:val="0"/>
          <w:caps w:val="0"/>
          <w:color w:val="000000"/>
          <w:spacing w:val="0"/>
          <w:sz w:val="32"/>
          <w:szCs w:val="32"/>
          <w:u w:val="none"/>
          <w:lang w:val="en-US" w:eastAsia="zh-CN"/>
        </w:rPr>
      </w:pPr>
      <w:r>
        <w:rPr>
          <w:rFonts w:hint="default" w:ascii="Times New Roman" w:hAnsi="Times New Roman" w:eastAsia="黑体" w:cs="Times New Roman"/>
          <w:i w:val="0"/>
          <w:caps w:val="0"/>
          <w:color w:val="000000"/>
          <w:spacing w:val="0"/>
          <w:sz w:val="32"/>
          <w:szCs w:val="32"/>
          <w:u w:val="none"/>
          <w:lang w:val="en-US" w:eastAsia="zh-CN"/>
        </w:rPr>
        <w:t>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i w:val="0"/>
          <w:caps w:val="0"/>
          <w:color w:val="000000"/>
          <w:spacing w:val="0"/>
          <w:sz w:val="32"/>
          <w:szCs w:val="32"/>
          <w:u w:val="none"/>
          <w:lang w:val="en-US" w:eastAsia="zh-CN"/>
        </w:rPr>
      </w:pPr>
      <w:r>
        <w:rPr>
          <w:rFonts w:hint="default" w:ascii="Times New Roman" w:hAnsi="Times New Roman" w:eastAsia="仿宋_GB2312" w:cs="Times New Roman"/>
          <w:i w:val="0"/>
          <w:caps w:val="0"/>
          <w:color w:val="000000"/>
          <w:spacing w:val="0"/>
          <w:sz w:val="32"/>
          <w:szCs w:val="32"/>
          <w:u w:val="none"/>
          <w:lang w:val="en-US" w:eastAsia="zh-CN"/>
        </w:rPr>
        <w:t>2023年双杨镇全面贯彻落实党的二十大精神，坚持以习近平新时代中国特色社会主义思想为指导，认真贯彻落实区委、区政府工作部署，紧紧围绕镇党委政府中心工作，深化重点领域信息公开，持续推进政务公开标准化规范化建设，推动政务公开工作水平迈上新台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spacing w:val="0"/>
          <w:sz w:val="32"/>
          <w:szCs w:val="32"/>
          <w:u w:val="none"/>
          <w:lang w:val="en-US" w:eastAsia="zh-CN"/>
        </w:rPr>
      </w:pPr>
      <w:r>
        <w:rPr>
          <w:rFonts w:hint="default" w:ascii="Times New Roman" w:hAnsi="Times New Roman" w:eastAsia="仿宋_GB2312" w:cs="Times New Roman"/>
          <w:i w:val="0"/>
          <w:caps w:val="0"/>
          <w:color w:val="000000"/>
          <w:spacing w:val="0"/>
          <w:sz w:val="32"/>
          <w:szCs w:val="32"/>
          <w:u w:val="none"/>
          <w:lang w:val="en-US" w:eastAsia="zh-CN"/>
        </w:rPr>
        <w:t>1.主动公开方面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i w:val="0"/>
          <w:caps w:val="0"/>
          <w:color w:val="000000"/>
          <w:spacing w:val="0"/>
          <w:sz w:val="32"/>
          <w:szCs w:val="32"/>
          <w:u w:val="none"/>
          <w:lang w:val="en-US" w:eastAsia="zh-CN"/>
        </w:rPr>
      </w:pPr>
      <w:r>
        <w:rPr>
          <w:rFonts w:hint="default" w:ascii="Times New Roman" w:hAnsi="Times New Roman" w:eastAsia="仿宋_GB2312" w:cs="Times New Roman"/>
          <w:i w:val="0"/>
          <w:caps w:val="0"/>
          <w:color w:val="000000"/>
          <w:spacing w:val="0"/>
          <w:sz w:val="32"/>
          <w:szCs w:val="32"/>
          <w:u w:val="none"/>
          <w:lang w:val="en-US" w:eastAsia="zh-CN"/>
        </w:rPr>
        <w:t>2023年，双杨镇按照规定的主动公开信息范围，按要求发布或更新信息，累计主动公开信息49条，其中：机构职能1条，政府文件2条，政策解读1条，人事信息1条，政府工作报告1条，部门会议3条，规划计划5条，年度重点工作任务分解、执行及落实情况1条，经济和社会发展统计信息1条，建议提案办理5条，财政信息4条，重点领域信息公开事项13条，政府信息公开指南1条，政府信息公开年报1条，政府信息主动公开基本目录1条，基层政务公开标准化目录2条，政务公开组织管理5条，法治政府建设年度报告1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spacing w:val="0"/>
          <w:sz w:val="32"/>
          <w:szCs w:val="32"/>
          <w:u w:val="none"/>
          <w:lang w:val="en-US" w:eastAsia="zh-CN"/>
        </w:rPr>
      </w:pPr>
      <w:r>
        <w:rPr>
          <w:rFonts w:hint="default" w:ascii="Times New Roman" w:hAnsi="Times New Roman" w:eastAsia="仿宋_GB2312" w:cs="Times New Roman"/>
          <w:i w:val="0"/>
          <w:caps w:val="0"/>
          <w:color w:val="000000"/>
          <w:spacing w:val="0"/>
          <w:sz w:val="32"/>
          <w:szCs w:val="32"/>
          <w:u w:val="none"/>
          <w:lang w:val="en-US" w:eastAsia="zh-CN"/>
        </w:rPr>
        <w:t>2.依申请公开工作方面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i w:val="0"/>
          <w:caps w:val="0"/>
          <w:color w:val="000000"/>
          <w:spacing w:val="0"/>
          <w:sz w:val="32"/>
          <w:szCs w:val="32"/>
          <w:u w:val="none"/>
          <w:lang w:val="en-US" w:eastAsia="zh-CN"/>
        </w:rPr>
      </w:pPr>
      <w:r>
        <w:rPr>
          <w:rFonts w:hint="default" w:ascii="Times New Roman" w:hAnsi="Times New Roman" w:eastAsia="仿宋_GB2312" w:cs="Times New Roman"/>
          <w:i w:val="0"/>
          <w:caps w:val="0"/>
          <w:color w:val="000000"/>
          <w:spacing w:val="0"/>
          <w:sz w:val="32"/>
          <w:szCs w:val="32"/>
          <w:u w:val="none"/>
          <w:lang w:val="en-US" w:eastAsia="zh-CN"/>
        </w:rPr>
        <w:t>2023年，收到政府信息公开申请1件，全部依法依规予以办理。因依申请公开引发的行政复议案件0件，行政诉讼案件0件。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spacing w:val="0"/>
          <w:sz w:val="32"/>
          <w:szCs w:val="32"/>
          <w:u w:val="none"/>
          <w:lang w:val="en-US" w:eastAsia="zh-CN"/>
        </w:rPr>
      </w:pPr>
      <w:r>
        <w:rPr>
          <w:rFonts w:hint="default" w:ascii="Times New Roman" w:hAnsi="Times New Roman" w:eastAsia="仿宋_GB2312" w:cs="Times New Roman"/>
          <w:i w:val="0"/>
          <w:caps w:val="0"/>
          <w:color w:val="000000"/>
          <w:spacing w:val="0"/>
          <w:sz w:val="32"/>
          <w:szCs w:val="32"/>
          <w:u w:val="none"/>
          <w:lang w:val="en-US" w:eastAsia="zh-CN"/>
        </w:rPr>
        <w:t>3.政府信息管理方面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spacing w:val="0"/>
          <w:sz w:val="32"/>
          <w:szCs w:val="32"/>
          <w:u w:val="none"/>
          <w:lang w:val="en-US" w:eastAsia="zh-CN"/>
        </w:rPr>
      </w:pPr>
      <w:r>
        <w:rPr>
          <w:rFonts w:hint="default" w:ascii="Times New Roman" w:hAnsi="Times New Roman" w:eastAsia="仿宋_GB2312" w:cs="Times New Roman"/>
          <w:i w:val="0"/>
          <w:caps w:val="0"/>
          <w:color w:val="000000"/>
          <w:spacing w:val="0"/>
          <w:sz w:val="32"/>
          <w:szCs w:val="32"/>
          <w:u w:val="none"/>
          <w:lang w:val="en-US" w:eastAsia="zh-CN"/>
        </w:rPr>
        <w:t>动态更新政府信息主动公开目录,完善信息公开源头认定机制，严格落实保密工作管理规则和政府信息依申请公开要求，确保公开的信息内容安全。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spacing w:val="0"/>
          <w:sz w:val="32"/>
          <w:szCs w:val="32"/>
          <w:u w:val="none"/>
          <w:lang w:val="en-US" w:eastAsia="zh-CN"/>
        </w:rPr>
      </w:pPr>
      <w:r>
        <w:rPr>
          <w:rFonts w:hint="default" w:ascii="Times New Roman" w:hAnsi="Times New Roman" w:eastAsia="仿宋_GB2312" w:cs="Times New Roman"/>
          <w:i w:val="0"/>
          <w:caps w:val="0"/>
          <w:color w:val="000000"/>
          <w:spacing w:val="0"/>
          <w:sz w:val="32"/>
          <w:szCs w:val="32"/>
          <w:u w:val="none"/>
          <w:lang w:val="en-US" w:eastAsia="zh-CN"/>
        </w:rPr>
        <w:t>4.平台建设方面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spacing w:val="0"/>
          <w:sz w:val="32"/>
          <w:szCs w:val="32"/>
          <w:u w:val="none"/>
          <w:lang w:val="en-US" w:eastAsia="zh-CN"/>
        </w:rPr>
      </w:pPr>
      <w:r>
        <w:rPr>
          <w:rFonts w:hint="default" w:ascii="Times New Roman" w:hAnsi="Times New Roman" w:eastAsia="仿宋_GB2312" w:cs="Times New Roman"/>
          <w:i w:val="0"/>
          <w:caps w:val="0"/>
          <w:color w:val="000000"/>
          <w:spacing w:val="0"/>
          <w:sz w:val="32"/>
          <w:szCs w:val="32"/>
          <w:u w:val="none"/>
          <w:lang w:val="en-US" w:eastAsia="zh-CN"/>
        </w:rPr>
        <w:t>不断完善信息维护管理机制，着力提升“主动公开”栏目内容时效性，及时调整优化政府信息公开平台栏目设置；充分发挥政务新媒体推介宣传作用，截至目前，各政务新媒体关注人数9800余人，全年发布图文、视频资料731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spacing w:val="0"/>
          <w:sz w:val="32"/>
          <w:szCs w:val="32"/>
          <w:u w:val="none"/>
          <w:lang w:val="en-US" w:eastAsia="zh-CN"/>
        </w:rPr>
      </w:pPr>
      <w:r>
        <w:rPr>
          <w:rFonts w:hint="default" w:ascii="Times New Roman" w:hAnsi="Times New Roman" w:eastAsia="仿宋_GB2312" w:cs="Times New Roman"/>
          <w:i w:val="0"/>
          <w:caps w:val="0"/>
          <w:color w:val="000000"/>
          <w:spacing w:val="0"/>
          <w:sz w:val="32"/>
          <w:szCs w:val="32"/>
          <w:u w:val="none"/>
          <w:lang w:val="en-US" w:eastAsia="zh-CN"/>
        </w:rPr>
        <w:t>5.监督保障方面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spacing w:val="0"/>
          <w:sz w:val="32"/>
          <w:szCs w:val="32"/>
          <w:u w:val="none"/>
          <w:lang w:val="en-US" w:eastAsia="zh-CN"/>
        </w:rPr>
      </w:pPr>
      <w:r>
        <w:rPr>
          <w:rFonts w:hint="default" w:ascii="Times New Roman" w:hAnsi="Times New Roman" w:eastAsia="仿宋_GB2312" w:cs="Times New Roman"/>
          <w:i w:val="0"/>
          <w:caps w:val="0"/>
          <w:color w:val="000000"/>
          <w:spacing w:val="0"/>
          <w:sz w:val="32"/>
          <w:szCs w:val="32"/>
          <w:u w:val="none"/>
          <w:lang w:val="en-US" w:eastAsia="zh-CN"/>
        </w:rPr>
        <w:t>调整完善政务公开工作领导小组，充实工作力量，强化组织保障。严格信息发布审核流程，加强对发布信息的内容审核和保密审查，确保发布信息的准确性和规范性。制定2023年政务公开培训计划，全年开展专题培训4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i w:val="0"/>
          <w:caps w:val="0"/>
          <w:color w:val="000000"/>
          <w:spacing w:val="0"/>
          <w:sz w:val="32"/>
          <w:szCs w:val="32"/>
          <w:u w:val="none"/>
          <w:lang w:val="en-US" w:eastAsia="zh-CN"/>
        </w:rPr>
      </w:pPr>
      <w:r>
        <w:rPr>
          <w:rFonts w:hint="default" w:ascii="Times New Roman" w:hAnsi="Times New Roman" w:eastAsia="黑体" w:cs="Times New Roman"/>
          <w:i w:val="0"/>
          <w:caps w:val="0"/>
          <w:color w:val="000000"/>
          <w:spacing w:val="0"/>
          <w:sz w:val="32"/>
          <w:szCs w:val="32"/>
          <w:u w:val="none"/>
          <w:lang w:val="en-US" w:eastAsia="zh-CN"/>
        </w:rPr>
        <w:t>主动公开政府信息情况</w:t>
      </w:r>
    </w:p>
    <w:tbl>
      <w:tblPr>
        <w:tblStyle w:val="3"/>
        <w:tblW w:w="7500" w:type="dxa"/>
        <w:jc w:val="center"/>
        <w:tblLayout w:type="fixed"/>
        <w:tblCellMar>
          <w:top w:w="0" w:type="dxa"/>
          <w:left w:w="108" w:type="dxa"/>
          <w:bottom w:w="0" w:type="dxa"/>
          <w:right w:w="108" w:type="dxa"/>
        </w:tblCellMar>
      </w:tblPr>
      <w:tblGrid>
        <w:gridCol w:w="1875"/>
        <w:gridCol w:w="1875"/>
        <w:gridCol w:w="1875"/>
        <w:gridCol w:w="1875"/>
      </w:tblGrid>
      <w:tr>
        <w:tblPrEx>
          <w:tblCellMar>
            <w:top w:w="0" w:type="dxa"/>
            <w:left w:w="108" w:type="dxa"/>
            <w:bottom w:w="0" w:type="dxa"/>
            <w:right w:w="108" w:type="dxa"/>
          </w:tblCellMar>
        </w:tblPrEx>
        <w:trPr>
          <w:trHeight w:val="901" w:hRule="atLeast"/>
          <w:jc w:val="center"/>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tblPrEx>
          <w:tblCellMar>
            <w:top w:w="0" w:type="dxa"/>
            <w:left w:w="108" w:type="dxa"/>
            <w:bottom w:w="0" w:type="dxa"/>
            <w:right w:w="108" w:type="dxa"/>
          </w:tblCellMar>
        </w:tblPrEx>
        <w:trPr>
          <w:trHeight w:val="901" w:hRule="atLeast"/>
          <w:jc w:val="center"/>
        </w:trPr>
        <w:tc>
          <w:tcPr>
            <w:tcW w:w="1875"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信息内容</w:t>
            </w:r>
          </w:p>
        </w:tc>
        <w:tc>
          <w:tcPr>
            <w:tcW w:w="1875"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本年制发件数</w:t>
            </w:r>
          </w:p>
        </w:tc>
        <w:tc>
          <w:tcPr>
            <w:tcW w:w="1875"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本年废止件数</w:t>
            </w:r>
          </w:p>
        </w:tc>
        <w:tc>
          <w:tcPr>
            <w:tcW w:w="1875"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现行有效件数</w:t>
            </w:r>
          </w:p>
        </w:tc>
      </w:tr>
      <w:tr>
        <w:tblPrEx>
          <w:tblCellMar>
            <w:top w:w="0" w:type="dxa"/>
            <w:left w:w="108" w:type="dxa"/>
            <w:bottom w:w="0" w:type="dxa"/>
            <w:right w:w="108" w:type="dxa"/>
          </w:tblCellMar>
        </w:tblPrEx>
        <w:trPr>
          <w:trHeight w:val="904" w:hRule="atLeast"/>
          <w:jc w:val="center"/>
        </w:trPr>
        <w:tc>
          <w:tcPr>
            <w:tcW w:w="1875"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规章</w:t>
            </w:r>
          </w:p>
        </w:tc>
        <w:tc>
          <w:tcPr>
            <w:tcW w:w="1875"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1875"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1875"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1028" w:hRule="atLeast"/>
          <w:jc w:val="center"/>
        </w:trPr>
        <w:tc>
          <w:tcPr>
            <w:tcW w:w="1875" w:type="dxa"/>
            <w:tcBorders>
              <w:top w:val="nil"/>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行政规范性文件</w:t>
            </w:r>
          </w:p>
        </w:tc>
        <w:tc>
          <w:tcPr>
            <w:tcW w:w="1875"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1875"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1875"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901" w:hRule="atLeast"/>
          <w:jc w:val="center"/>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tblPrEx>
          <w:tblCellMar>
            <w:top w:w="0" w:type="dxa"/>
            <w:left w:w="108" w:type="dxa"/>
            <w:bottom w:w="0" w:type="dxa"/>
            <w:right w:w="108" w:type="dxa"/>
          </w:tblCellMar>
        </w:tblPrEx>
        <w:trPr>
          <w:trHeight w:val="901" w:hRule="atLeast"/>
          <w:jc w:val="center"/>
        </w:trPr>
        <w:tc>
          <w:tcPr>
            <w:tcW w:w="1875"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信息内容</w:t>
            </w:r>
          </w:p>
        </w:tc>
        <w:tc>
          <w:tcPr>
            <w:tcW w:w="5625"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本年处理决定数量</w:t>
            </w:r>
          </w:p>
        </w:tc>
      </w:tr>
      <w:tr>
        <w:tblPrEx>
          <w:tblCellMar>
            <w:top w:w="0" w:type="dxa"/>
            <w:left w:w="108" w:type="dxa"/>
            <w:bottom w:w="0" w:type="dxa"/>
            <w:right w:w="108" w:type="dxa"/>
          </w:tblCellMar>
        </w:tblPrEx>
        <w:trPr>
          <w:trHeight w:val="880" w:hRule="atLeast"/>
          <w:jc w:val="center"/>
        </w:trPr>
        <w:tc>
          <w:tcPr>
            <w:tcW w:w="1875"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b/>
                <w:bCs/>
                <w:color w:val="000000"/>
                <w:kern w:val="0"/>
                <w:szCs w:val="21"/>
              </w:rPr>
              <w:t>行政许可</w:t>
            </w:r>
          </w:p>
        </w:tc>
        <w:tc>
          <w:tcPr>
            <w:tcW w:w="5625"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901" w:hRule="atLeast"/>
          <w:jc w:val="center"/>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tblPrEx>
          <w:tblCellMar>
            <w:top w:w="0" w:type="dxa"/>
            <w:left w:w="108" w:type="dxa"/>
            <w:bottom w:w="0" w:type="dxa"/>
            <w:right w:w="108" w:type="dxa"/>
          </w:tblCellMar>
        </w:tblPrEx>
        <w:trPr>
          <w:trHeight w:val="901" w:hRule="atLeast"/>
          <w:jc w:val="center"/>
        </w:trPr>
        <w:tc>
          <w:tcPr>
            <w:tcW w:w="1875"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信息内容</w:t>
            </w:r>
          </w:p>
        </w:tc>
        <w:tc>
          <w:tcPr>
            <w:tcW w:w="5625"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本年处理决定数量</w:t>
            </w:r>
          </w:p>
        </w:tc>
      </w:tr>
      <w:tr>
        <w:tblPrEx>
          <w:tblCellMar>
            <w:top w:w="0" w:type="dxa"/>
            <w:left w:w="108" w:type="dxa"/>
            <w:bottom w:w="0" w:type="dxa"/>
            <w:right w:w="108" w:type="dxa"/>
          </w:tblCellMar>
        </w:tblPrEx>
        <w:trPr>
          <w:trHeight w:val="901" w:hRule="atLeast"/>
          <w:jc w:val="center"/>
        </w:trPr>
        <w:tc>
          <w:tcPr>
            <w:tcW w:w="1875"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行政处罚</w:t>
            </w:r>
          </w:p>
        </w:tc>
        <w:tc>
          <w:tcPr>
            <w:tcW w:w="5625"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901" w:hRule="atLeast"/>
          <w:jc w:val="center"/>
        </w:trPr>
        <w:tc>
          <w:tcPr>
            <w:tcW w:w="1875"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行政强制</w:t>
            </w:r>
          </w:p>
        </w:tc>
        <w:tc>
          <w:tcPr>
            <w:tcW w:w="5625"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901" w:hRule="atLeast"/>
          <w:jc w:val="center"/>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tblPrEx>
          <w:tblCellMar>
            <w:top w:w="0" w:type="dxa"/>
            <w:left w:w="108" w:type="dxa"/>
            <w:bottom w:w="0" w:type="dxa"/>
            <w:right w:w="108" w:type="dxa"/>
          </w:tblCellMar>
        </w:tblPrEx>
        <w:trPr>
          <w:trHeight w:val="901" w:hRule="atLeast"/>
          <w:jc w:val="center"/>
        </w:trPr>
        <w:tc>
          <w:tcPr>
            <w:tcW w:w="1875"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信息内容</w:t>
            </w:r>
          </w:p>
        </w:tc>
        <w:tc>
          <w:tcPr>
            <w:tcW w:w="5625"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本年收费金额（单位：万元）</w:t>
            </w:r>
          </w:p>
        </w:tc>
      </w:tr>
      <w:tr>
        <w:tblPrEx>
          <w:tblCellMar>
            <w:top w:w="0" w:type="dxa"/>
            <w:left w:w="108" w:type="dxa"/>
            <w:bottom w:w="0" w:type="dxa"/>
            <w:right w:w="108" w:type="dxa"/>
          </w:tblCellMar>
        </w:tblPrEx>
        <w:trPr>
          <w:trHeight w:val="1045" w:hRule="atLeast"/>
          <w:jc w:val="center"/>
        </w:trPr>
        <w:tc>
          <w:tcPr>
            <w:tcW w:w="1875"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b/>
                <w:bCs/>
                <w:color w:val="000000"/>
                <w:kern w:val="0"/>
                <w:szCs w:val="21"/>
              </w:rPr>
              <w:t>行政事业性收费</w:t>
            </w:r>
          </w:p>
        </w:tc>
        <w:tc>
          <w:tcPr>
            <w:tcW w:w="5625"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caps w:val="0"/>
          <w:color w:val="000000"/>
          <w:spacing w:val="0"/>
          <w:sz w:val="32"/>
          <w:szCs w:val="32"/>
          <w:u w:val="none"/>
          <w:lang w:val="en-US" w:eastAsia="zh-CN"/>
        </w:rPr>
      </w:pPr>
      <w:r>
        <w:rPr>
          <w:rFonts w:hint="default" w:ascii="Times New Roman" w:hAnsi="Times New Roman" w:eastAsia="仿宋_GB2312" w:cs="Times New Roman"/>
          <w:i w:val="0"/>
          <w:caps w:val="0"/>
          <w:color w:val="000000"/>
          <w:spacing w:val="0"/>
          <w:sz w:val="32"/>
          <w:szCs w:val="32"/>
          <w:u w:val="none"/>
          <w:lang w:val="en-US" w:eastAsia="zh-CN"/>
        </w:rPr>
        <w:t>收到和处理政府信息公开申请情况</w:t>
      </w:r>
    </w:p>
    <w:tbl>
      <w:tblPr>
        <w:tblStyle w:val="3"/>
        <w:tblW w:w="78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81"/>
        <w:gridCol w:w="736"/>
        <w:gridCol w:w="2531"/>
        <w:gridCol w:w="581"/>
        <w:gridCol w:w="488"/>
        <w:gridCol w:w="562"/>
        <w:gridCol w:w="769"/>
        <w:gridCol w:w="731"/>
        <w:gridCol w:w="500"/>
        <w:gridCol w:w="5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3648" w:type="dxa"/>
            <w:gridSpan w:val="3"/>
            <w:vMerge w:val="restart"/>
            <w:noWrap w:val="0"/>
            <w:tcMar>
              <w:left w:w="108" w:type="dxa"/>
              <w:right w:w="108" w:type="dxa"/>
            </w:tcMar>
            <w:vAlign w:val="center"/>
          </w:tcPr>
          <w:p>
            <w:pPr>
              <w:widowControl/>
              <w:jc w:val="center"/>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pPr>
              <w:widowControl/>
              <w:jc w:val="center"/>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174" w:type="dxa"/>
            <w:gridSpan w:val="7"/>
            <w:noWrap w:val="0"/>
            <w:tcMar>
              <w:left w:w="108" w:type="dxa"/>
              <w:right w:w="108" w:type="dxa"/>
            </w:tcMar>
            <w:vAlign w:val="center"/>
          </w:tcPr>
          <w:p>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3648" w:type="dxa"/>
            <w:gridSpan w:val="3"/>
            <w:vMerge w:val="continue"/>
            <w:noWrap w:val="0"/>
            <w:tcMar>
              <w:left w:w="108" w:type="dxa"/>
              <w:right w:w="108" w:type="dxa"/>
            </w:tcMar>
            <w:vAlign w:val="center"/>
          </w:tcPr>
          <w:p>
            <w:pPr>
              <w:jc w:val="center"/>
              <w:rPr>
                <w:rFonts w:hint="default" w:ascii="Times New Roman" w:hAnsi="Times New Roman" w:eastAsia="仿宋_GB2312" w:cs="Times New Roman"/>
                <w:szCs w:val="21"/>
              </w:rPr>
            </w:pPr>
          </w:p>
        </w:tc>
        <w:tc>
          <w:tcPr>
            <w:tcW w:w="581" w:type="dxa"/>
            <w:vMerge w:val="restart"/>
            <w:noWrap w:val="0"/>
            <w:tcMar>
              <w:left w:w="108" w:type="dxa"/>
              <w:right w:w="108" w:type="dxa"/>
            </w:tcMar>
            <w:vAlign w:val="center"/>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050" w:type="dxa"/>
            <w:gridSpan w:val="5"/>
            <w:noWrap w:val="0"/>
            <w:tcMar>
              <w:left w:w="108" w:type="dxa"/>
              <w:right w:w="108" w:type="dxa"/>
            </w:tcMar>
            <w:vAlign w:val="center"/>
          </w:tcPr>
          <w:p>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543" w:type="dxa"/>
            <w:vMerge w:val="restart"/>
            <w:noWrap w:val="0"/>
            <w:tcMar>
              <w:left w:w="108" w:type="dxa"/>
              <w:right w:w="108" w:type="dxa"/>
            </w:tcMar>
            <w:vAlign w:val="center"/>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3648" w:type="dxa"/>
            <w:gridSpan w:val="3"/>
            <w:vMerge w:val="continue"/>
            <w:noWrap w:val="0"/>
            <w:tcMar>
              <w:left w:w="108" w:type="dxa"/>
              <w:right w:w="108" w:type="dxa"/>
            </w:tcMar>
            <w:vAlign w:val="center"/>
          </w:tcPr>
          <w:p>
            <w:pPr>
              <w:jc w:val="center"/>
              <w:rPr>
                <w:rFonts w:hint="default" w:ascii="Times New Roman" w:hAnsi="Times New Roman" w:eastAsia="仿宋_GB2312" w:cs="Times New Roman"/>
                <w:szCs w:val="21"/>
              </w:rPr>
            </w:pPr>
          </w:p>
        </w:tc>
        <w:tc>
          <w:tcPr>
            <w:tcW w:w="581" w:type="dxa"/>
            <w:vMerge w:val="continue"/>
            <w:noWrap w:val="0"/>
            <w:tcMar>
              <w:left w:w="108" w:type="dxa"/>
              <w:right w:w="108" w:type="dxa"/>
            </w:tcMar>
            <w:vAlign w:val="center"/>
          </w:tcPr>
          <w:p>
            <w:pPr>
              <w:jc w:val="center"/>
              <w:rPr>
                <w:rFonts w:hint="default" w:ascii="Times New Roman" w:hAnsi="Times New Roman" w:eastAsia="黑体" w:cs="Times New Roman"/>
                <w:szCs w:val="21"/>
              </w:rPr>
            </w:pPr>
          </w:p>
        </w:tc>
        <w:tc>
          <w:tcPr>
            <w:tcW w:w="488" w:type="dxa"/>
            <w:noWrap w:val="0"/>
            <w:tcMar>
              <w:left w:w="108" w:type="dxa"/>
              <w:right w:w="108" w:type="dxa"/>
            </w:tcMar>
            <w:vAlign w:val="center"/>
          </w:tcPr>
          <w:p>
            <w:pPr>
              <w:widowControl/>
              <w:spacing w:line="320" w:lineRule="exact"/>
              <w:ind w:left="-106" w:leftChars="-51" w:right="-10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62" w:type="dxa"/>
            <w:noWrap w:val="0"/>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69" w:type="dxa"/>
            <w:noWrap w:val="0"/>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731" w:type="dxa"/>
            <w:noWrap w:val="0"/>
            <w:tcMar>
              <w:left w:w="108" w:type="dxa"/>
              <w:right w:w="108" w:type="dxa"/>
            </w:tcMar>
            <w:vAlign w:val="center"/>
          </w:tcPr>
          <w:p>
            <w:pPr>
              <w:widowControl/>
              <w:spacing w:line="320" w:lineRule="exact"/>
              <w:ind w:left="-106" w:leftChars="-51" w:right="-10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00" w:type="dxa"/>
            <w:noWrap w:val="0"/>
            <w:tcMar>
              <w:left w:w="108" w:type="dxa"/>
              <w:right w:w="108" w:type="dxa"/>
            </w:tcMar>
            <w:vAlign w:val="center"/>
          </w:tcPr>
          <w:p>
            <w:pPr>
              <w:widowControl/>
              <w:spacing w:line="360" w:lineRule="exact"/>
              <w:ind w:left="-63" w:leftChars="-30" w:right="-134" w:rightChars="-64"/>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543" w:type="dxa"/>
            <w:vMerge w:val="continue"/>
            <w:noWrap w:val="0"/>
            <w:tcMar>
              <w:left w:w="108" w:type="dxa"/>
              <w:right w:w="108" w:type="dxa"/>
            </w:tcMar>
            <w:vAlign w:val="center"/>
          </w:tcPr>
          <w:p>
            <w:pPr>
              <w:jc w:val="center"/>
              <w:rPr>
                <w:rFonts w:hint="default"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3648" w:type="dxa"/>
            <w:gridSpan w:val="3"/>
            <w:noWrap w:val="0"/>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w:t>
            </w:r>
            <w:bookmarkStart w:id="0" w:name="_Hlk66973412"/>
            <w:r>
              <w:rPr>
                <w:rFonts w:hint="default" w:ascii="Times New Roman" w:hAnsi="Times New Roman" w:eastAsia="黑体" w:cs="Times New Roman"/>
                <w:kern w:val="0"/>
                <w:szCs w:val="21"/>
              </w:rPr>
              <w:t>本年新收政府信息公开申请数量</w:t>
            </w:r>
            <w:bookmarkEnd w:id="0"/>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1</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3648" w:type="dxa"/>
            <w:gridSpan w:val="3"/>
            <w:shd w:val="clear" w:color="auto" w:fill="auto"/>
            <w:noWrap w:val="0"/>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shd w:val="clear" w:color="auto" w:fill="95B3D7"/>
              </w:rPr>
              <w:t>二、上年结转政府信息公开申请数量</w:t>
            </w:r>
          </w:p>
        </w:tc>
        <w:tc>
          <w:tcPr>
            <w:tcW w:w="581" w:type="dxa"/>
            <w:shd w:val="clear" w:color="auto" w:fill="95B3D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Cs w:val="21"/>
                <w:lang w:val="en-US" w:eastAsia="zh-CN"/>
              </w:rPr>
              <w:t>0</w:t>
            </w:r>
          </w:p>
        </w:tc>
        <w:tc>
          <w:tcPr>
            <w:tcW w:w="488" w:type="dxa"/>
            <w:shd w:val="clear" w:color="auto" w:fill="95B3D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Cs w:val="21"/>
                <w:lang w:val="en-US" w:eastAsia="zh-CN"/>
              </w:rPr>
              <w:t>0</w:t>
            </w:r>
          </w:p>
        </w:tc>
        <w:tc>
          <w:tcPr>
            <w:tcW w:w="562" w:type="dxa"/>
            <w:shd w:val="clear" w:color="auto" w:fill="95B3D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Cs w:val="21"/>
                <w:lang w:val="en-US" w:eastAsia="zh-CN"/>
              </w:rPr>
              <w:t>0</w:t>
            </w:r>
          </w:p>
        </w:tc>
        <w:tc>
          <w:tcPr>
            <w:tcW w:w="769" w:type="dxa"/>
            <w:shd w:val="clear" w:color="auto" w:fill="95B3D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Cs w:val="21"/>
                <w:lang w:val="en-US" w:eastAsia="zh-CN"/>
              </w:rPr>
              <w:t>0</w:t>
            </w:r>
          </w:p>
        </w:tc>
        <w:tc>
          <w:tcPr>
            <w:tcW w:w="731" w:type="dxa"/>
            <w:shd w:val="clear" w:color="auto" w:fill="95B3D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Cs w:val="21"/>
                <w:lang w:val="en-US" w:eastAsia="zh-CN"/>
              </w:rPr>
              <w:t>0</w:t>
            </w:r>
          </w:p>
        </w:tc>
        <w:tc>
          <w:tcPr>
            <w:tcW w:w="500" w:type="dxa"/>
            <w:shd w:val="clear" w:color="auto" w:fill="95B3D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Cs w:val="21"/>
                <w:lang w:val="en-US" w:eastAsia="zh-CN"/>
              </w:rPr>
              <w:t>0</w:t>
            </w:r>
          </w:p>
        </w:tc>
        <w:tc>
          <w:tcPr>
            <w:tcW w:w="543" w:type="dxa"/>
            <w:shd w:val="clear" w:color="auto" w:fill="95B3D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381" w:type="dxa"/>
            <w:vMerge w:val="restart"/>
            <w:noWrap w:val="0"/>
            <w:tcMar>
              <w:left w:w="108" w:type="dxa"/>
              <w:right w:w="108" w:type="dxa"/>
            </w:tcMar>
            <w:vAlign w:val="center"/>
          </w:tcPr>
          <w:p>
            <w:pPr>
              <w:widowControl/>
              <w:spacing w:after="180"/>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3267" w:type="dxa"/>
            <w:gridSpan w:val="2"/>
            <w:noWrap w:val="0"/>
            <w:tcMar>
              <w:left w:w="108" w:type="dxa"/>
              <w:right w:w="108" w:type="dxa"/>
            </w:tcMar>
            <w:vAlign w:val="center"/>
          </w:tcPr>
          <w:p>
            <w:pPr>
              <w:widowControl/>
              <w:rPr>
                <w:rFonts w:hint="default" w:ascii="Times New Roman" w:hAnsi="Times New Roman" w:eastAsia="黑体" w:cs="Times New Roman"/>
                <w:sz w:val="16"/>
                <w:szCs w:val="16"/>
              </w:rPr>
            </w:pPr>
            <w:r>
              <w:rPr>
                <w:rFonts w:hint="default" w:ascii="Times New Roman" w:hAnsi="Times New Roman" w:eastAsia="黑体" w:cs="Times New Roman"/>
                <w:kern w:val="0"/>
                <w:sz w:val="16"/>
                <w:szCs w:val="16"/>
              </w:rPr>
              <w:t>（一）予以公开</w:t>
            </w:r>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1</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381"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3267" w:type="dxa"/>
            <w:gridSpan w:val="2"/>
            <w:noWrap w:val="0"/>
            <w:tcMar>
              <w:left w:w="108" w:type="dxa"/>
              <w:right w:w="108" w:type="dxa"/>
            </w:tcMar>
            <w:vAlign w:val="center"/>
          </w:tcPr>
          <w:p>
            <w:pPr>
              <w:widowControl/>
              <w:rPr>
                <w:rFonts w:hint="default" w:ascii="Times New Roman" w:hAnsi="Times New Roman" w:eastAsia="黑体" w:cs="Times New Roman"/>
                <w:sz w:val="16"/>
                <w:szCs w:val="16"/>
              </w:rPr>
            </w:pPr>
            <w:r>
              <w:rPr>
                <w:rFonts w:hint="default" w:ascii="Times New Roman" w:hAnsi="Times New Roman" w:eastAsia="黑体" w:cs="Times New Roman"/>
                <w:kern w:val="0"/>
                <w:sz w:val="16"/>
                <w:szCs w:val="16"/>
              </w:rPr>
              <w:t>（二）部分公开（</w:t>
            </w:r>
            <w:bookmarkStart w:id="1" w:name="_Hlk66973981"/>
            <w:r>
              <w:rPr>
                <w:rFonts w:hint="default" w:ascii="Times New Roman" w:hAnsi="Times New Roman" w:eastAsia="黑体" w:cs="Times New Roman"/>
                <w:kern w:val="0"/>
                <w:sz w:val="16"/>
                <w:szCs w:val="16"/>
              </w:rPr>
              <w:t>区分处理的，只计这一情形，不计其他情形</w:t>
            </w:r>
            <w:bookmarkEnd w:id="1"/>
            <w:r>
              <w:rPr>
                <w:rFonts w:hint="default" w:ascii="Times New Roman" w:hAnsi="Times New Roman" w:eastAsia="黑体" w:cs="Times New Roman"/>
                <w:kern w:val="0"/>
                <w:sz w:val="16"/>
                <w:szCs w:val="16"/>
              </w:rPr>
              <w:t>）</w:t>
            </w:r>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736" w:type="dxa"/>
            <w:vMerge w:val="restart"/>
            <w:noWrap w:val="0"/>
            <w:tcMar>
              <w:left w:w="108" w:type="dxa"/>
              <w:right w:w="108" w:type="dxa"/>
            </w:tcMar>
            <w:vAlign w:val="center"/>
          </w:tcPr>
          <w:p>
            <w:pPr>
              <w:widowControl/>
              <w:spacing w:line="200" w:lineRule="exact"/>
              <w:ind w:left="-107" w:leftChars="-51"/>
              <w:rPr>
                <w:rFonts w:hint="default" w:ascii="Times New Roman" w:hAnsi="Times New Roman" w:eastAsia="黑体" w:cs="Times New Roman"/>
                <w:sz w:val="16"/>
                <w:szCs w:val="16"/>
              </w:rPr>
            </w:pPr>
            <w:r>
              <w:rPr>
                <w:rFonts w:hint="default" w:ascii="Times New Roman" w:hAnsi="Times New Roman" w:eastAsia="黑体" w:cs="Times New Roman"/>
                <w:kern w:val="0"/>
                <w:sz w:val="16"/>
                <w:szCs w:val="16"/>
              </w:rPr>
              <w:t>（三）不予公开</w:t>
            </w:r>
          </w:p>
        </w:tc>
        <w:tc>
          <w:tcPr>
            <w:tcW w:w="2531"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1.属于国家秘密</w:t>
            </w:r>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noWrap w:val="0"/>
            <w:tcMar>
              <w:left w:w="108" w:type="dxa"/>
              <w:right w:w="108" w:type="dxa"/>
            </w:tcMar>
            <w:vAlign w:val="center"/>
          </w:tcPr>
          <w:p>
            <w:pPr>
              <w:rPr>
                <w:rFonts w:hint="default" w:ascii="Times New Roman" w:hAnsi="Times New Roman" w:eastAsia="黑体" w:cs="Times New Roman"/>
                <w:szCs w:val="21"/>
                <w:lang w:eastAsia="zh-CN"/>
              </w:rPr>
            </w:pPr>
            <w:r>
              <w:rPr>
                <w:rFonts w:hint="default" w:ascii="Times New Roman" w:hAnsi="Times New Roman" w:eastAsia="黑体" w:cs="Times New Roman"/>
                <w:szCs w:val="21"/>
                <w:lang w:eastAsia="zh-CN"/>
              </w:rPr>
              <w:t>S</w:t>
            </w:r>
          </w:p>
        </w:tc>
        <w:tc>
          <w:tcPr>
            <w:tcW w:w="736" w:type="dxa"/>
            <w:vMerge w:val="continue"/>
            <w:noWrap w:val="0"/>
            <w:tcMar>
              <w:left w:w="108" w:type="dxa"/>
              <w:right w:w="108" w:type="dxa"/>
            </w:tcMar>
            <w:vAlign w:val="center"/>
          </w:tcPr>
          <w:p>
            <w:pPr>
              <w:spacing w:line="200" w:lineRule="exact"/>
              <w:rPr>
                <w:rFonts w:hint="default" w:ascii="Times New Roman" w:hAnsi="Times New Roman" w:eastAsia="黑体" w:cs="Times New Roman"/>
                <w:sz w:val="16"/>
                <w:szCs w:val="16"/>
              </w:rPr>
            </w:pPr>
          </w:p>
        </w:tc>
        <w:tc>
          <w:tcPr>
            <w:tcW w:w="2531"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2.</w:t>
            </w:r>
            <w:bookmarkStart w:id="2" w:name="_Hlk66974104"/>
            <w:r>
              <w:rPr>
                <w:rFonts w:hint="default" w:ascii="Times New Roman" w:hAnsi="Times New Roman" w:eastAsia="仿宋_GB2312" w:cs="Times New Roman"/>
                <w:kern w:val="0"/>
                <w:sz w:val="16"/>
                <w:szCs w:val="16"/>
              </w:rPr>
              <w:t>其他法律行政法规禁止公开</w:t>
            </w:r>
            <w:bookmarkEnd w:id="2"/>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736" w:type="dxa"/>
            <w:vMerge w:val="continue"/>
            <w:noWrap w:val="0"/>
            <w:tcMar>
              <w:left w:w="108" w:type="dxa"/>
              <w:right w:w="108" w:type="dxa"/>
            </w:tcMar>
            <w:vAlign w:val="center"/>
          </w:tcPr>
          <w:p>
            <w:pPr>
              <w:spacing w:line="200" w:lineRule="exact"/>
              <w:rPr>
                <w:rFonts w:hint="default" w:ascii="Times New Roman" w:hAnsi="Times New Roman" w:eastAsia="黑体" w:cs="Times New Roman"/>
                <w:sz w:val="16"/>
                <w:szCs w:val="16"/>
              </w:rPr>
            </w:pPr>
          </w:p>
        </w:tc>
        <w:tc>
          <w:tcPr>
            <w:tcW w:w="2531"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3.危及“三安全一稳定”</w:t>
            </w:r>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736" w:type="dxa"/>
            <w:vMerge w:val="continue"/>
            <w:noWrap w:val="0"/>
            <w:tcMar>
              <w:left w:w="108" w:type="dxa"/>
              <w:right w:w="108" w:type="dxa"/>
            </w:tcMar>
            <w:vAlign w:val="center"/>
          </w:tcPr>
          <w:p>
            <w:pPr>
              <w:spacing w:line="200" w:lineRule="exact"/>
              <w:rPr>
                <w:rFonts w:hint="default" w:ascii="Times New Roman" w:hAnsi="Times New Roman" w:eastAsia="黑体" w:cs="Times New Roman"/>
                <w:sz w:val="16"/>
                <w:szCs w:val="16"/>
              </w:rPr>
            </w:pPr>
          </w:p>
        </w:tc>
        <w:tc>
          <w:tcPr>
            <w:tcW w:w="2531"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4.</w:t>
            </w:r>
            <w:bookmarkStart w:id="3" w:name="_Hlk66974290"/>
            <w:r>
              <w:rPr>
                <w:rFonts w:hint="default" w:ascii="Times New Roman" w:hAnsi="Times New Roman" w:eastAsia="仿宋_GB2312" w:cs="Times New Roman"/>
                <w:kern w:val="0"/>
                <w:sz w:val="16"/>
                <w:szCs w:val="16"/>
              </w:rPr>
              <w:t>保护第三方合法权益</w:t>
            </w:r>
            <w:bookmarkEnd w:id="3"/>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736" w:type="dxa"/>
            <w:vMerge w:val="continue"/>
            <w:noWrap w:val="0"/>
            <w:tcMar>
              <w:left w:w="108" w:type="dxa"/>
              <w:right w:w="108" w:type="dxa"/>
            </w:tcMar>
            <w:vAlign w:val="center"/>
          </w:tcPr>
          <w:p>
            <w:pPr>
              <w:spacing w:line="200" w:lineRule="exact"/>
              <w:rPr>
                <w:rFonts w:hint="default" w:ascii="Times New Roman" w:hAnsi="Times New Roman" w:eastAsia="黑体" w:cs="Times New Roman"/>
                <w:sz w:val="16"/>
                <w:szCs w:val="16"/>
              </w:rPr>
            </w:pPr>
          </w:p>
        </w:tc>
        <w:tc>
          <w:tcPr>
            <w:tcW w:w="2531"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5.属于三类内部事务信息</w:t>
            </w:r>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736" w:type="dxa"/>
            <w:vMerge w:val="continue"/>
            <w:noWrap w:val="0"/>
            <w:tcMar>
              <w:left w:w="108" w:type="dxa"/>
              <w:right w:w="108" w:type="dxa"/>
            </w:tcMar>
            <w:vAlign w:val="center"/>
          </w:tcPr>
          <w:p>
            <w:pPr>
              <w:spacing w:line="200" w:lineRule="exact"/>
              <w:rPr>
                <w:rFonts w:hint="default" w:ascii="Times New Roman" w:hAnsi="Times New Roman" w:eastAsia="黑体" w:cs="Times New Roman"/>
                <w:sz w:val="16"/>
                <w:szCs w:val="16"/>
              </w:rPr>
            </w:pPr>
          </w:p>
        </w:tc>
        <w:tc>
          <w:tcPr>
            <w:tcW w:w="2531"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6.</w:t>
            </w:r>
            <w:bookmarkStart w:id="4" w:name="_Hlk66974555"/>
            <w:r>
              <w:rPr>
                <w:rFonts w:hint="default" w:ascii="Times New Roman" w:hAnsi="Times New Roman" w:eastAsia="仿宋_GB2312" w:cs="Times New Roman"/>
                <w:kern w:val="0"/>
                <w:sz w:val="16"/>
                <w:szCs w:val="16"/>
              </w:rPr>
              <w:t>属于四类过程性信息</w:t>
            </w:r>
            <w:bookmarkEnd w:id="4"/>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736" w:type="dxa"/>
            <w:vMerge w:val="continue"/>
            <w:noWrap w:val="0"/>
            <w:tcMar>
              <w:left w:w="108" w:type="dxa"/>
              <w:right w:w="108" w:type="dxa"/>
            </w:tcMar>
            <w:vAlign w:val="center"/>
          </w:tcPr>
          <w:p>
            <w:pPr>
              <w:spacing w:line="200" w:lineRule="exact"/>
              <w:rPr>
                <w:rFonts w:hint="default" w:ascii="Times New Roman" w:hAnsi="Times New Roman" w:eastAsia="黑体" w:cs="Times New Roman"/>
                <w:sz w:val="16"/>
                <w:szCs w:val="16"/>
              </w:rPr>
            </w:pPr>
          </w:p>
        </w:tc>
        <w:tc>
          <w:tcPr>
            <w:tcW w:w="2531"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7.属于行政执法案卷</w:t>
            </w:r>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736" w:type="dxa"/>
            <w:vMerge w:val="continue"/>
            <w:noWrap w:val="0"/>
            <w:tcMar>
              <w:left w:w="108" w:type="dxa"/>
              <w:right w:w="108" w:type="dxa"/>
            </w:tcMar>
            <w:vAlign w:val="center"/>
          </w:tcPr>
          <w:p>
            <w:pPr>
              <w:spacing w:line="200" w:lineRule="exact"/>
              <w:rPr>
                <w:rFonts w:hint="default" w:ascii="Times New Roman" w:hAnsi="Times New Roman" w:eastAsia="黑体" w:cs="Times New Roman"/>
                <w:sz w:val="16"/>
                <w:szCs w:val="16"/>
              </w:rPr>
            </w:pPr>
          </w:p>
        </w:tc>
        <w:tc>
          <w:tcPr>
            <w:tcW w:w="2531"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8.</w:t>
            </w:r>
            <w:bookmarkStart w:id="5" w:name="_Hlk66975211"/>
            <w:r>
              <w:rPr>
                <w:rFonts w:hint="default" w:ascii="Times New Roman" w:hAnsi="Times New Roman" w:eastAsia="仿宋_GB2312" w:cs="Times New Roman"/>
                <w:kern w:val="0"/>
                <w:sz w:val="16"/>
                <w:szCs w:val="16"/>
              </w:rPr>
              <w:t>属于行政查询事项</w:t>
            </w:r>
            <w:bookmarkEnd w:id="5"/>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736" w:type="dxa"/>
            <w:vMerge w:val="restart"/>
            <w:noWrap w:val="0"/>
            <w:tcMar>
              <w:left w:w="108" w:type="dxa"/>
              <w:right w:w="108" w:type="dxa"/>
            </w:tcMar>
            <w:vAlign w:val="center"/>
          </w:tcPr>
          <w:p>
            <w:pPr>
              <w:widowControl/>
              <w:spacing w:line="200" w:lineRule="exact"/>
              <w:ind w:left="-107" w:leftChars="-51"/>
              <w:rPr>
                <w:rFonts w:hint="default" w:ascii="Times New Roman" w:hAnsi="Times New Roman" w:eastAsia="黑体" w:cs="Times New Roman"/>
                <w:sz w:val="16"/>
                <w:szCs w:val="16"/>
              </w:rPr>
            </w:pPr>
            <w:r>
              <w:rPr>
                <w:rFonts w:hint="default" w:ascii="Times New Roman" w:hAnsi="Times New Roman" w:eastAsia="黑体" w:cs="Times New Roman"/>
                <w:kern w:val="0"/>
                <w:sz w:val="16"/>
                <w:szCs w:val="16"/>
              </w:rPr>
              <w:t>（四）无法提供</w:t>
            </w:r>
          </w:p>
        </w:tc>
        <w:tc>
          <w:tcPr>
            <w:tcW w:w="2531"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1.本机关不掌握相关政府信息</w:t>
            </w:r>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736" w:type="dxa"/>
            <w:vMerge w:val="continue"/>
            <w:noWrap w:val="0"/>
            <w:tcMar>
              <w:left w:w="108" w:type="dxa"/>
              <w:right w:w="108" w:type="dxa"/>
            </w:tcMar>
            <w:vAlign w:val="center"/>
          </w:tcPr>
          <w:p>
            <w:pPr>
              <w:spacing w:line="200" w:lineRule="exact"/>
              <w:ind w:left="-107" w:leftChars="-51"/>
              <w:rPr>
                <w:rFonts w:hint="default" w:ascii="Times New Roman" w:hAnsi="Times New Roman" w:eastAsia="黑体" w:cs="Times New Roman"/>
                <w:sz w:val="16"/>
                <w:szCs w:val="16"/>
              </w:rPr>
            </w:pPr>
          </w:p>
        </w:tc>
        <w:tc>
          <w:tcPr>
            <w:tcW w:w="2531"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2.</w:t>
            </w:r>
            <w:bookmarkStart w:id="6" w:name="_Hlk66975392"/>
            <w:r>
              <w:rPr>
                <w:rFonts w:hint="default" w:ascii="Times New Roman" w:hAnsi="Times New Roman" w:eastAsia="仿宋_GB2312" w:cs="Times New Roman"/>
                <w:kern w:val="0"/>
                <w:sz w:val="16"/>
                <w:szCs w:val="16"/>
              </w:rPr>
              <w:t>没有现成信息需要另行制作</w:t>
            </w:r>
            <w:bookmarkEnd w:id="6"/>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736" w:type="dxa"/>
            <w:vMerge w:val="continue"/>
            <w:noWrap w:val="0"/>
            <w:tcMar>
              <w:left w:w="108" w:type="dxa"/>
              <w:right w:w="108" w:type="dxa"/>
            </w:tcMar>
            <w:vAlign w:val="center"/>
          </w:tcPr>
          <w:p>
            <w:pPr>
              <w:spacing w:line="200" w:lineRule="exact"/>
              <w:ind w:left="-107" w:leftChars="-51"/>
              <w:rPr>
                <w:rFonts w:hint="default" w:ascii="Times New Roman" w:hAnsi="Times New Roman" w:eastAsia="黑体" w:cs="Times New Roman"/>
                <w:sz w:val="16"/>
                <w:szCs w:val="16"/>
              </w:rPr>
            </w:pPr>
          </w:p>
        </w:tc>
        <w:tc>
          <w:tcPr>
            <w:tcW w:w="2531"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3.</w:t>
            </w:r>
            <w:bookmarkStart w:id="7" w:name="_Hlk66975466"/>
            <w:r>
              <w:rPr>
                <w:rFonts w:hint="default" w:ascii="Times New Roman" w:hAnsi="Times New Roman" w:eastAsia="仿宋_GB2312" w:cs="Times New Roman"/>
                <w:kern w:val="0"/>
                <w:sz w:val="16"/>
                <w:szCs w:val="16"/>
              </w:rPr>
              <w:t>补正后申请内容仍不明确</w:t>
            </w:r>
            <w:bookmarkEnd w:id="7"/>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736" w:type="dxa"/>
            <w:vMerge w:val="restart"/>
            <w:noWrap w:val="0"/>
            <w:tcMar>
              <w:left w:w="108" w:type="dxa"/>
              <w:right w:w="108" w:type="dxa"/>
            </w:tcMar>
            <w:vAlign w:val="center"/>
          </w:tcPr>
          <w:p>
            <w:pPr>
              <w:widowControl/>
              <w:spacing w:line="200" w:lineRule="exact"/>
              <w:ind w:left="-107" w:leftChars="-51"/>
              <w:rPr>
                <w:rFonts w:hint="default" w:ascii="Times New Roman" w:hAnsi="Times New Roman" w:eastAsia="黑体" w:cs="Times New Roman"/>
                <w:sz w:val="16"/>
                <w:szCs w:val="16"/>
              </w:rPr>
            </w:pPr>
            <w:r>
              <w:rPr>
                <w:rFonts w:hint="default" w:ascii="Times New Roman" w:hAnsi="Times New Roman" w:eastAsia="黑体" w:cs="Times New Roman"/>
                <w:kern w:val="0"/>
                <w:sz w:val="16"/>
                <w:szCs w:val="16"/>
              </w:rPr>
              <w:t>（五）不予处理</w:t>
            </w:r>
          </w:p>
        </w:tc>
        <w:tc>
          <w:tcPr>
            <w:tcW w:w="2531"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1.</w:t>
            </w:r>
            <w:bookmarkStart w:id="8" w:name="_Hlk66975537"/>
            <w:r>
              <w:rPr>
                <w:rFonts w:hint="default" w:ascii="Times New Roman" w:hAnsi="Times New Roman" w:eastAsia="仿宋_GB2312" w:cs="Times New Roman"/>
                <w:kern w:val="0"/>
                <w:sz w:val="16"/>
                <w:szCs w:val="16"/>
              </w:rPr>
              <w:t>信访举报投诉类申请</w:t>
            </w:r>
            <w:bookmarkEnd w:id="8"/>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736" w:type="dxa"/>
            <w:vMerge w:val="continue"/>
            <w:noWrap w:val="0"/>
            <w:tcMar>
              <w:left w:w="108" w:type="dxa"/>
              <w:right w:w="108" w:type="dxa"/>
            </w:tcMar>
            <w:vAlign w:val="center"/>
          </w:tcPr>
          <w:p>
            <w:pPr>
              <w:spacing w:line="200" w:lineRule="exact"/>
              <w:rPr>
                <w:rFonts w:hint="default" w:ascii="Times New Roman" w:hAnsi="Times New Roman" w:eastAsia="黑体" w:cs="Times New Roman"/>
                <w:sz w:val="16"/>
                <w:szCs w:val="16"/>
              </w:rPr>
            </w:pPr>
          </w:p>
        </w:tc>
        <w:tc>
          <w:tcPr>
            <w:tcW w:w="2531"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2.重复申请</w:t>
            </w:r>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736" w:type="dxa"/>
            <w:vMerge w:val="continue"/>
            <w:noWrap w:val="0"/>
            <w:tcMar>
              <w:left w:w="108" w:type="dxa"/>
              <w:right w:w="108" w:type="dxa"/>
            </w:tcMar>
            <w:vAlign w:val="center"/>
          </w:tcPr>
          <w:p>
            <w:pPr>
              <w:spacing w:line="200" w:lineRule="exact"/>
              <w:rPr>
                <w:rFonts w:hint="default" w:ascii="Times New Roman" w:hAnsi="Times New Roman" w:eastAsia="黑体" w:cs="Times New Roman"/>
                <w:sz w:val="16"/>
                <w:szCs w:val="16"/>
              </w:rPr>
            </w:pPr>
          </w:p>
        </w:tc>
        <w:tc>
          <w:tcPr>
            <w:tcW w:w="2531" w:type="dxa"/>
            <w:noWrap w:val="0"/>
            <w:tcMar>
              <w:left w:w="108" w:type="dxa"/>
              <w:right w:w="108" w:type="dxa"/>
            </w:tcMar>
            <w:vAlign w:val="center"/>
          </w:tcPr>
          <w:p>
            <w:pPr>
              <w:widowControl/>
              <w:spacing w:line="200" w:lineRule="exact"/>
              <w:rPr>
                <w:rFonts w:hint="default" w:ascii="Times New Roman" w:hAnsi="Times New Roman" w:eastAsia="仿宋_GB2312" w:cs="Times New Roman"/>
                <w:sz w:val="16"/>
                <w:szCs w:val="16"/>
              </w:rPr>
            </w:pPr>
            <w:r>
              <w:rPr>
                <w:rFonts w:hint="default" w:ascii="Times New Roman" w:hAnsi="Times New Roman" w:eastAsia="仿宋_GB2312" w:cs="Times New Roman"/>
                <w:kern w:val="0"/>
                <w:sz w:val="16"/>
                <w:szCs w:val="16"/>
              </w:rPr>
              <w:t>3.要求提供公开出版物</w:t>
            </w:r>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7" w:hRule="exact"/>
          <w:jc w:val="center"/>
        </w:trPr>
        <w:tc>
          <w:tcPr>
            <w:tcW w:w="381"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736" w:type="dxa"/>
            <w:vMerge w:val="continue"/>
            <w:noWrap w:val="0"/>
            <w:tcMar>
              <w:left w:w="108" w:type="dxa"/>
              <w:right w:w="108" w:type="dxa"/>
            </w:tcMar>
            <w:vAlign w:val="center"/>
          </w:tcPr>
          <w:p>
            <w:pPr>
              <w:spacing w:line="200" w:lineRule="exact"/>
              <w:rPr>
                <w:rFonts w:hint="default" w:ascii="Times New Roman" w:hAnsi="Times New Roman" w:eastAsia="黑体" w:cs="Times New Roman"/>
                <w:sz w:val="16"/>
                <w:szCs w:val="16"/>
              </w:rPr>
            </w:pPr>
          </w:p>
        </w:tc>
        <w:tc>
          <w:tcPr>
            <w:tcW w:w="2531" w:type="dxa"/>
            <w:noWrap w:val="0"/>
            <w:tcMar>
              <w:left w:w="108" w:type="dxa"/>
              <w:right w:w="108" w:type="dxa"/>
            </w:tcMar>
            <w:vAlign w:val="center"/>
          </w:tcPr>
          <w:p>
            <w:pPr>
              <w:widowControl/>
              <w:spacing w:line="200" w:lineRule="exact"/>
              <w:rPr>
                <w:rFonts w:hint="default" w:ascii="Times New Roman" w:hAnsi="Times New Roman" w:eastAsia="仿宋_GB2312" w:cs="Times New Roman"/>
                <w:sz w:val="16"/>
                <w:szCs w:val="16"/>
              </w:rPr>
            </w:pPr>
            <w:r>
              <w:rPr>
                <w:rFonts w:hint="default" w:ascii="Times New Roman" w:hAnsi="Times New Roman" w:eastAsia="仿宋_GB2312" w:cs="Times New Roman"/>
                <w:kern w:val="0"/>
                <w:sz w:val="16"/>
                <w:szCs w:val="16"/>
              </w:rPr>
              <w:t>4.无正当理由大量反复申请</w:t>
            </w:r>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381"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736" w:type="dxa"/>
            <w:vMerge w:val="continue"/>
            <w:noWrap w:val="0"/>
            <w:tcMar>
              <w:left w:w="108" w:type="dxa"/>
              <w:right w:w="108" w:type="dxa"/>
            </w:tcMar>
            <w:vAlign w:val="center"/>
          </w:tcPr>
          <w:p>
            <w:pPr>
              <w:spacing w:line="200" w:lineRule="exact"/>
              <w:rPr>
                <w:rFonts w:hint="default" w:ascii="Times New Roman" w:hAnsi="Times New Roman" w:eastAsia="黑体" w:cs="Times New Roman"/>
                <w:sz w:val="16"/>
                <w:szCs w:val="16"/>
              </w:rPr>
            </w:pPr>
          </w:p>
        </w:tc>
        <w:tc>
          <w:tcPr>
            <w:tcW w:w="2531" w:type="dxa"/>
            <w:noWrap w:val="0"/>
            <w:tcMar>
              <w:left w:w="108" w:type="dxa"/>
              <w:right w:w="108" w:type="dxa"/>
            </w:tcMar>
            <w:vAlign w:val="center"/>
          </w:tcPr>
          <w:p>
            <w:pPr>
              <w:widowControl/>
              <w:spacing w:line="3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5.要求行政机关确认或重新</w:t>
            </w:r>
          </w:p>
          <w:p>
            <w:pPr>
              <w:widowControl/>
              <w:spacing w:line="300" w:lineRule="exact"/>
              <w:ind w:firstLine="160" w:firstLineChars="100"/>
              <w:rPr>
                <w:rFonts w:hint="default" w:ascii="Times New Roman" w:hAnsi="Times New Roman" w:eastAsia="仿宋_GB2312" w:cs="Times New Roman"/>
                <w:sz w:val="16"/>
                <w:szCs w:val="16"/>
              </w:rPr>
            </w:pPr>
            <w:r>
              <w:rPr>
                <w:rFonts w:hint="default" w:ascii="Times New Roman" w:hAnsi="Times New Roman" w:eastAsia="仿宋_GB2312" w:cs="Times New Roman"/>
                <w:kern w:val="0"/>
                <w:sz w:val="16"/>
                <w:szCs w:val="16"/>
              </w:rPr>
              <w:t>出具已获取信息</w:t>
            </w:r>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736" w:type="dxa"/>
            <w:vMerge w:val="restart"/>
            <w:noWrap w:val="0"/>
            <w:tcMar>
              <w:left w:w="108" w:type="dxa"/>
              <w:right w:w="108" w:type="dxa"/>
            </w:tcMar>
            <w:vAlign w:val="center"/>
          </w:tcPr>
          <w:p>
            <w:pPr>
              <w:widowControl/>
              <w:spacing w:line="300" w:lineRule="exact"/>
              <w:rPr>
                <w:rFonts w:hint="default" w:ascii="Times New Roman" w:hAnsi="Times New Roman" w:eastAsia="黑体" w:cs="Times New Roman"/>
                <w:kern w:val="0"/>
                <w:sz w:val="16"/>
                <w:szCs w:val="16"/>
              </w:rPr>
            </w:pPr>
            <w:r>
              <w:rPr>
                <w:rFonts w:hint="default" w:ascii="Times New Roman" w:hAnsi="Times New Roman" w:eastAsia="黑体" w:cs="Times New Roman"/>
                <w:kern w:val="0"/>
                <w:sz w:val="16"/>
                <w:szCs w:val="16"/>
              </w:rPr>
              <w:t>（六）其他处理</w:t>
            </w:r>
          </w:p>
        </w:tc>
        <w:tc>
          <w:tcPr>
            <w:tcW w:w="2531" w:type="dxa"/>
            <w:noWrap w:val="0"/>
            <w:vAlign w:val="center"/>
          </w:tcPr>
          <w:p>
            <w:pPr>
              <w:widowControl/>
              <w:spacing w:line="300" w:lineRule="exact"/>
              <w:rPr>
                <w:rFonts w:hint="default" w:ascii="Times New Roman" w:hAnsi="Times New Roman" w:eastAsia="仿宋_GB2312" w:cs="Times New Roman"/>
                <w:sz w:val="16"/>
                <w:szCs w:val="18"/>
                <w:lang w:eastAsia="zh-CN"/>
              </w:rPr>
            </w:pPr>
            <w:r>
              <w:rPr>
                <w:rFonts w:hint="default" w:ascii="Times New Roman" w:hAnsi="Times New Roman" w:eastAsia="仿宋_GB2312" w:cs="Times New Roman"/>
                <w:sz w:val="16"/>
                <w:szCs w:val="18"/>
              </w:rPr>
              <w:t>1.申请人无正当理由逾期</w:t>
            </w:r>
            <w:r>
              <w:rPr>
                <w:rFonts w:hint="default" w:ascii="Times New Roman" w:hAnsi="Times New Roman" w:eastAsia="仿宋_GB2312" w:cs="Times New Roman"/>
                <w:sz w:val="16"/>
                <w:szCs w:val="18"/>
                <w:lang w:eastAsia="zh-CN"/>
              </w:rPr>
              <w:t>……</w:t>
            </w:r>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381"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736" w:type="dxa"/>
            <w:vMerge w:val="continue"/>
            <w:noWrap w:val="0"/>
            <w:tcMar>
              <w:left w:w="108" w:type="dxa"/>
              <w:right w:w="108" w:type="dxa"/>
            </w:tcMar>
            <w:vAlign w:val="center"/>
          </w:tcPr>
          <w:p>
            <w:pPr>
              <w:widowControl/>
              <w:spacing w:line="300" w:lineRule="exact"/>
              <w:rPr>
                <w:rFonts w:hint="default" w:ascii="Times New Roman" w:hAnsi="Times New Roman" w:eastAsia="黑体" w:cs="Times New Roman"/>
                <w:kern w:val="0"/>
                <w:sz w:val="16"/>
                <w:szCs w:val="16"/>
              </w:rPr>
            </w:pPr>
          </w:p>
        </w:tc>
        <w:tc>
          <w:tcPr>
            <w:tcW w:w="2531" w:type="dxa"/>
            <w:noWrap w:val="0"/>
            <w:vAlign w:val="center"/>
          </w:tcPr>
          <w:p>
            <w:pPr>
              <w:widowControl/>
              <w:spacing w:line="300" w:lineRule="exact"/>
              <w:rPr>
                <w:rFonts w:hint="default" w:ascii="Times New Roman" w:hAnsi="Times New Roman" w:eastAsia="仿宋_GB2312" w:cs="Times New Roman"/>
                <w:kern w:val="0"/>
                <w:sz w:val="16"/>
                <w:szCs w:val="16"/>
                <w:lang w:eastAsia="zh-CN"/>
              </w:rPr>
            </w:pPr>
            <w:r>
              <w:rPr>
                <w:rFonts w:hint="default" w:ascii="Times New Roman" w:hAnsi="Times New Roman" w:eastAsia="仿宋_GB2312" w:cs="Times New Roman"/>
                <w:sz w:val="16"/>
                <w:szCs w:val="18"/>
              </w:rPr>
              <w:t>2.申请人逾期未按收费通知</w:t>
            </w:r>
            <w:r>
              <w:rPr>
                <w:rFonts w:hint="default" w:ascii="Times New Roman" w:hAnsi="Times New Roman" w:eastAsia="仿宋_GB2312" w:cs="Times New Roman"/>
                <w:sz w:val="16"/>
                <w:szCs w:val="18"/>
                <w:lang w:eastAsia="zh-CN"/>
              </w:rPr>
              <w:t>……</w:t>
            </w:r>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736" w:type="dxa"/>
            <w:vMerge w:val="continue"/>
            <w:noWrap w:val="0"/>
            <w:tcMar>
              <w:left w:w="108" w:type="dxa"/>
              <w:right w:w="108" w:type="dxa"/>
            </w:tcMar>
            <w:vAlign w:val="center"/>
          </w:tcPr>
          <w:p>
            <w:pPr>
              <w:widowControl/>
              <w:spacing w:line="300" w:lineRule="exact"/>
              <w:rPr>
                <w:rFonts w:hint="default" w:ascii="Times New Roman" w:hAnsi="Times New Roman" w:eastAsia="黑体" w:cs="Times New Roman"/>
                <w:kern w:val="0"/>
                <w:sz w:val="16"/>
                <w:szCs w:val="16"/>
              </w:rPr>
            </w:pPr>
          </w:p>
        </w:tc>
        <w:tc>
          <w:tcPr>
            <w:tcW w:w="2531" w:type="dxa"/>
            <w:noWrap w:val="0"/>
            <w:vAlign w:val="center"/>
          </w:tcPr>
          <w:p>
            <w:pPr>
              <w:widowControl/>
              <w:spacing w:line="300" w:lineRule="exact"/>
              <w:rPr>
                <w:rFonts w:hint="default" w:ascii="Times New Roman" w:hAnsi="Times New Roman" w:eastAsia="仿宋_GB2312" w:cs="Times New Roman"/>
                <w:kern w:val="0"/>
                <w:sz w:val="16"/>
                <w:szCs w:val="16"/>
              </w:rPr>
            </w:pPr>
            <w:r>
              <w:rPr>
                <w:rFonts w:hint="default" w:ascii="Times New Roman" w:hAnsi="Times New Roman" w:eastAsia="仿宋_GB2312" w:cs="Times New Roman"/>
                <w:sz w:val="16"/>
                <w:szCs w:val="18"/>
              </w:rPr>
              <w:t>3.其他</w:t>
            </w:r>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3267" w:type="dxa"/>
            <w:gridSpan w:val="2"/>
            <w:noWrap w:val="0"/>
            <w:tcMar>
              <w:left w:w="108" w:type="dxa"/>
              <w:right w:w="108" w:type="dxa"/>
            </w:tcMar>
            <w:vAlign w:val="center"/>
          </w:tcPr>
          <w:p>
            <w:pPr>
              <w:widowControl/>
              <w:spacing w:line="300" w:lineRule="exact"/>
              <w:rPr>
                <w:rFonts w:hint="default" w:ascii="Times New Roman" w:hAnsi="Times New Roman" w:eastAsia="黑体" w:cs="Times New Roman"/>
                <w:kern w:val="0"/>
                <w:sz w:val="16"/>
                <w:szCs w:val="16"/>
              </w:rPr>
            </w:pPr>
            <w:r>
              <w:rPr>
                <w:rFonts w:hint="default" w:ascii="Times New Roman" w:hAnsi="Times New Roman" w:eastAsia="黑体" w:cs="Times New Roman"/>
                <w:kern w:val="0"/>
                <w:sz w:val="16"/>
                <w:szCs w:val="16"/>
              </w:rPr>
              <w:t>（七）总计</w:t>
            </w:r>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1</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648" w:type="dxa"/>
            <w:gridSpan w:val="3"/>
            <w:noWrap w:val="0"/>
            <w:tcMar>
              <w:left w:w="108" w:type="dxa"/>
              <w:right w:w="108" w:type="dxa"/>
            </w:tcMar>
            <w:vAlign w:val="center"/>
          </w:tcPr>
          <w:p>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58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FF0000"/>
                <w:szCs w:val="21"/>
              </w:rPr>
            </w:pPr>
            <w:r>
              <w:rPr>
                <w:rFonts w:hint="default" w:ascii="Times New Roman" w:hAnsi="Times New Roman" w:eastAsia="仿宋_GB2312" w:cs="Times New Roman"/>
                <w:szCs w:val="21"/>
                <w:lang w:val="en-US" w:eastAsia="zh-CN"/>
              </w:rPr>
              <w:t>0</w:t>
            </w:r>
          </w:p>
        </w:tc>
        <w:tc>
          <w:tcPr>
            <w:tcW w:w="48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FF0000"/>
                <w:szCs w:val="21"/>
              </w:rPr>
            </w:pPr>
            <w:r>
              <w:rPr>
                <w:rFonts w:hint="default" w:ascii="Times New Roman" w:hAnsi="Times New Roman" w:eastAsia="仿宋_GB2312" w:cs="Times New Roman"/>
                <w:szCs w:val="21"/>
                <w:lang w:val="en-US" w:eastAsia="zh-CN"/>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4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FF0000"/>
                <w:szCs w:val="21"/>
                <w:lang w:val="en-US"/>
              </w:rPr>
            </w:pPr>
            <w:r>
              <w:rPr>
                <w:rFonts w:hint="default" w:ascii="Times New Roman" w:hAnsi="Times New Roman" w:eastAsia="仿宋_GB2312" w:cs="Times New Roman"/>
                <w:szCs w:val="21"/>
                <w:lang w:val="en-US" w:eastAsia="zh-CN"/>
              </w:rPr>
              <w:t>0</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t>政府信息公开行政复议、行政诉讼情况</w:t>
      </w:r>
    </w:p>
    <w:tbl>
      <w:tblPr>
        <w:tblStyle w:val="3"/>
        <w:tblpPr w:leftFromText="180" w:rightFromText="180" w:vertAnchor="text" w:horzAnchor="page" w:tblpXSpec="center" w:tblpY="135"/>
        <w:tblOverlap w:val="never"/>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49" w:leftChars="-71" w:right="-170" w:rightChars="-8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18" w:leftChars="-56" w:right="-118" w:rightChars="-5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pPr>
              <w:widowControl/>
              <w:spacing w:line="320" w:lineRule="exact"/>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bookmarkStart w:id="9" w:name="_Hlk67039688"/>
            <w:r>
              <w:rPr>
                <w:rFonts w:hint="default" w:ascii="Times New Roman" w:hAnsi="Times New Roman" w:eastAsia="黑体" w:cs="Times New Roman"/>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26" w:leftChars="-60" w:right="-136" w:rightChars="-65"/>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64" w:leftChars="-78" w:right="-153" w:rightChars="-73"/>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36" w:leftChars="-65" w:right="-124" w:rightChars="-59"/>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73" w:leftChars="-83" w:right="-134" w:rightChars="-64"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t>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t>202</w:t>
      </w:r>
      <w:r>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t>3</w:t>
      </w:r>
      <w:r>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t>年我镇政务公开仍存在一定不足，主要表现在：主动公开信息较少，政务公开内容有待进一步充实，时效性还可进一步提高等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t>改进情况：一是加强领导，加大政务信息更新力度，落实工作目标，做到信息生成与发布保持同步；二是拓展主动公开信息内容的广度和深度，进一步推进重点领域信息公开。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t>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t>1、收取信息处理费情况。按照《国务院办公厅关于印发&lt;政府信息公开信息处理费管理办法&gt;的通知》（国办函〔2020〕109号）</w:t>
      </w:r>
      <w:r>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t>和《山东省人民政府办公厅关于做好政府信息公开信息处理费管理工作有关事项的通知》（鲁政办字〔2020〕179号）收取信息处理费。2023年本机关依申请公开政府信息未收取任何费用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t>2、落实上级年度政务公开工作要点情况。双杨镇严格按照《2023年淄川区政务公开工作方案》要求，完善组织领导，提升政务公开工作效率与能力，推动政务公开工作提质增效。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t>3、人大代表</w:t>
      </w:r>
      <w:r>
        <w:rPr>
          <w:rFonts w:hint="eastAsia" w:ascii="Times New Roman" w:hAnsi="Times New Roman" w:eastAsia="仿宋_GB2312" w:cs="Times New Roman"/>
          <w:b w:val="0"/>
          <w:bCs/>
          <w:i w:val="0"/>
          <w:caps w:val="0"/>
          <w:color w:val="333333"/>
          <w:spacing w:val="0"/>
          <w:kern w:val="0"/>
          <w:sz w:val="32"/>
          <w:szCs w:val="32"/>
          <w:shd w:val="clear" w:color="auto" w:fill="FFFFFF"/>
          <w:lang w:val="en-US" w:eastAsia="zh-CN" w:bidi="ar"/>
        </w:rPr>
        <w:t>建议</w:t>
      </w:r>
      <w:r>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t>和政协</w:t>
      </w:r>
      <w:r>
        <w:rPr>
          <w:rFonts w:hint="eastAsia" w:ascii="Times New Roman" w:hAnsi="Times New Roman" w:eastAsia="仿宋_GB2312" w:cs="Times New Roman"/>
          <w:b w:val="0"/>
          <w:bCs/>
          <w:i w:val="0"/>
          <w:caps w:val="0"/>
          <w:color w:val="333333"/>
          <w:spacing w:val="0"/>
          <w:kern w:val="0"/>
          <w:sz w:val="32"/>
          <w:szCs w:val="32"/>
          <w:shd w:val="clear" w:color="auto" w:fill="FFFFFF"/>
          <w:lang w:val="en-US" w:eastAsia="zh-CN" w:bidi="ar"/>
        </w:rPr>
        <w:t>委员</w:t>
      </w:r>
      <w:r>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t>提案办理结果公开情况。2023年双杨镇一共办理建议提案4件，区十九届人大二次会议第10号“关于成立专业化的管理队伍负责孝妇河观光带日常维护管理的议案”，区政协十三届二次会议第20230003号“关于建设淄川汽配城（市场）的建议”，区政协十三届二次会议第20230005号“关于加快建材城道路提档升级的</w:t>
      </w:r>
      <w:bookmarkStart w:id="10" w:name="_GoBack"/>
      <w:bookmarkEnd w:id="10"/>
      <w:r>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t>建议”，区政协十三届二次会议第20230022号“关于加强我区孝妇河生态湿地观光带专业化管理部门有效对接，保障高品质生态文明长久服务社会的建议”，人大代表建议和政协委员提案答复文件按法定程序面复代表和委员，面复率100%，办复率100%，代表委员满意率达100%</w:t>
      </w:r>
      <w:r>
        <w:rPr>
          <w:rFonts w:hint="eastAsia" w:ascii="Times New Roman" w:hAnsi="Times New Roman" w:eastAsia="仿宋_GB2312" w:cs="Times New Roman"/>
          <w:b w:val="0"/>
          <w:bCs/>
          <w:i w:val="0"/>
          <w:caps w:val="0"/>
          <w:color w:val="333333"/>
          <w:spacing w:val="0"/>
          <w:kern w:val="0"/>
          <w:sz w:val="32"/>
          <w:szCs w:val="32"/>
          <w:shd w:val="clear" w:color="auto" w:fill="FFFFFF"/>
          <w:lang w:val="en-US" w:eastAsia="zh-CN" w:bidi="ar"/>
        </w:rPr>
        <w:t>，并依规完成建议提案内容、答复内容公开。</w:t>
      </w:r>
      <w:r>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t>未有上级建议提案办理任务。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t>4、政务公开工作创新情况。探索移动端信息公开精准服务模式。为创新政务公开和政务服务手段，全面推进“政务‘码’上知，服务‘码’上办”夯实基层政务公开工作，双杨镇政府推行“码上办”平台。“码上办”开设专为群众反映问题和留言设置的功能，是借助“互联网+政务服务”搭建的一条听取群众意见、解决民生问题的快速通道。“码上办”能及时接收和解决群众关注、反映的问题，有效提升政府部门服务群众的办事效率。该平台上线以来，已累计扫码点击1830次、留言765条，上传各类数据16082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t>5、政府信息公开工作年度报告数据统计需要说明的事项。无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t>6、本行政机关认为需要报告的其他事项。无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b w:val="0"/>
          <w:bCs/>
          <w:i w:val="0"/>
          <w:caps w:val="0"/>
          <w:color w:val="333333"/>
          <w:spacing w:val="0"/>
          <w:kern w:val="0"/>
          <w:sz w:val="32"/>
          <w:szCs w:val="32"/>
          <w:shd w:val="clear" w:color="auto" w:fill="FFFFFF"/>
          <w:lang w:val="en-US" w:eastAsia="zh-CN" w:bidi="ar"/>
        </w:rPr>
        <w:t>7、其他有关文件专门要求通过政府信息公开工作年度报告予以报告的事项。无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B2B9F"/>
    <w:multiLevelType w:val="singleLevel"/>
    <w:tmpl w:val="958B2B9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YTM3NmI4MWRkYmQwMWNmYzJkNTc4NmU1ZWM3MTEifQ=="/>
  </w:docVars>
  <w:rsids>
    <w:rsidRoot w:val="00000000"/>
    <w:rsid w:val="02177B2B"/>
    <w:rsid w:val="02186D27"/>
    <w:rsid w:val="04FD0A58"/>
    <w:rsid w:val="1A027563"/>
    <w:rsid w:val="1EDC20D9"/>
    <w:rsid w:val="22AE7F72"/>
    <w:rsid w:val="28C45CAB"/>
    <w:rsid w:val="39233695"/>
    <w:rsid w:val="3CF62F90"/>
    <w:rsid w:val="3F1765BB"/>
    <w:rsid w:val="41A945C9"/>
    <w:rsid w:val="485C7890"/>
    <w:rsid w:val="4A0A615D"/>
    <w:rsid w:val="53E549DA"/>
    <w:rsid w:val="5DB31446"/>
    <w:rsid w:val="5DD7488D"/>
    <w:rsid w:val="60AF1C2E"/>
    <w:rsid w:val="678A72A1"/>
    <w:rsid w:val="72574549"/>
    <w:rsid w:val="76653AF9"/>
    <w:rsid w:val="7BE11DC2"/>
    <w:rsid w:val="7C3E3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2024-01-10T06:40:00Z</dcterms:created>
  <dc:creator>Administrator</dc:creator>
  <cp:lastModifiedBy>张张</cp:lastModifiedBy>
  <cp:lastPrinted>2024-01-11T06:39:00Z</cp:lastPrinted>
  <dcterms:modified xsi:type="dcterms:W3CDTF">2024-01-24T07:51:18Z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62078DA53F04454C9B1DBBB81B6C5A4D</vt:lpwstr>
  </property>
</Properties>
</file>