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after="0"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太河镇</w:t>
      </w:r>
      <w:r>
        <w:rPr>
          <w:rFonts w:hint="eastAsia" w:ascii="方正小标宋简体" w:hAnsi="方正小标宋简体" w:eastAsia="方正小标宋简体" w:cs="方正小标宋简体"/>
          <w:color w:val="000000"/>
          <w:sz w:val="36"/>
          <w:szCs w:val="36"/>
        </w:rPr>
        <w:t xml:space="preserve">2018 </w:t>
      </w:r>
      <w:r>
        <w:rPr>
          <w:rFonts w:hint="eastAsia" w:ascii="方正小标宋简体" w:hAnsi="方正小标宋简体" w:eastAsia="方正小标宋简体" w:cs="方正小标宋简体"/>
          <w:color w:val="000000"/>
          <w:sz w:val="36"/>
          <w:szCs w:val="36"/>
        </w:rPr>
        <w:t>年度政府信息公开工作情况统计表</w:t>
      </w:r>
      <w:bookmarkStart w:id="0" w:name="_GoBack"/>
      <w:bookmarkEnd w:id="0"/>
    </w:p>
    <w:p>
      <w:pPr>
        <w:pStyle w:val="8"/>
      </w:pPr>
    </w:p>
    <w:tbl>
      <w:tblPr>
        <w:tblStyle w:val="5"/>
        <w:tblW w:w="8897" w:type="dxa"/>
        <w:jc w:val="center"/>
        <w:tblInd w:w="0" w:type="dxa"/>
        <w:tblLayout w:type="fixed"/>
        <w:tblCellMar>
          <w:top w:w="0" w:type="dxa"/>
          <w:left w:w="108" w:type="dxa"/>
          <w:bottom w:w="0" w:type="dxa"/>
          <w:right w:w="108" w:type="dxa"/>
        </w:tblCellMar>
      </w:tblPr>
      <w:tblGrid>
        <w:gridCol w:w="6972"/>
        <w:gridCol w:w="851"/>
        <w:gridCol w:w="1074"/>
      </w:tblGrid>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b/>
                <w:sz w:val="21"/>
                <w:szCs w:val="21"/>
              </w:rPr>
            </w:pPr>
            <w:r>
              <w:rPr>
                <w:rFonts w:hint="eastAsia" w:ascii="宋体" w:hAnsi="宋体" w:eastAsia="宋体" w:cs="宋体"/>
                <w:b/>
                <w:sz w:val="21"/>
                <w:szCs w:val="21"/>
              </w:rPr>
              <w:t>统计指标</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b/>
                <w:sz w:val="21"/>
                <w:szCs w:val="21"/>
              </w:rPr>
            </w:pPr>
            <w:r>
              <w:rPr>
                <w:rFonts w:hint="eastAsia" w:ascii="宋体" w:hAnsi="宋体" w:eastAsia="宋体" w:cs="宋体"/>
                <w:b/>
                <w:sz w:val="21"/>
                <w:szCs w:val="21"/>
              </w:rPr>
              <w:t>单位</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b/>
                <w:sz w:val="21"/>
                <w:szCs w:val="21"/>
              </w:rPr>
            </w:pPr>
            <w:r>
              <w:rPr>
                <w:rFonts w:hint="eastAsia" w:ascii="宋体" w:hAnsi="宋体" w:eastAsia="宋体" w:cs="宋体"/>
                <w:b/>
                <w:sz w:val="21"/>
                <w:szCs w:val="21"/>
              </w:rPr>
              <w:t>统计数</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rPr>
                <w:rFonts w:ascii="宋体" w:hAnsi="宋体" w:eastAsia="宋体" w:cs="宋体"/>
                <w:sz w:val="21"/>
                <w:szCs w:val="21"/>
              </w:rPr>
            </w:pPr>
            <w:r>
              <w:rPr>
                <w:rFonts w:hint="eastAsia" w:ascii="宋体" w:hAnsi="宋体" w:eastAsia="宋体" w:cs="宋体"/>
                <w:sz w:val="21"/>
                <w:szCs w:val="21"/>
              </w:rPr>
              <w:t>一、主动公开情况</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（一）主动公开政府信息数（不同渠道和方式公开相同信息计</w:t>
            </w:r>
            <w:r>
              <w:rPr>
                <w:rFonts w:ascii="宋体" w:hAnsi="宋体" w:eastAsia="宋体" w:cs="宋体"/>
                <w:sz w:val="21"/>
                <w:szCs w:val="21"/>
              </w:rPr>
              <w:t>1</w:t>
            </w:r>
            <w:r>
              <w:rPr>
                <w:rFonts w:hint="eastAsia" w:ascii="宋体" w:hAnsi="宋体" w:eastAsia="宋体" w:cs="宋体"/>
                <w:sz w:val="21"/>
                <w:szCs w:val="21"/>
              </w:rPr>
              <w:t>条）</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default"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46</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hint="eastAsia" w:ascii="宋体" w:hAnsi="宋体" w:eastAsia="宋体" w:cs="宋体"/>
                <w:sz w:val="21"/>
                <w:szCs w:val="21"/>
              </w:rPr>
              <w:t>其中：主动公开规范性文件数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470" w:firstLineChars="700"/>
              <w:rPr>
                <w:rFonts w:ascii="宋体" w:hAnsi="宋体" w:eastAsia="宋体" w:cs="宋体"/>
                <w:sz w:val="21"/>
                <w:szCs w:val="21"/>
              </w:rPr>
            </w:pPr>
            <w:r>
              <w:rPr>
                <w:rFonts w:hint="eastAsia" w:ascii="宋体" w:hAnsi="宋体" w:eastAsia="宋体" w:cs="宋体"/>
                <w:sz w:val="21"/>
                <w:szCs w:val="21"/>
              </w:rPr>
              <w:t>制发规范性文件总数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（二）通过不同渠道和方式公开政府信息的情况</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770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政府公报公开政府信息数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政府网站公开政府信息数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6</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政务微博公开政府信息数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44</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政务微信公开政府信息数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720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其他方式公开政府信息数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rPr>
                <w:rFonts w:ascii="宋体" w:hAnsi="宋体" w:eastAsia="宋体" w:cs="宋体"/>
                <w:sz w:val="21"/>
                <w:szCs w:val="21"/>
              </w:rPr>
            </w:pPr>
            <w:r>
              <w:rPr>
                <w:rFonts w:hint="eastAsia" w:ascii="宋体" w:hAnsi="宋体" w:eastAsia="宋体" w:cs="宋体"/>
                <w:sz w:val="21"/>
                <w:szCs w:val="21"/>
              </w:rPr>
              <w:t>二、回应解读情况（不同方式回应同一热点或舆情计</w:t>
            </w:r>
            <w:r>
              <w:rPr>
                <w:rFonts w:ascii="宋体" w:hAnsi="宋体" w:eastAsia="宋体" w:cs="宋体"/>
                <w:sz w:val="21"/>
                <w:szCs w:val="21"/>
              </w:rPr>
              <w:t xml:space="preserve">1 </w:t>
            </w:r>
            <w:r>
              <w:rPr>
                <w:rFonts w:hint="eastAsia" w:ascii="宋体" w:hAnsi="宋体" w:eastAsia="宋体" w:cs="宋体"/>
                <w:sz w:val="21"/>
                <w:szCs w:val="21"/>
              </w:rPr>
              <w:t>次）</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（一）回应公众关注热点或重大舆情数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1</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（二）通过不同渠道和方式回应解读的情况</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参加或举办新闻发布会总次数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260" w:firstLineChars="600"/>
              <w:rPr>
                <w:rFonts w:ascii="宋体" w:hAnsi="宋体" w:eastAsia="宋体" w:cs="宋体"/>
                <w:sz w:val="21"/>
                <w:szCs w:val="21"/>
              </w:rPr>
            </w:pPr>
            <w:r>
              <w:rPr>
                <w:rFonts w:hint="eastAsia" w:ascii="宋体" w:hAnsi="宋体" w:eastAsia="宋体" w:cs="宋体"/>
                <w:sz w:val="21"/>
                <w:szCs w:val="21"/>
              </w:rPr>
              <w:t>其中：主要负责同志参加新闻发布会次数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政府网站在线访谈次数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260" w:firstLineChars="600"/>
              <w:rPr>
                <w:rFonts w:ascii="宋体" w:hAnsi="宋体" w:eastAsia="宋体" w:cs="宋体"/>
                <w:sz w:val="21"/>
                <w:szCs w:val="21"/>
              </w:rPr>
            </w:pPr>
            <w:r>
              <w:rPr>
                <w:rFonts w:hint="eastAsia" w:ascii="宋体" w:hAnsi="宋体" w:eastAsia="宋体" w:cs="宋体"/>
                <w:sz w:val="21"/>
                <w:szCs w:val="21"/>
              </w:rPr>
              <w:t>其中：主要负责同志参加政府网站在线访谈次数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政策解读稿件发布数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篇</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微博微信回应事件数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其他方式回应事件数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rPr>
                <w:rFonts w:ascii="宋体" w:hAnsi="宋体" w:eastAsia="宋体" w:cs="宋体"/>
                <w:sz w:val="21"/>
                <w:szCs w:val="21"/>
              </w:rPr>
            </w:pPr>
            <w:r>
              <w:rPr>
                <w:rFonts w:hint="eastAsia" w:ascii="宋体" w:hAnsi="宋体" w:eastAsia="宋体" w:cs="宋体"/>
                <w:sz w:val="21"/>
                <w:szCs w:val="21"/>
              </w:rPr>
              <w:t>三、依申请公开情况</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（一）收到申请数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当面申请数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传真申请数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4"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网络申请数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4" w:space="0"/>
              <w:left w:val="single" w:color="000000" w:sz="4" w:space="0"/>
              <w:bottom w:val="single" w:color="000000" w:sz="4"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信函申请数</w:t>
            </w:r>
          </w:p>
        </w:tc>
        <w:tc>
          <w:tcPr>
            <w:tcW w:w="851" w:type="dxa"/>
            <w:tcBorders>
              <w:top w:val="single" w:color="000000" w:sz="6" w:space="0"/>
              <w:left w:val="single" w:color="000000" w:sz="6" w:space="0"/>
              <w:bottom w:val="single" w:color="000000" w:sz="4"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4"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4" w:space="0"/>
              <w:left w:val="single" w:color="000000" w:sz="4"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其他形式</w:t>
            </w:r>
          </w:p>
        </w:tc>
        <w:tc>
          <w:tcPr>
            <w:tcW w:w="851" w:type="dxa"/>
            <w:tcBorders>
              <w:top w:val="single" w:color="000000" w:sz="4"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4"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（二）申请办结数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按时办结数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延期办结数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（三）申请答复数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属于已主动公开范围数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同意公开答复数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同意部分公开答复数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4.</w:t>
            </w:r>
            <w:r>
              <w:rPr>
                <w:rFonts w:hint="eastAsia" w:ascii="宋体" w:hAnsi="宋体" w:eastAsia="宋体" w:cs="宋体"/>
                <w:sz w:val="21"/>
                <w:szCs w:val="21"/>
              </w:rPr>
              <w:t>不同意公开答复数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155" w:firstLineChars="550"/>
              <w:rPr>
                <w:rFonts w:ascii="宋体" w:hAnsi="宋体" w:eastAsia="宋体" w:cs="宋体"/>
                <w:sz w:val="21"/>
                <w:szCs w:val="21"/>
              </w:rPr>
            </w:pPr>
            <w:r>
              <w:rPr>
                <w:rFonts w:hint="eastAsia" w:ascii="宋体" w:hAnsi="宋体" w:eastAsia="宋体" w:cs="宋体"/>
                <w:sz w:val="21"/>
                <w:szCs w:val="21"/>
              </w:rPr>
              <w:t>其中：涉及国家秘密</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785" w:firstLineChars="850"/>
              <w:rPr>
                <w:rFonts w:ascii="宋体" w:hAnsi="宋体" w:eastAsia="宋体" w:cs="宋体"/>
                <w:sz w:val="21"/>
                <w:szCs w:val="21"/>
              </w:rPr>
            </w:pPr>
            <w:r>
              <w:rPr>
                <w:rFonts w:hint="eastAsia" w:ascii="宋体" w:hAnsi="宋体" w:eastAsia="宋体" w:cs="宋体"/>
                <w:sz w:val="21"/>
                <w:szCs w:val="21"/>
              </w:rPr>
              <w:t>涉及商业秘密</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785" w:firstLineChars="850"/>
              <w:rPr>
                <w:rFonts w:ascii="宋体" w:hAnsi="宋体" w:eastAsia="宋体" w:cs="宋体"/>
                <w:sz w:val="21"/>
                <w:szCs w:val="21"/>
              </w:rPr>
            </w:pPr>
            <w:r>
              <w:rPr>
                <w:rFonts w:hint="eastAsia" w:ascii="宋体" w:hAnsi="宋体" w:eastAsia="宋体" w:cs="宋体"/>
                <w:sz w:val="21"/>
                <w:szCs w:val="21"/>
              </w:rPr>
              <w:t>涉及个人隐私</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785" w:firstLineChars="850"/>
              <w:rPr>
                <w:rFonts w:ascii="宋体" w:hAnsi="宋体" w:eastAsia="宋体" w:cs="宋体"/>
                <w:sz w:val="21"/>
                <w:szCs w:val="21"/>
              </w:rPr>
            </w:pPr>
            <w:r>
              <w:rPr>
                <w:rFonts w:hint="eastAsia" w:ascii="宋体" w:hAnsi="宋体" w:eastAsia="宋体" w:cs="宋体"/>
                <w:sz w:val="21"/>
                <w:szCs w:val="21"/>
              </w:rPr>
              <w:t>危及国家安全、公共安全、经济安全和社会稳定</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785" w:firstLineChars="850"/>
              <w:rPr>
                <w:rFonts w:ascii="宋体" w:hAnsi="宋体" w:eastAsia="宋体" w:cs="宋体"/>
                <w:sz w:val="21"/>
                <w:szCs w:val="21"/>
              </w:rPr>
            </w:pPr>
            <w:r>
              <w:rPr>
                <w:rFonts w:hint="eastAsia" w:ascii="宋体" w:hAnsi="宋体" w:eastAsia="宋体" w:cs="宋体"/>
                <w:sz w:val="21"/>
                <w:szCs w:val="21"/>
              </w:rPr>
              <w:t>不是《条例》所指政府信息</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1785" w:firstLineChars="850"/>
              <w:rPr>
                <w:rFonts w:ascii="宋体" w:hAnsi="宋体" w:eastAsia="宋体" w:cs="宋体"/>
                <w:sz w:val="21"/>
                <w:szCs w:val="21"/>
              </w:rPr>
            </w:pPr>
            <w:r>
              <w:rPr>
                <w:rFonts w:hint="eastAsia" w:ascii="宋体" w:hAnsi="宋体" w:eastAsia="宋体" w:cs="宋体"/>
                <w:sz w:val="21"/>
                <w:szCs w:val="21"/>
              </w:rPr>
              <w:t>法律法规规定的其他情形</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5.</w:t>
            </w:r>
            <w:r>
              <w:rPr>
                <w:rFonts w:hint="eastAsia" w:ascii="宋体" w:hAnsi="宋体" w:eastAsia="宋体" w:cs="宋体"/>
                <w:sz w:val="21"/>
                <w:szCs w:val="21"/>
              </w:rPr>
              <w:t>不属于本行政机关公开数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6.</w:t>
            </w:r>
            <w:r>
              <w:rPr>
                <w:rFonts w:hint="eastAsia" w:ascii="宋体" w:hAnsi="宋体" w:eastAsia="宋体" w:cs="宋体"/>
                <w:sz w:val="21"/>
                <w:szCs w:val="21"/>
              </w:rPr>
              <w:t>申请信息不存在数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7.</w:t>
            </w:r>
            <w:r>
              <w:rPr>
                <w:rFonts w:hint="eastAsia" w:ascii="宋体" w:hAnsi="宋体" w:eastAsia="宋体" w:cs="宋体"/>
                <w:sz w:val="21"/>
                <w:szCs w:val="21"/>
              </w:rPr>
              <w:t>告知作出更改补充数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840" w:firstLineChars="400"/>
              <w:rPr>
                <w:rFonts w:ascii="宋体" w:hAnsi="宋体" w:eastAsia="宋体" w:cs="宋体"/>
                <w:sz w:val="21"/>
                <w:szCs w:val="21"/>
              </w:rPr>
            </w:pPr>
            <w:r>
              <w:rPr>
                <w:rFonts w:ascii="宋体" w:hAnsi="宋体" w:eastAsia="宋体" w:cs="宋体"/>
                <w:sz w:val="21"/>
                <w:szCs w:val="21"/>
              </w:rPr>
              <w:t>8.</w:t>
            </w:r>
            <w:r>
              <w:rPr>
                <w:rFonts w:hint="eastAsia" w:ascii="宋体" w:hAnsi="宋体" w:eastAsia="宋体" w:cs="宋体"/>
                <w:sz w:val="21"/>
                <w:szCs w:val="21"/>
              </w:rPr>
              <w:t>告知通过其他途径办理数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rPr>
                <w:rFonts w:ascii="宋体" w:hAnsi="宋体" w:eastAsia="宋体" w:cs="宋体"/>
                <w:sz w:val="21"/>
                <w:szCs w:val="21"/>
              </w:rPr>
            </w:pPr>
            <w:r>
              <w:rPr>
                <w:rFonts w:hint="eastAsia" w:ascii="宋体" w:hAnsi="宋体" w:eastAsia="宋体" w:cs="宋体"/>
                <w:sz w:val="21"/>
                <w:szCs w:val="21"/>
              </w:rPr>
              <w:t>四、行政复议数量</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（一）维持具体行政行为数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（二）被依法纠错数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（三）其他情形数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rPr>
                <w:rFonts w:ascii="宋体" w:hAnsi="宋体" w:eastAsia="宋体" w:cs="宋体"/>
                <w:sz w:val="21"/>
                <w:szCs w:val="21"/>
              </w:rPr>
            </w:pPr>
            <w:r>
              <w:rPr>
                <w:rFonts w:hint="eastAsia" w:ascii="宋体" w:hAnsi="宋体" w:eastAsia="宋体" w:cs="宋体"/>
                <w:sz w:val="21"/>
                <w:szCs w:val="21"/>
              </w:rPr>
              <w:t>五、行政诉讼数量</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（一）维持具体行政行为或者驳回原告诉讼请求数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（二）被依法纠错数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（三）其他情形数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rPr>
                <w:rFonts w:ascii="宋体" w:hAnsi="宋体" w:eastAsia="宋体" w:cs="宋体"/>
                <w:sz w:val="21"/>
                <w:szCs w:val="21"/>
              </w:rPr>
            </w:pPr>
            <w:r>
              <w:rPr>
                <w:rFonts w:hint="eastAsia" w:ascii="宋体" w:hAnsi="宋体" w:eastAsia="宋体" w:cs="宋体"/>
                <w:sz w:val="21"/>
                <w:szCs w:val="21"/>
              </w:rPr>
              <w:t>六、被举报投诉数量</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4"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（一）维持具体行政行为数</w:t>
            </w:r>
          </w:p>
        </w:tc>
        <w:tc>
          <w:tcPr>
            <w:tcW w:w="851" w:type="dxa"/>
            <w:tcBorders>
              <w:top w:val="single" w:color="000000" w:sz="6" w:space="0"/>
              <w:left w:val="single" w:color="000000" w:sz="6" w:space="0"/>
              <w:bottom w:val="single" w:color="000000" w:sz="4"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6" w:space="0"/>
              <w:left w:val="single" w:color="000000" w:sz="6" w:space="0"/>
              <w:bottom w:val="single" w:color="000000" w:sz="4"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4" w:space="0"/>
              <w:left w:val="single" w:color="000000" w:sz="6" w:space="0"/>
              <w:bottom w:val="single" w:color="000000" w:sz="4"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（二）被纠错数</w:t>
            </w:r>
          </w:p>
        </w:tc>
        <w:tc>
          <w:tcPr>
            <w:tcW w:w="851" w:type="dxa"/>
            <w:tcBorders>
              <w:top w:val="single" w:color="000000" w:sz="4" w:space="0"/>
              <w:left w:val="single" w:color="000000" w:sz="6" w:space="0"/>
              <w:bottom w:val="single" w:color="000000" w:sz="4"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4" w:space="0"/>
              <w:left w:val="single" w:color="000000" w:sz="6" w:space="0"/>
              <w:bottom w:val="single" w:color="000000" w:sz="4"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4" w:space="0"/>
              <w:left w:val="single" w:color="000000" w:sz="6" w:space="0"/>
              <w:bottom w:val="single" w:color="000000" w:sz="6" w:space="0"/>
              <w:right w:val="single" w:color="000000" w:sz="6" w:space="0"/>
            </w:tcBorders>
            <w:vAlign w:val="center"/>
          </w:tcPr>
          <w:p>
            <w:pPr>
              <w:pStyle w:val="8"/>
              <w:ind w:firstLine="420" w:firstLineChars="200"/>
              <w:rPr>
                <w:rFonts w:ascii="宋体" w:hAnsi="宋体" w:eastAsia="宋体" w:cs="宋体"/>
                <w:sz w:val="21"/>
                <w:szCs w:val="21"/>
              </w:rPr>
            </w:pPr>
            <w:r>
              <w:rPr>
                <w:rFonts w:hint="eastAsia" w:ascii="宋体" w:hAnsi="宋体" w:eastAsia="宋体" w:cs="宋体"/>
                <w:sz w:val="21"/>
                <w:szCs w:val="21"/>
              </w:rPr>
              <w:t>（三）其他情形数</w:t>
            </w:r>
          </w:p>
        </w:tc>
        <w:tc>
          <w:tcPr>
            <w:tcW w:w="851" w:type="dxa"/>
            <w:tcBorders>
              <w:top w:val="single" w:color="000000" w:sz="4"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件</w:t>
            </w:r>
          </w:p>
        </w:tc>
        <w:tc>
          <w:tcPr>
            <w:tcW w:w="1074" w:type="dxa"/>
            <w:tcBorders>
              <w:top w:val="single" w:color="000000" w:sz="4"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rPr>
                <w:rFonts w:ascii="宋体" w:hAnsi="宋体" w:eastAsia="宋体" w:cs="宋体"/>
                <w:sz w:val="21"/>
                <w:szCs w:val="21"/>
              </w:rPr>
            </w:pPr>
            <w:r>
              <w:rPr>
                <w:rFonts w:hint="eastAsia" w:ascii="宋体" w:hAnsi="宋体" w:eastAsia="宋体" w:cs="宋体"/>
                <w:sz w:val="21"/>
                <w:szCs w:val="21"/>
              </w:rPr>
              <w:t>七、向图书馆、档案馆等查阅场所报送信息数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4" w:space="0"/>
              <w:right w:val="single" w:color="000000" w:sz="6" w:space="0"/>
            </w:tcBorders>
            <w:vAlign w:val="center"/>
          </w:tcPr>
          <w:p>
            <w:pPr>
              <w:pStyle w:val="8"/>
              <w:ind w:firstLine="420" w:firstLineChars="200"/>
              <w:jc w:val="both"/>
              <w:rPr>
                <w:rFonts w:ascii="宋体" w:hAnsi="宋体" w:eastAsia="宋体" w:cs="宋体"/>
                <w:sz w:val="21"/>
                <w:szCs w:val="21"/>
              </w:rPr>
            </w:pPr>
            <w:r>
              <w:rPr>
                <w:rFonts w:hint="eastAsia" w:ascii="宋体" w:hAnsi="宋体" w:eastAsia="宋体" w:cs="宋体"/>
                <w:sz w:val="21"/>
                <w:szCs w:val="21"/>
              </w:rPr>
              <w:t>（一）纸质文件数</w:t>
            </w:r>
          </w:p>
        </w:tc>
        <w:tc>
          <w:tcPr>
            <w:tcW w:w="851" w:type="dxa"/>
            <w:tcBorders>
              <w:top w:val="single" w:color="000000" w:sz="6" w:space="0"/>
              <w:left w:val="single" w:color="000000" w:sz="6" w:space="0"/>
              <w:bottom w:val="single" w:color="000000" w:sz="4"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6" w:space="0"/>
              <w:left w:val="single" w:color="000000" w:sz="6" w:space="0"/>
              <w:bottom w:val="single" w:color="000000" w:sz="4"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4" w:space="0"/>
              <w:left w:val="single" w:color="000000" w:sz="6" w:space="0"/>
              <w:bottom w:val="single" w:color="000000" w:sz="6" w:space="0"/>
              <w:right w:val="single" w:color="000000" w:sz="6" w:space="0"/>
            </w:tcBorders>
            <w:vAlign w:val="center"/>
          </w:tcPr>
          <w:p>
            <w:pPr>
              <w:pStyle w:val="8"/>
              <w:ind w:firstLine="420" w:firstLineChars="200"/>
              <w:jc w:val="both"/>
              <w:rPr>
                <w:rFonts w:ascii="宋体" w:hAnsi="宋体" w:eastAsia="宋体" w:cs="宋体"/>
                <w:sz w:val="21"/>
                <w:szCs w:val="21"/>
              </w:rPr>
            </w:pPr>
            <w:r>
              <w:rPr>
                <w:rFonts w:hint="eastAsia" w:ascii="宋体" w:hAnsi="宋体" w:eastAsia="宋体" w:cs="宋体"/>
                <w:sz w:val="21"/>
                <w:szCs w:val="21"/>
              </w:rPr>
              <w:t>（二）电子文件数</w:t>
            </w:r>
          </w:p>
        </w:tc>
        <w:tc>
          <w:tcPr>
            <w:tcW w:w="851" w:type="dxa"/>
            <w:tcBorders>
              <w:top w:val="single" w:color="000000" w:sz="4"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条</w:t>
            </w:r>
          </w:p>
        </w:tc>
        <w:tc>
          <w:tcPr>
            <w:tcW w:w="1074" w:type="dxa"/>
            <w:tcBorders>
              <w:top w:val="single" w:color="000000" w:sz="4" w:space="0"/>
              <w:left w:val="single" w:color="000000" w:sz="6" w:space="0"/>
              <w:bottom w:val="single" w:color="000000" w:sz="6" w:space="0"/>
              <w:right w:val="single" w:color="000000" w:sz="6" w:space="0"/>
            </w:tcBorders>
            <w:vAlign w:val="center"/>
          </w:tcPr>
          <w:p>
            <w:pPr>
              <w:pStyle w:val="8"/>
              <w:jc w:val="center"/>
              <w:rPr>
                <w:rFonts w:ascii="宋体" w:hAnsi="宋体" w:eastAsia="宋体" w:cstheme="minorBidi"/>
                <w:color w:val="auto"/>
                <w:sz w:val="21"/>
                <w:szCs w:val="21"/>
              </w:rPr>
            </w:pPr>
          </w:p>
        </w:tc>
      </w:tr>
      <w:tr>
        <w:tblPrEx>
          <w:tblLayout w:type="fixed"/>
          <w:tblCellMar>
            <w:top w:w="0" w:type="dxa"/>
            <w:left w:w="108" w:type="dxa"/>
            <w:bottom w:w="0" w:type="dxa"/>
            <w:right w:w="108" w:type="dxa"/>
          </w:tblCellMar>
        </w:tblPrEx>
        <w:trPr>
          <w:trHeight w:val="454" w:hRule="atLeast"/>
          <w:jc w:val="center"/>
        </w:trPr>
        <w:tc>
          <w:tcPr>
            <w:tcW w:w="6972" w:type="dxa"/>
            <w:tcBorders>
              <w:top w:val="single" w:color="000000" w:sz="6" w:space="0"/>
              <w:left w:val="single" w:color="000000" w:sz="6" w:space="0"/>
              <w:bottom w:val="single" w:color="000000" w:sz="6" w:space="0"/>
              <w:right w:val="single" w:color="000000" w:sz="6" w:space="0"/>
            </w:tcBorders>
            <w:vAlign w:val="center"/>
          </w:tcPr>
          <w:p>
            <w:pPr>
              <w:pStyle w:val="8"/>
              <w:jc w:val="both"/>
              <w:rPr>
                <w:rFonts w:ascii="宋体" w:hAnsi="宋体" w:eastAsia="宋体" w:cs="宋体"/>
                <w:sz w:val="21"/>
                <w:szCs w:val="21"/>
              </w:rPr>
            </w:pPr>
            <w:r>
              <w:rPr>
                <w:rFonts w:hint="eastAsia" w:ascii="宋体" w:hAnsi="宋体" w:eastAsia="宋体" w:cs="宋体"/>
                <w:sz w:val="21"/>
                <w:szCs w:val="21"/>
              </w:rPr>
              <w:t>八、开通政府信息公开网站（或设立门户网站信息公开专栏）数</w:t>
            </w:r>
          </w:p>
        </w:tc>
        <w:tc>
          <w:tcPr>
            <w:tcW w:w="851"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ascii="宋体" w:hAnsi="宋体" w:eastAsia="宋体" w:cs="宋体"/>
                <w:sz w:val="21"/>
                <w:szCs w:val="21"/>
              </w:rPr>
            </w:pPr>
            <w:r>
              <w:rPr>
                <w:rFonts w:hint="eastAsia" w:ascii="宋体" w:hAnsi="宋体" w:eastAsia="宋体" w:cs="宋体"/>
                <w:sz w:val="21"/>
                <w:szCs w:val="21"/>
              </w:rPr>
              <w:t>个</w:t>
            </w:r>
          </w:p>
        </w:tc>
        <w:tc>
          <w:tcPr>
            <w:tcW w:w="1074" w:type="dxa"/>
            <w:tcBorders>
              <w:top w:val="single" w:color="000000" w:sz="6" w:space="0"/>
              <w:left w:val="single" w:color="000000" w:sz="6" w:space="0"/>
              <w:bottom w:val="single" w:color="000000" w:sz="6" w:space="0"/>
              <w:right w:val="single" w:color="000000" w:sz="6" w:space="0"/>
            </w:tcBorders>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jc w:val="both"/>
              <w:rPr>
                <w:rFonts w:ascii="宋体" w:hAnsi="宋体" w:eastAsia="宋体" w:cs="宋体"/>
                <w:sz w:val="21"/>
                <w:szCs w:val="21"/>
              </w:rPr>
            </w:pPr>
            <w:r>
              <w:rPr>
                <w:rFonts w:hint="eastAsia" w:ascii="宋体" w:hAnsi="宋体" w:eastAsia="宋体" w:cs="宋体"/>
                <w:sz w:val="21"/>
                <w:szCs w:val="21"/>
              </w:rPr>
              <w:t>九、设置政府信息查阅点数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个</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jc w:val="both"/>
              <w:rPr>
                <w:rFonts w:ascii="宋体" w:hAnsi="宋体" w:eastAsia="宋体" w:cs="宋体"/>
                <w:sz w:val="21"/>
                <w:szCs w:val="21"/>
              </w:rPr>
            </w:pPr>
            <w:r>
              <w:rPr>
                <w:rFonts w:hint="eastAsia" w:ascii="宋体" w:hAnsi="宋体" w:eastAsia="宋体" w:cs="宋体"/>
                <w:sz w:val="21"/>
                <w:szCs w:val="21"/>
              </w:rPr>
              <w:t>十、查阅点接待人数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jc w:val="both"/>
              <w:rPr>
                <w:rFonts w:ascii="宋体" w:hAnsi="宋体" w:eastAsia="宋体" w:cs="宋体"/>
                <w:sz w:val="21"/>
                <w:szCs w:val="21"/>
              </w:rPr>
            </w:pPr>
            <w:r>
              <w:rPr>
                <w:rFonts w:hint="eastAsia" w:ascii="宋体" w:hAnsi="宋体" w:eastAsia="宋体" w:cs="宋体"/>
                <w:sz w:val="21"/>
                <w:szCs w:val="21"/>
              </w:rPr>
              <w:t>十一、机构建设和保障经费情况</w:t>
            </w:r>
          </w:p>
        </w:tc>
        <w:tc>
          <w:tcPr>
            <w:tcW w:w="851" w:type="dxa"/>
            <w:vAlign w:val="center"/>
          </w:tcPr>
          <w:p>
            <w:pPr>
              <w:pStyle w:val="8"/>
              <w:jc w:val="center"/>
              <w:rPr>
                <w:rFonts w:hint="eastAsia" w:ascii="宋体" w:hAnsi="宋体" w:eastAsia="宋体" w:cstheme="minorBidi"/>
                <w:color w:val="auto"/>
                <w:sz w:val="21"/>
                <w:szCs w:val="21"/>
                <w:lang w:val="en-US" w:eastAsia="zh-CN"/>
              </w:rPr>
            </w:pPr>
          </w:p>
        </w:tc>
        <w:tc>
          <w:tcPr>
            <w:tcW w:w="1074" w:type="dxa"/>
            <w:vAlign w:val="center"/>
          </w:tcPr>
          <w:p>
            <w:pPr>
              <w:pStyle w:val="8"/>
              <w:jc w:val="center"/>
              <w:rPr>
                <w:rFonts w:hint="eastAsia" w:ascii="宋体" w:hAnsi="宋体" w:eastAsia="宋体" w:cstheme="minorBidi"/>
                <w:color w:val="auto"/>
                <w:sz w:val="21"/>
                <w:szCs w:val="21"/>
                <w:lang w:val="en-US" w:eastAsia="zh-CN"/>
              </w:rPr>
            </w:pPr>
            <w:r>
              <w:rPr>
                <w:rFonts w:hint="eastAsia" w:ascii="宋体" w:hAnsi="宋体" w:eastAsia="宋体" w:cstheme="minorBidi"/>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ind w:firstLine="420" w:firstLineChars="200"/>
              <w:jc w:val="both"/>
              <w:rPr>
                <w:rFonts w:ascii="宋体" w:hAnsi="宋体" w:eastAsia="宋体" w:cs="宋体"/>
                <w:sz w:val="21"/>
                <w:szCs w:val="21"/>
              </w:rPr>
            </w:pPr>
            <w:r>
              <w:rPr>
                <w:rFonts w:hint="eastAsia" w:ascii="宋体" w:hAnsi="宋体" w:eastAsia="宋体" w:cs="宋体"/>
                <w:sz w:val="21"/>
                <w:szCs w:val="21"/>
              </w:rPr>
              <w:t>（一）政府信息公开工作机构数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个</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ind w:firstLine="420" w:firstLineChars="200"/>
              <w:jc w:val="both"/>
              <w:rPr>
                <w:rFonts w:ascii="宋体" w:hAnsi="宋体" w:eastAsia="宋体" w:cs="宋体"/>
                <w:sz w:val="21"/>
                <w:szCs w:val="21"/>
              </w:rPr>
            </w:pPr>
            <w:r>
              <w:rPr>
                <w:rFonts w:hint="eastAsia" w:ascii="宋体" w:hAnsi="宋体" w:eastAsia="宋体" w:cs="宋体"/>
                <w:sz w:val="21"/>
                <w:szCs w:val="21"/>
              </w:rPr>
              <w:t>（二）从事政府信息公开工作人员数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人</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ind w:firstLine="840" w:firstLineChars="400"/>
              <w:jc w:val="both"/>
              <w:rPr>
                <w:rFonts w:ascii="宋体" w:hAnsi="宋体" w:eastAsia="宋体" w:cs="宋体"/>
                <w:sz w:val="21"/>
                <w:szCs w:val="21"/>
              </w:rPr>
            </w:pPr>
            <w:r>
              <w:rPr>
                <w:rFonts w:ascii="宋体" w:hAnsi="宋体" w:eastAsia="宋体" w:cs="宋体"/>
                <w:sz w:val="21"/>
                <w:szCs w:val="21"/>
              </w:rPr>
              <w:t>1.</w:t>
            </w:r>
            <w:r>
              <w:rPr>
                <w:rFonts w:hint="eastAsia" w:ascii="宋体" w:hAnsi="宋体" w:eastAsia="宋体" w:cs="宋体"/>
                <w:sz w:val="21"/>
                <w:szCs w:val="21"/>
              </w:rPr>
              <w:t>专职人员数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人</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ind w:firstLine="840" w:firstLineChars="400"/>
              <w:jc w:val="both"/>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兼职人员数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人</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ind w:firstLine="420" w:firstLineChars="200"/>
              <w:jc w:val="both"/>
              <w:rPr>
                <w:rFonts w:ascii="宋体" w:hAnsi="宋体" w:eastAsia="宋体" w:cs="宋体"/>
                <w:sz w:val="21"/>
                <w:szCs w:val="21"/>
              </w:rPr>
            </w:pPr>
            <w:r>
              <w:rPr>
                <w:rFonts w:hint="eastAsia" w:ascii="宋体" w:hAnsi="宋体" w:eastAsia="宋体" w:cs="宋体"/>
                <w:sz w:val="21"/>
                <w:szCs w:val="21"/>
              </w:rPr>
              <w:t>（三）政府信息公开专项经费</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万元</w:t>
            </w:r>
          </w:p>
        </w:tc>
        <w:tc>
          <w:tcPr>
            <w:tcW w:w="1074" w:type="dxa"/>
            <w:vAlign w:val="center"/>
          </w:tcPr>
          <w:p>
            <w:pPr>
              <w:pStyle w:val="8"/>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jc w:val="both"/>
              <w:rPr>
                <w:rFonts w:ascii="宋体" w:hAnsi="宋体" w:eastAsia="宋体" w:cs="宋体"/>
                <w:sz w:val="21"/>
                <w:szCs w:val="21"/>
              </w:rPr>
            </w:pPr>
            <w:r>
              <w:rPr>
                <w:rFonts w:hint="eastAsia" w:ascii="宋体" w:hAnsi="宋体" w:eastAsia="宋体" w:cs="宋体"/>
                <w:sz w:val="21"/>
                <w:szCs w:val="21"/>
              </w:rPr>
              <w:t>十二、政府信息公开会议和培训情况</w:t>
            </w:r>
          </w:p>
        </w:tc>
        <w:tc>
          <w:tcPr>
            <w:tcW w:w="851" w:type="dxa"/>
            <w:vAlign w:val="center"/>
          </w:tcPr>
          <w:p>
            <w:pPr>
              <w:pStyle w:val="8"/>
              <w:jc w:val="center"/>
              <w:rPr>
                <w:rFonts w:hint="eastAsia" w:ascii="宋体" w:hAnsi="宋体" w:eastAsia="宋体" w:cstheme="minorBidi"/>
                <w:color w:val="auto"/>
                <w:sz w:val="21"/>
                <w:szCs w:val="21"/>
                <w:lang w:val="en-US" w:eastAsia="zh-CN"/>
              </w:rPr>
            </w:pPr>
          </w:p>
        </w:tc>
        <w:tc>
          <w:tcPr>
            <w:tcW w:w="1074" w:type="dxa"/>
            <w:vAlign w:val="center"/>
          </w:tcPr>
          <w:p>
            <w:pPr>
              <w:pStyle w:val="8"/>
              <w:jc w:val="center"/>
              <w:rPr>
                <w:rFonts w:hint="eastAsia" w:ascii="宋体" w:hAnsi="宋体" w:eastAsia="宋体" w:cstheme="minorBidi"/>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ind w:firstLine="420" w:firstLineChars="200"/>
              <w:jc w:val="both"/>
              <w:rPr>
                <w:rFonts w:ascii="宋体" w:hAnsi="宋体" w:eastAsia="宋体" w:cs="宋体"/>
                <w:sz w:val="21"/>
                <w:szCs w:val="21"/>
              </w:rPr>
            </w:pPr>
            <w:r>
              <w:rPr>
                <w:rFonts w:hint="eastAsia" w:ascii="宋体" w:hAnsi="宋体" w:eastAsia="宋体" w:cs="宋体"/>
                <w:sz w:val="21"/>
                <w:szCs w:val="21"/>
              </w:rPr>
              <w:t>（一）召开政府信息公开工作会议或专题会议数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ind w:firstLine="420" w:firstLineChars="200"/>
              <w:jc w:val="both"/>
              <w:rPr>
                <w:rFonts w:ascii="宋体" w:hAnsi="宋体" w:eastAsia="宋体" w:cs="宋体"/>
                <w:sz w:val="21"/>
                <w:szCs w:val="21"/>
              </w:rPr>
            </w:pPr>
            <w:r>
              <w:rPr>
                <w:rFonts w:hint="eastAsia" w:ascii="宋体" w:hAnsi="宋体" w:eastAsia="宋体" w:cs="宋体"/>
                <w:sz w:val="21"/>
                <w:szCs w:val="21"/>
              </w:rPr>
              <w:t>（二）举办各类培训班数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次</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972" w:type="dxa"/>
            <w:vAlign w:val="center"/>
          </w:tcPr>
          <w:p>
            <w:pPr>
              <w:pStyle w:val="8"/>
              <w:ind w:firstLine="420" w:firstLineChars="200"/>
              <w:jc w:val="both"/>
              <w:rPr>
                <w:rFonts w:ascii="宋体" w:hAnsi="宋体" w:eastAsia="宋体" w:cs="宋体"/>
                <w:sz w:val="21"/>
                <w:szCs w:val="21"/>
              </w:rPr>
            </w:pPr>
            <w:r>
              <w:rPr>
                <w:rFonts w:hint="eastAsia" w:ascii="宋体" w:hAnsi="宋体" w:eastAsia="宋体" w:cs="宋体"/>
                <w:sz w:val="21"/>
                <w:szCs w:val="21"/>
              </w:rPr>
              <w:t>（三）接受培训人员数</w:t>
            </w:r>
          </w:p>
        </w:tc>
        <w:tc>
          <w:tcPr>
            <w:tcW w:w="851" w:type="dxa"/>
            <w:vAlign w:val="center"/>
          </w:tcPr>
          <w:p>
            <w:pPr>
              <w:pStyle w:val="8"/>
              <w:jc w:val="center"/>
              <w:rPr>
                <w:rFonts w:ascii="宋体" w:hAnsi="宋体" w:eastAsia="宋体" w:cs="宋体"/>
                <w:sz w:val="21"/>
                <w:szCs w:val="21"/>
              </w:rPr>
            </w:pPr>
            <w:r>
              <w:rPr>
                <w:rFonts w:hint="eastAsia" w:ascii="宋体" w:hAnsi="宋体" w:eastAsia="宋体" w:cs="宋体"/>
                <w:sz w:val="21"/>
                <w:szCs w:val="21"/>
              </w:rPr>
              <w:t>人次</w:t>
            </w:r>
          </w:p>
        </w:tc>
        <w:tc>
          <w:tcPr>
            <w:tcW w:w="1074" w:type="dxa"/>
            <w:vAlign w:val="center"/>
          </w:tcPr>
          <w:p>
            <w:pPr>
              <w:pStyle w:val="8"/>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bl>
    <w:p>
      <w:pPr>
        <w:pStyle w:val="8"/>
        <w:rPr>
          <w:rFonts w:ascii="宋体" w:hAnsi="宋体" w:eastAsia="宋体" w:cstheme="minorBidi"/>
          <w:color w:val="auto"/>
          <w:sz w:val="21"/>
          <w:szCs w:val="21"/>
        </w:rPr>
      </w:pPr>
    </w:p>
    <w:p>
      <w:pPr>
        <w:pStyle w:val="8"/>
        <w:rPr>
          <w:rFonts w:ascii="宋体" w:hAnsi="宋体" w:eastAsia="宋体" w:cstheme="minorBidi"/>
          <w:b/>
          <w:color w:val="auto"/>
          <w:sz w:val="21"/>
          <w:szCs w:val="21"/>
        </w:rPr>
      </w:pPr>
      <w:r>
        <w:rPr>
          <w:rFonts w:hint="eastAsia" w:ascii="宋体" w:hAnsi="宋体" w:eastAsia="宋体" w:cstheme="minorBidi"/>
          <w:b/>
          <w:color w:val="auto"/>
          <w:sz w:val="21"/>
          <w:szCs w:val="21"/>
        </w:rPr>
        <w:t>（注：各子栏目数要等于总栏目数量）</w:t>
      </w:r>
    </w:p>
    <w:p>
      <w:pPr>
        <w:pStyle w:val="8"/>
        <w:rPr>
          <w:rFonts w:ascii="黑体" w:hAnsi="黑体" w:eastAsia="黑体" w:cstheme="minorBidi"/>
          <w:color w:val="auto"/>
          <w:sz w:val="32"/>
          <w:szCs w:val="32"/>
        </w:rPr>
      </w:pPr>
      <w:r>
        <w:rPr>
          <w:rFonts w:ascii="宋体" w:hAnsi="宋体" w:eastAsia="宋体" w:cstheme="minorBidi"/>
          <w:color w:val="auto"/>
        </w:rPr>
        <w:br w:type="page"/>
      </w:r>
      <w:r>
        <w:rPr>
          <w:rFonts w:hint="eastAsia" w:ascii="黑体" w:hAnsi="黑体" w:eastAsia="黑体" w:cstheme="minorBidi"/>
          <w:color w:val="auto"/>
          <w:sz w:val="32"/>
          <w:szCs w:val="32"/>
        </w:rPr>
        <w:t>附件</w:t>
      </w:r>
      <w:r>
        <w:rPr>
          <w:rFonts w:ascii="黑体" w:hAnsi="黑体" w:eastAsia="黑体" w:cstheme="minorBidi"/>
          <w:color w:val="auto"/>
          <w:sz w:val="32"/>
          <w:szCs w:val="32"/>
        </w:rPr>
        <w:t>2</w:t>
      </w:r>
    </w:p>
    <w:p>
      <w:pPr>
        <w:pStyle w:val="8"/>
        <w:rPr>
          <w:rFonts w:cstheme="minorBidi"/>
          <w:color w:val="auto"/>
        </w:rPr>
      </w:pPr>
    </w:p>
    <w:p>
      <w:pPr>
        <w:pStyle w:val="8"/>
        <w:jc w:val="center"/>
        <w:rPr>
          <w:rFonts w:ascii="方正小标宋简体" w:eastAsia="方正小标宋简体" w:cstheme="minorBidi"/>
          <w:color w:val="auto"/>
          <w:sz w:val="44"/>
          <w:szCs w:val="44"/>
        </w:rPr>
      </w:pPr>
      <w:r>
        <w:rPr>
          <w:rFonts w:hint="eastAsia" w:ascii="方正小标宋简体" w:eastAsia="方正小标宋简体" w:cstheme="minorBidi"/>
          <w:color w:val="auto"/>
          <w:sz w:val="44"/>
          <w:szCs w:val="44"/>
        </w:rPr>
        <w:t>政府信息公开情况统计指标填报说明</w:t>
      </w:r>
    </w:p>
    <w:p>
      <w:pPr>
        <w:pStyle w:val="8"/>
        <w:spacing w:line="560" w:lineRule="exact"/>
        <w:rPr>
          <w:rFonts w:ascii="Times New Roman" w:hAnsi="Times New Roman" w:eastAsia="方正仿宋简体" w:cs="Times New Roman"/>
          <w:color w:val="auto"/>
          <w:sz w:val="32"/>
          <w:szCs w:val="32"/>
        </w:rPr>
      </w:pP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一、主动公开情况</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w:t>
      </w:r>
      <w:r>
        <w:rPr>
          <w:rFonts w:hint="eastAsia" w:ascii="宋体" w:hAnsi="宋体" w:eastAsia="宋体" w:cs="Times New Roman"/>
          <w:color w:val="auto"/>
          <w:sz w:val="21"/>
          <w:szCs w:val="21"/>
        </w:rPr>
        <w:t>主动公开政府信息数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指按照《条例》规定</w:t>
      </w:r>
      <w:r>
        <w:rPr>
          <w:rFonts w:ascii="宋体" w:hAnsi="宋体" w:eastAsia="宋体" w:cs="Times New Roman"/>
          <w:color w:val="auto"/>
          <w:sz w:val="21"/>
          <w:szCs w:val="21"/>
        </w:rPr>
        <w:t>,</w:t>
      </w:r>
      <w:r>
        <w:rPr>
          <w:rFonts w:hint="eastAsia" w:ascii="宋体" w:hAnsi="宋体" w:eastAsia="宋体" w:cs="Times New Roman"/>
          <w:color w:val="auto"/>
          <w:sz w:val="21"/>
          <w:szCs w:val="21"/>
        </w:rPr>
        <w:t>统计年度内主动公开的政府信息总条数。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主动公开政府信息数按条计算。凡公文类政府信息</w:t>
      </w:r>
      <w:r>
        <w:rPr>
          <w:rFonts w:ascii="宋体" w:hAnsi="宋体" w:eastAsia="宋体" w:cs="Times New Roman"/>
          <w:color w:val="auto"/>
          <w:sz w:val="21"/>
          <w:szCs w:val="21"/>
        </w:rPr>
        <w:t>,1</w:t>
      </w:r>
      <w:r>
        <w:rPr>
          <w:rFonts w:hint="eastAsia" w:ascii="宋体" w:hAnsi="宋体" w:eastAsia="宋体" w:cs="Times New Roman"/>
          <w:color w:val="auto"/>
          <w:sz w:val="21"/>
          <w:szCs w:val="21"/>
        </w:rPr>
        <w:t>件公文计为</w:t>
      </w:r>
      <w:r>
        <w:rPr>
          <w:rFonts w:ascii="宋体" w:hAnsi="宋体" w:eastAsia="宋体" w:cs="Times New Roman"/>
          <w:color w:val="auto"/>
          <w:sz w:val="21"/>
          <w:szCs w:val="21"/>
        </w:rPr>
        <w:t>1</w:t>
      </w:r>
      <w:r>
        <w:rPr>
          <w:rFonts w:hint="eastAsia" w:ascii="宋体" w:hAnsi="宋体" w:eastAsia="宋体" w:cs="Times New Roman"/>
          <w:color w:val="auto"/>
          <w:sz w:val="21"/>
          <w:szCs w:val="21"/>
        </w:rPr>
        <w:t>条</w:t>
      </w:r>
      <w:r>
        <w:rPr>
          <w:rFonts w:ascii="宋体" w:hAnsi="宋体" w:eastAsia="宋体" w:cs="Times New Roman"/>
          <w:color w:val="auto"/>
          <w:sz w:val="21"/>
          <w:szCs w:val="21"/>
        </w:rPr>
        <w:t>,</w:t>
      </w:r>
      <w:r>
        <w:rPr>
          <w:rFonts w:hint="eastAsia" w:ascii="宋体" w:hAnsi="宋体" w:eastAsia="宋体" w:cs="Times New Roman"/>
          <w:color w:val="auto"/>
          <w:sz w:val="21"/>
          <w:szCs w:val="21"/>
        </w:rPr>
        <w:t>部分内容公开的公文也计为</w:t>
      </w:r>
      <w:r>
        <w:rPr>
          <w:rFonts w:ascii="宋体" w:hAnsi="宋体" w:eastAsia="宋体" w:cs="Times New Roman"/>
          <w:color w:val="auto"/>
          <w:sz w:val="21"/>
          <w:szCs w:val="21"/>
        </w:rPr>
        <w:t>1</w:t>
      </w:r>
      <w:r>
        <w:rPr>
          <w:rFonts w:hint="eastAsia" w:ascii="宋体" w:hAnsi="宋体" w:eastAsia="宋体" w:cs="Times New Roman"/>
          <w:color w:val="auto"/>
          <w:sz w:val="21"/>
          <w:szCs w:val="21"/>
        </w:rPr>
        <w:t>条。其他政府信息</w:t>
      </w:r>
      <w:r>
        <w:rPr>
          <w:rFonts w:ascii="宋体" w:hAnsi="宋体" w:eastAsia="宋体" w:cs="Times New Roman"/>
          <w:color w:val="auto"/>
          <w:sz w:val="21"/>
          <w:szCs w:val="21"/>
        </w:rPr>
        <w:t>,1</w:t>
      </w:r>
      <w:r>
        <w:rPr>
          <w:rFonts w:hint="eastAsia" w:ascii="宋体" w:hAnsi="宋体" w:eastAsia="宋体" w:cs="Times New Roman"/>
          <w:color w:val="auto"/>
          <w:sz w:val="21"/>
          <w:szCs w:val="21"/>
        </w:rPr>
        <w:t>份完整的信息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或其中部分公开的信息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计为</w:t>
      </w:r>
      <w:r>
        <w:rPr>
          <w:rFonts w:ascii="宋体" w:hAnsi="宋体" w:eastAsia="宋体" w:cs="Times New Roman"/>
          <w:color w:val="auto"/>
          <w:sz w:val="21"/>
          <w:szCs w:val="21"/>
        </w:rPr>
        <w:t>1</w:t>
      </w:r>
      <w:r>
        <w:rPr>
          <w:rFonts w:hint="eastAsia" w:ascii="宋体" w:hAnsi="宋体" w:eastAsia="宋体" w:cs="Times New Roman"/>
          <w:color w:val="auto"/>
          <w:sz w:val="21"/>
          <w:szCs w:val="21"/>
        </w:rPr>
        <w:t>条。</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主动公开政府信息数不重复计算。通过不同渠道和方式公开的同一条政府信息计为</w:t>
      </w:r>
      <w:r>
        <w:rPr>
          <w:rFonts w:ascii="宋体" w:hAnsi="宋体" w:eastAsia="宋体" w:cs="Times New Roman"/>
          <w:color w:val="auto"/>
          <w:sz w:val="21"/>
          <w:szCs w:val="21"/>
        </w:rPr>
        <w:t>1</w:t>
      </w:r>
      <w:r>
        <w:rPr>
          <w:rFonts w:hint="eastAsia" w:ascii="宋体" w:hAnsi="宋体" w:eastAsia="宋体" w:cs="Times New Roman"/>
          <w:color w:val="auto"/>
          <w:sz w:val="21"/>
          <w:szCs w:val="21"/>
        </w:rPr>
        <w:t>条信息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部门联合发布的信息以牵头制作该信息的部门为填报单位</w:t>
      </w:r>
      <w:r>
        <w:rPr>
          <w:rFonts w:ascii="宋体" w:hAnsi="宋体" w:eastAsia="宋体" w:cs="Times New Roman"/>
          <w:color w:val="auto"/>
          <w:sz w:val="21"/>
          <w:szCs w:val="21"/>
        </w:rPr>
        <w:t>;</w:t>
      </w:r>
      <w:r>
        <w:rPr>
          <w:rFonts w:hint="eastAsia" w:ascii="宋体" w:hAnsi="宋体" w:eastAsia="宋体" w:cs="Times New Roman"/>
          <w:color w:val="auto"/>
          <w:sz w:val="21"/>
          <w:szCs w:val="21"/>
        </w:rPr>
        <w:t>各单位转载、转发的信息不计入本单位统计数量。</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w:t>
      </w:r>
      <w:r>
        <w:rPr>
          <w:rFonts w:hint="eastAsia" w:ascii="宋体" w:hAnsi="宋体" w:eastAsia="宋体" w:cs="Times New Roman"/>
          <w:color w:val="auto"/>
          <w:sz w:val="21"/>
          <w:szCs w:val="21"/>
        </w:rPr>
        <w:t>主动公开规范性文件数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指主动公开的规范性文件总条数。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w:t>
      </w:r>
      <w:r>
        <w:rPr>
          <w:rFonts w:hint="eastAsia" w:ascii="宋体" w:hAnsi="宋体" w:eastAsia="宋体" w:cs="Times New Roman"/>
          <w:color w:val="auto"/>
          <w:sz w:val="21"/>
          <w:szCs w:val="21"/>
        </w:rPr>
        <w:t>制发规范性文件总数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指制发规范性文件总件数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应为主动公开数和未主动公开数的合计数。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w:t>
      </w:r>
      <w:r>
        <w:rPr>
          <w:rFonts w:hint="eastAsia" w:ascii="宋体" w:hAnsi="宋体" w:eastAsia="宋体" w:cs="Times New Roman"/>
          <w:color w:val="auto"/>
          <w:sz w:val="21"/>
          <w:szCs w:val="21"/>
        </w:rPr>
        <w:t>政府公报公开政府信息数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指通过政府公报主动公开的政府信息总条数。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w:t>
      </w:r>
      <w:r>
        <w:rPr>
          <w:rFonts w:hint="eastAsia" w:ascii="宋体" w:hAnsi="宋体" w:eastAsia="宋体" w:cs="Times New Roman"/>
          <w:color w:val="auto"/>
          <w:sz w:val="21"/>
          <w:szCs w:val="21"/>
        </w:rPr>
        <w:t>政府网站公开政府信息数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指通过各级政府网站主动公开的政府信息总条数。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6.</w:t>
      </w:r>
      <w:r>
        <w:rPr>
          <w:rFonts w:hint="eastAsia" w:ascii="宋体" w:hAnsi="宋体" w:eastAsia="宋体" w:cs="Times New Roman"/>
          <w:color w:val="auto"/>
          <w:sz w:val="21"/>
          <w:szCs w:val="21"/>
        </w:rPr>
        <w:t>政务微博公开政府信息数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指通过官方政务微博主动公开的政府信息总条数。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7.</w:t>
      </w:r>
      <w:r>
        <w:rPr>
          <w:rFonts w:hint="eastAsia" w:ascii="宋体" w:hAnsi="宋体" w:eastAsia="宋体" w:cs="Times New Roman"/>
          <w:color w:val="auto"/>
          <w:sz w:val="21"/>
          <w:szCs w:val="21"/>
        </w:rPr>
        <w:t>政务微信公开政府信息数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指通过官方政务微信主动公开的政府信息总条数。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8.</w:t>
      </w:r>
      <w:r>
        <w:rPr>
          <w:rFonts w:hint="eastAsia" w:ascii="宋体" w:hAnsi="宋体" w:eastAsia="宋体" w:cs="Times New Roman"/>
          <w:color w:val="auto"/>
          <w:sz w:val="21"/>
          <w:szCs w:val="21"/>
        </w:rPr>
        <w:t>其他方式公开政府信息数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指通过报刊、广播、电视等其他方式主动公开的政府信息总条数。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二、回应解读情况</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9.</w:t>
      </w:r>
      <w:r>
        <w:rPr>
          <w:rFonts w:hint="eastAsia" w:ascii="宋体" w:hAnsi="宋体" w:eastAsia="宋体" w:cs="Times New Roman"/>
          <w:color w:val="auto"/>
          <w:sz w:val="21"/>
          <w:szCs w:val="21"/>
        </w:rPr>
        <w:t>回应公众关注热点或重大舆情数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指回应涉及本单位职责的公众关注热点或重大舆情的次数。回应公众关注热点或重大舆情数不重复计算。以多种形式回应同一热点或舆情的计为</w:t>
      </w:r>
      <w:r>
        <w:rPr>
          <w:rFonts w:ascii="宋体" w:hAnsi="宋体" w:eastAsia="宋体" w:cs="Times New Roman"/>
          <w:color w:val="auto"/>
          <w:sz w:val="21"/>
          <w:szCs w:val="21"/>
        </w:rPr>
        <w:t>1</w:t>
      </w:r>
      <w:r>
        <w:rPr>
          <w:rFonts w:hint="eastAsia" w:ascii="宋体" w:hAnsi="宋体" w:eastAsia="宋体" w:cs="Times New Roman"/>
          <w:color w:val="auto"/>
          <w:sz w:val="21"/>
          <w:szCs w:val="21"/>
        </w:rPr>
        <w:t>次回应</w:t>
      </w:r>
      <w:r>
        <w:rPr>
          <w:rFonts w:ascii="宋体" w:hAnsi="宋体" w:eastAsia="宋体" w:cs="Times New Roman"/>
          <w:color w:val="auto"/>
          <w:sz w:val="21"/>
          <w:szCs w:val="21"/>
        </w:rPr>
        <w:t>;</w:t>
      </w:r>
      <w:r>
        <w:rPr>
          <w:rFonts w:hint="eastAsia" w:ascii="宋体" w:hAnsi="宋体" w:eastAsia="宋体" w:cs="Times New Roman"/>
          <w:color w:val="auto"/>
          <w:sz w:val="21"/>
          <w:szCs w:val="21"/>
        </w:rPr>
        <w:t>联合发布的回应情况以回应该热点或舆情的牵头负责单位为填报单位</w:t>
      </w:r>
      <w:r>
        <w:rPr>
          <w:rFonts w:ascii="宋体" w:hAnsi="宋体" w:eastAsia="宋体" w:cs="Times New Roman"/>
          <w:color w:val="auto"/>
          <w:sz w:val="21"/>
          <w:szCs w:val="21"/>
        </w:rPr>
        <w:t>;</w:t>
      </w:r>
      <w:r>
        <w:rPr>
          <w:rFonts w:hint="eastAsia" w:ascii="宋体" w:hAnsi="宋体" w:eastAsia="宋体" w:cs="Times New Roman"/>
          <w:color w:val="auto"/>
          <w:sz w:val="21"/>
          <w:szCs w:val="21"/>
        </w:rPr>
        <w:t>各单位转载、转发的回应情况不计入本单位统计数量。</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10.</w:t>
      </w:r>
      <w:r>
        <w:rPr>
          <w:rFonts w:hint="eastAsia" w:ascii="宋体" w:hAnsi="宋体" w:eastAsia="宋体" w:cs="Times New Roman"/>
          <w:color w:val="auto"/>
          <w:sz w:val="21"/>
          <w:szCs w:val="21"/>
        </w:rPr>
        <w:t>参加或举办新闻发布会总次数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指为解读政策、回应社会关切、引导舆论而参加或举办的新闻发布会、媒体通气会等的总次数。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11.</w:t>
      </w:r>
      <w:r>
        <w:rPr>
          <w:rFonts w:hint="eastAsia" w:ascii="宋体" w:hAnsi="宋体" w:eastAsia="宋体" w:cs="Times New Roman"/>
          <w:color w:val="auto"/>
          <w:sz w:val="21"/>
          <w:szCs w:val="21"/>
        </w:rPr>
        <w:t>主要负责同志参加新闻发布会次数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指本单位主要负责同志为解读政策、回应社会关切、引导舆论而参加各类新闻发布会、媒体通气会等的总次数。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12.</w:t>
      </w:r>
      <w:r>
        <w:rPr>
          <w:rFonts w:hint="eastAsia" w:ascii="宋体" w:hAnsi="宋体" w:eastAsia="宋体" w:cs="Times New Roman"/>
          <w:color w:val="auto"/>
          <w:sz w:val="21"/>
          <w:szCs w:val="21"/>
        </w:rPr>
        <w:t>政府网站在线访谈次数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指本单位有关负责同志或新闻发言人为解读政策、回应社会关切、引导舆论在政府网站接受在线访谈的总次数。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13.</w:t>
      </w:r>
      <w:r>
        <w:rPr>
          <w:rFonts w:hint="eastAsia" w:ascii="宋体" w:hAnsi="宋体" w:eastAsia="宋体" w:cs="Times New Roman"/>
          <w:color w:val="auto"/>
          <w:sz w:val="21"/>
          <w:szCs w:val="21"/>
        </w:rPr>
        <w:t>主要负责同志参加政府网站在线访谈次数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指本单位主要负责同志为解读政策、回应社会关切、引导舆论在政府网站接受在线访谈的总次数。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14.</w:t>
      </w:r>
      <w:r>
        <w:rPr>
          <w:rFonts w:hint="eastAsia" w:ascii="宋体" w:hAnsi="宋体" w:eastAsia="宋体" w:cs="Times New Roman"/>
          <w:color w:val="auto"/>
          <w:sz w:val="21"/>
          <w:szCs w:val="21"/>
        </w:rPr>
        <w:t>政策解读稿件发布数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指通过政府网站、新闻发布会、媒体通气会以及报刊、广播、电视等方式发布政策解读稿件的总篇数。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15.</w:t>
      </w:r>
      <w:r>
        <w:rPr>
          <w:rFonts w:hint="eastAsia" w:ascii="宋体" w:hAnsi="宋体" w:eastAsia="宋体" w:cs="Times New Roman"/>
          <w:color w:val="auto"/>
          <w:sz w:val="21"/>
          <w:szCs w:val="21"/>
        </w:rPr>
        <w:t>微博微信回应事件数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指通过官方政务微博、微信回应的热点事件总次数</w:t>
      </w:r>
      <w:r>
        <w:rPr>
          <w:rFonts w:ascii="宋体" w:hAnsi="宋体" w:eastAsia="宋体" w:cs="Times New Roman"/>
          <w:color w:val="auto"/>
          <w:sz w:val="21"/>
          <w:szCs w:val="21"/>
        </w:rPr>
        <w:t>(</w:t>
      </w:r>
      <w:r>
        <w:rPr>
          <w:rFonts w:hint="eastAsia" w:ascii="宋体" w:hAnsi="宋体" w:eastAsia="宋体" w:cs="Times New Roman"/>
          <w:color w:val="auto"/>
          <w:sz w:val="21"/>
          <w:szCs w:val="21"/>
        </w:rPr>
        <w:t>同一事件多次回应计为</w:t>
      </w:r>
      <w:r>
        <w:rPr>
          <w:rFonts w:ascii="宋体" w:hAnsi="宋体" w:eastAsia="宋体" w:cs="Times New Roman"/>
          <w:color w:val="auto"/>
          <w:sz w:val="21"/>
          <w:szCs w:val="21"/>
        </w:rPr>
        <w:t>1</w:t>
      </w:r>
      <w:r>
        <w:rPr>
          <w:rFonts w:hint="eastAsia" w:ascii="宋体" w:hAnsi="宋体" w:eastAsia="宋体" w:cs="Times New Roman"/>
          <w:color w:val="auto"/>
          <w:sz w:val="21"/>
          <w:szCs w:val="21"/>
        </w:rPr>
        <w:t>次</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16.</w:t>
      </w:r>
      <w:r>
        <w:rPr>
          <w:rFonts w:hint="eastAsia" w:ascii="宋体" w:hAnsi="宋体" w:eastAsia="宋体" w:cs="Times New Roman"/>
          <w:color w:val="auto"/>
          <w:sz w:val="21"/>
          <w:szCs w:val="21"/>
        </w:rPr>
        <w:t>其他方式回应事件数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指通过广播、电视、报刊等其他方式回应的热点事件总次数</w:t>
      </w:r>
      <w:r>
        <w:rPr>
          <w:rFonts w:ascii="宋体" w:hAnsi="宋体" w:eastAsia="宋体" w:cs="Times New Roman"/>
          <w:color w:val="auto"/>
          <w:sz w:val="21"/>
          <w:szCs w:val="21"/>
        </w:rPr>
        <w:t>(</w:t>
      </w:r>
      <w:r>
        <w:rPr>
          <w:rFonts w:hint="eastAsia" w:ascii="宋体" w:hAnsi="宋体" w:eastAsia="宋体" w:cs="Times New Roman"/>
          <w:color w:val="auto"/>
          <w:sz w:val="21"/>
          <w:szCs w:val="21"/>
        </w:rPr>
        <w:t>同一事件多次回应计为</w:t>
      </w:r>
      <w:r>
        <w:rPr>
          <w:rFonts w:ascii="宋体" w:hAnsi="宋体" w:eastAsia="宋体" w:cs="Times New Roman"/>
          <w:color w:val="auto"/>
          <w:sz w:val="21"/>
          <w:szCs w:val="21"/>
        </w:rPr>
        <w:t>1</w:t>
      </w:r>
      <w:r>
        <w:rPr>
          <w:rFonts w:hint="eastAsia" w:ascii="宋体" w:hAnsi="宋体" w:eastAsia="宋体" w:cs="Times New Roman"/>
          <w:color w:val="auto"/>
          <w:sz w:val="21"/>
          <w:szCs w:val="21"/>
        </w:rPr>
        <w:t>次</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三、依申请公开情况</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17.</w:t>
      </w:r>
      <w:r>
        <w:rPr>
          <w:rFonts w:hint="eastAsia" w:ascii="宋体" w:hAnsi="宋体" w:eastAsia="宋体" w:cs="Times New Roman"/>
          <w:color w:val="auto"/>
          <w:sz w:val="21"/>
          <w:szCs w:val="21"/>
        </w:rPr>
        <w:t>收到申请数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指收到的政府信息公开申请总件数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申请应为书面形式或数据电文形式</w:t>
      </w:r>
      <w:r>
        <w:rPr>
          <w:rFonts w:ascii="宋体" w:hAnsi="宋体" w:eastAsia="宋体" w:cs="Times New Roman"/>
          <w:color w:val="auto"/>
          <w:sz w:val="21"/>
          <w:szCs w:val="21"/>
        </w:rPr>
        <w:t>(</w:t>
      </w:r>
      <w:r>
        <w:rPr>
          <w:rFonts w:hint="eastAsia" w:ascii="宋体" w:hAnsi="宋体" w:eastAsia="宋体" w:cs="Times New Roman"/>
          <w:color w:val="auto"/>
          <w:sz w:val="21"/>
          <w:szCs w:val="21"/>
        </w:rPr>
        <w:t>应等于当面申请数、传真申请数、网络申请数、信函申请数</w:t>
      </w:r>
      <w:r>
        <w:rPr>
          <w:rFonts w:ascii="宋体" w:hAnsi="宋体" w:eastAsia="宋体" w:cs="Times New Roman"/>
          <w:color w:val="auto"/>
          <w:sz w:val="21"/>
          <w:szCs w:val="21"/>
        </w:rPr>
        <w:t>4</w:t>
      </w:r>
      <w:r>
        <w:rPr>
          <w:rFonts w:hint="eastAsia" w:ascii="宋体" w:hAnsi="宋体" w:eastAsia="宋体" w:cs="Times New Roman"/>
          <w:color w:val="auto"/>
          <w:sz w:val="21"/>
          <w:szCs w:val="21"/>
        </w:rPr>
        <w:t>项之和</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18.</w:t>
      </w:r>
      <w:r>
        <w:rPr>
          <w:rFonts w:hint="eastAsia" w:ascii="宋体" w:hAnsi="宋体" w:eastAsia="宋体" w:cs="Times New Roman"/>
          <w:color w:val="auto"/>
          <w:sz w:val="21"/>
          <w:szCs w:val="21"/>
        </w:rPr>
        <w:t>当面申请数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指公民、法人或其他组织到承担政府信息公开事务的受理点提出申请的件数。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19.</w:t>
      </w:r>
      <w:r>
        <w:rPr>
          <w:rFonts w:hint="eastAsia" w:ascii="宋体" w:hAnsi="宋体" w:eastAsia="宋体" w:cs="Times New Roman"/>
          <w:color w:val="auto"/>
          <w:sz w:val="21"/>
          <w:szCs w:val="21"/>
        </w:rPr>
        <w:t>传真申请数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指公民、法人或其他组织通过传真方式提出申请的件数。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20.</w:t>
      </w:r>
      <w:r>
        <w:rPr>
          <w:rFonts w:hint="eastAsia" w:ascii="宋体" w:hAnsi="宋体" w:eastAsia="宋体" w:cs="Times New Roman"/>
          <w:color w:val="auto"/>
          <w:sz w:val="21"/>
          <w:szCs w:val="21"/>
        </w:rPr>
        <w:t>网络申请数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指公民、法人或其他组织通过网上提交申请方式提出申请的件数。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21.</w:t>
      </w:r>
      <w:r>
        <w:rPr>
          <w:rFonts w:hint="eastAsia" w:ascii="宋体" w:hAnsi="宋体" w:eastAsia="宋体" w:cs="Times New Roman"/>
          <w:color w:val="auto"/>
          <w:sz w:val="21"/>
          <w:szCs w:val="21"/>
        </w:rPr>
        <w:t>信函申请数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指公民、法人或其他组织通过信函邮寄方式提出申请的件数。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22.</w:t>
      </w:r>
      <w:r>
        <w:rPr>
          <w:rFonts w:hint="eastAsia" w:ascii="宋体" w:hAnsi="宋体" w:eastAsia="宋体" w:cs="Times New Roman"/>
          <w:color w:val="auto"/>
          <w:sz w:val="21"/>
          <w:szCs w:val="21"/>
        </w:rPr>
        <w:t>申请办结数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指对公民、法人或其他组织所提申请办结的总件数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应等于按时办结数和延期办结数</w:t>
      </w:r>
      <w:r>
        <w:rPr>
          <w:rFonts w:ascii="宋体" w:hAnsi="宋体" w:eastAsia="宋体" w:cs="Times New Roman"/>
          <w:color w:val="auto"/>
          <w:sz w:val="21"/>
          <w:szCs w:val="21"/>
        </w:rPr>
        <w:t>2</w:t>
      </w:r>
      <w:r>
        <w:rPr>
          <w:rFonts w:hint="eastAsia" w:ascii="宋体" w:hAnsi="宋体" w:eastAsia="宋体" w:cs="Times New Roman"/>
          <w:color w:val="auto"/>
          <w:sz w:val="21"/>
          <w:szCs w:val="21"/>
        </w:rPr>
        <w:t>项之和</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23.</w:t>
      </w:r>
      <w:r>
        <w:rPr>
          <w:rFonts w:hint="eastAsia" w:ascii="宋体" w:hAnsi="宋体" w:eastAsia="宋体" w:cs="Times New Roman"/>
          <w:color w:val="auto"/>
          <w:sz w:val="21"/>
          <w:szCs w:val="21"/>
        </w:rPr>
        <w:t>按时办结数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指根据《条例》规定</w:t>
      </w:r>
      <w:r>
        <w:rPr>
          <w:rFonts w:ascii="宋体" w:hAnsi="宋体" w:eastAsia="宋体" w:cs="Times New Roman"/>
          <w:color w:val="auto"/>
          <w:sz w:val="21"/>
          <w:szCs w:val="21"/>
        </w:rPr>
        <w:t>,</w:t>
      </w:r>
      <w:r>
        <w:rPr>
          <w:rFonts w:hint="eastAsia" w:ascii="宋体" w:hAnsi="宋体" w:eastAsia="宋体" w:cs="Times New Roman"/>
          <w:color w:val="auto"/>
          <w:sz w:val="21"/>
          <w:szCs w:val="21"/>
        </w:rPr>
        <w:t>自收到申请之日起</w:t>
      </w:r>
      <w:r>
        <w:rPr>
          <w:rFonts w:ascii="宋体" w:hAnsi="宋体" w:eastAsia="宋体" w:cs="Times New Roman"/>
          <w:color w:val="auto"/>
          <w:sz w:val="21"/>
          <w:szCs w:val="21"/>
        </w:rPr>
        <w:t>15</w:t>
      </w:r>
      <w:r>
        <w:rPr>
          <w:rFonts w:hint="eastAsia" w:ascii="宋体" w:hAnsi="宋体" w:eastAsia="宋体" w:cs="Times New Roman"/>
          <w:color w:val="auto"/>
          <w:sz w:val="21"/>
          <w:szCs w:val="21"/>
        </w:rPr>
        <w:t>个工作日内予以答复的件数。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24.</w:t>
      </w:r>
      <w:r>
        <w:rPr>
          <w:rFonts w:hint="eastAsia" w:ascii="宋体" w:hAnsi="宋体" w:eastAsia="宋体" w:cs="Times New Roman"/>
          <w:color w:val="auto"/>
          <w:sz w:val="21"/>
          <w:szCs w:val="21"/>
        </w:rPr>
        <w:t>延期办结数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指根据《条例》规定</w:t>
      </w:r>
      <w:r>
        <w:rPr>
          <w:rFonts w:ascii="宋体" w:hAnsi="宋体" w:eastAsia="宋体" w:cs="Times New Roman"/>
          <w:color w:val="auto"/>
          <w:sz w:val="21"/>
          <w:szCs w:val="21"/>
        </w:rPr>
        <w:t>,</w:t>
      </w:r>
      <w:r>
        <w:rPr>
          <w:rFonts w:hint="eastAsia" w:ascii="宋体" w:hAnsi="宋体" w:eastAsia="宋体" w:cs="Times New Roman"/>
          <w:color w:val="auto"/>
          <w:sz w:val="21"/>
          <w:szCs w:val="21"/>
        </w:rPr>
        <w:t>在延长的</w:t>
      </w:r>
      <w:r>
        <w:rPr>
          <w:rFonts w:ascii="宋体" w:hAnsi="宋体" w:eastAsia="宋体" w:cs="Times New Roman"/>
          <w:color w:val="auto"/>
          <w:sz w:val="21"/>
          <w:szCs w:val="21"/>
        </w:rPr>
        <w:t>15</w:t>
      </w:r>
      <w:r>
        <w:rPr>
          <w:rFonts w:hint="eastAsia" w:ascii="宋体" w:hAnsi="宋体" w:eastAsia="宋体" w:cs="Times New Roman"/>
          <w:color w:val="auto"/>
          <w:sz w:val="21"/>
          <w:szCs w:val="21"/>
        </w:rPr>
        <w:t>个工作日内予以答复的件数。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25.</w:t>
      </w:r>
      <w:r>
        <w:rPr>
          <w:rFonts w:hint="eastAsia" w:ascii="宋体" w:hAnsi="宋体" w:eastAsia="宋体" w:cs="Times New Roman"/>
          <w:color w:val="auto"/>
          <w:sz w:val="21"/>
          <w:szCs w:val="21"/>
        </w:rPr>
        <w:t>申请答复数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指对公民、法人或其他组织所提申请的答复的总件数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应等于属于已主动公开范围数、同意公开答复数、同意部分公开答复数、不同意公开答复数、不属于本行政机关公开数、申请信息不存在数、告知作出更改补充数、告知通过其他途径办理数</w:t>
      </w:r>
      <w:r>
        <w:rPr>
          <w:rFonts w:ascii="宋体" w:hAnsi="宋体" w:eastAsia="宋体" w:cs="Times New Roman"/>
          <w:color w:val="auto"/>
          <w:sz w:val="21"/>
          <w:szCs w:val="21"/>
        </w:rPr>
        <w:t>8</w:t>
      </w:r>
      <w:r>
        <w:rPr>
          <w:rFonts w:hint="eastAsia" w:ascii="宋体" w:hAnsi="宋体" w:eastAsia="宋体" w:cs="Times New Roman"/>
          <w:color w:val="auto"/>
          <w:sz w:val="21"/>
          <w:szCs w:val="21"/>
        </w:rPr>
        <w:t>项之和</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26.</w:t>
      </w:r>
      <w:r>
        <w:rPr>
          <w:rFonts w:hint="eastAsia" w:ascii="宋体" w:hAnsi="宋体" w:eastAsia="宋体" w:cs="Times New Roman"/>
          <w:color w:val="auto"/>
          <w:sz w:val="21"/>
          <w:szCs w:val="21"/>
        </w:rPr>
        <w:t>属于已主动公开范围数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属于已主动公开范围的</w:t>
      </w:r>
      <w:r>
        <w:rPr>
          <w:rFonts w:ascii="宋体" w:hAnsi="宋体" w:eastAsia="宋体" w:cs="Times New Roman"/>
          <w:color w:val="auto"/>
          <w:sz w:val="21"/>
          <w:szCs w:val="21"/>
        </w:rPr>
        <w:t>,</w:t>
      </w:r>
      <w:r>
        <w:rPr>
          <w:rFonts w:hint="eastAsia" w:ascii="宋体" w:hAnsi="宋体" w:eastAsia="宋体" w:cs="Times New Roman"/>
          <w:color w:val="auto"/>
          <w:sz w:val="21"/>
          <w:szCs w:val="21"/>
        </w:rPr>
        <w:t>告知其获取该政府信息方式和途径的答复件数。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27.</w:t>
      </w:r>
      <w:r>
        <w:rPr>
          <w:rFonts w:hint="eastAsia" w:ascii="宋体" w:hAnsi="宋体" w:eastAsia="宋体" w:cs="Times New Roman"/>
          <w:color w:val="auto"/>
          <w:sz w:val="21"/>
          <w:szCs w:val="21"/>
        </w:rPr>
        <w:t>同意公开答复数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作出同意公开的答复件数。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28.</w:t>
      </w:r>
      <w:r>
        <w:rPr>
          <w:rFonts w:hint="eastAsia" w:ascii="宋体" w:hAnsi="宋体" w:eastAsia="宋体" w:cs="Times New Roman"/>
          <w:color w:val="auto"/>
          <w:sz w:val="21"/>
          <w:szCs w:val="21"/>
        </w:rPr>
        <w:t>同意部分公开答复数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作出同意部分公开的答复件数。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29.</w:t>
      </w:r>
      <w:r>
        <w:rPr>
          <w:rFonts w:hint="eastAsia" w:ascii="宋体" w:hAnsi="宋体" w:eastAsia="宋体" w:cs="Times New Roman"/>
          <w:color w:val="auto"/>
          <w:sz w:val="21"/>
          <w:szCs w:val="21"/>
        </w:rPr>
        <w:t>不同意公开答复数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作出不同意公开的答复件数。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30.</w:t>
      </w:r>
      <w:r>
        <w:rPr>
          <w:rFonts w:hint="eastAsia" w:ascii="宋体" w:hAnsi="宋体" w:eastAsia="宋体" w:cs="Times New Roman"/>
          <w:color w:val="auto"/>
          <w:sz w:val="21"/>
          <w:szCs w:val="21"/>
        </w:rPr>
        <w:t>涉及国家秘密</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因涉及国家秘密而不同意公开的答复件数。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31.</w:t>
      </w:r>
      <w:r>
        <w:rPr>
          <w:rFonts w:hint="eastAsia" w:ascii="宋体" w:hAnsi="宋体" w:eastAsia="宋体" w:cs="Times New Roman"/>
          <w:color w:val="auto"/>
          <w:sz w:val="21"/>
          <w:szCs w:val="21"/>
        </w:rPr>
        <w:t>涉及商业秘密</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因涉及商业秘密而不同意公开的答复件数。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32.</w:t>
      </w:r>
      <w:r>
        <w:rPr>
          <w:rFonts w:hint="eastAsia" w:ascii="宋体" w:hAnsi="宋体" w:eastAsia="宋体" w:cs="Times New Roman"/>
          <w:color w:val="auto"/>
          <w:sz w:val="21"/>
          <w:szCs w:val="21"/>
        </w:rPr>
        <w:t>涉及个人隐私</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因涉及个人隐私而不同意公开的答复件数。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33.</w:t>
      </w:r>
      <w:r>
        <w:rPr>
          <w:rFonts w:hint="eastAsia" w:ascii="宋体" w:hAnsi="宋体" w:eastAsia="宋体" w:cs="Times New Roman"/>
          <w:color w:val="auto"/>
          <w:sz w:val="21"/>
          <w:szCs w:val="21"/>
        </w:rPr>
        <w:t>危及国家安全、公共安全、经济安全和社会稳定</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因危及国家安全、公共安全、经济安全和社会稳定而不同意公开的答复件数。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34.</w:t>
      </w:r>
      <w:r>
        <w:rPr>
          <w:rFonts w:hint="eastAsia" w:ascii="宋体" w:hAnsi="宋体" w:eastAsia="宋体" w:cs="Times New Roman"/>
          <w:color w:val="auto"/>
          <w:sz w:val="21"/>
          <w:szCs w:val="21"/>
        </w:rPr>
        <w:t>不是《条例》所指政府信息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告知其不是《条例》所指政府信息的答复件数。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35.</w:t>
      </w:r>
      <w:r>
        <w:rPr>
          <w:rFonts w:hint="eastAsia" w:ascii="宋体" w:hAnsi="宋体" w:eastAsia="宋体" w:cs="Times New Roman"/>
          <w:color w:val="auto"/>
          <w:sz w:val="21"/>
          <w:szCs w:val="21"/>
        </w:rPr>
        <w:t>法律法规规定的其他情形</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因属于法律法规规定的其他情形而不同意公开的答复件数。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36.</w:t>
      </w:r>
      <w:r>
        <w:rPr>
          <w:rFonts w:hint="eastAsia" w:ascii="宋体" w:hAnsi="宋体" w:eastAsia="宋体" w:cs="Times New Roman"/>
          <w:color w:val="auto"/>
          <w:sz w:val="21"/>
          <w:szCs w:val="21"/>
        </w:rPr>
        <w:t>不属于本行政机关公开数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告知其不属于本行政机关公开的答复件数。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37.</w:t>
      </w:r>
      <w:r>
        <w:rPr>
          <w:rFonts w:hint="eastAsia" w:ascii="宋体" w:hAnsi="宋体" w:eastAsia="宋体" w:cs="Times New Roman"/>
          <w:color w:val="auto"/>
          <w:sz w:val="21"/>
          <w:szCs w:val="21"/>
        </w:rPr>
        <w:t>申请信息不存在数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告知其该政府信息不存在的答复件数。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38.</w:t>
      </w:r>
      <w:r>
        <w:rPr>
          <w:rFonts w:hint="eastAsia" w:ascii="宋体" w:hAnsi="宋体" w:eastAsia="宋体" w:cs="Times New Roman"/>
          <w:color w:val="auto"/>
          <w:sz w:val="21"/>
          <w:szCs w:val="21"/>
        </w:rPr>
        <w:t>告知作出更改补充数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因申请内容不明确</w:t>
      </w:r>
      <w:r>
        <w:rPr>
          <w:rFonts w:ascii="宋体" w:hAnsi="宋体" w:eastAsia="宋体" w:cs="Times New Roman"/>
          <w:color w:val="auto"/>
          <w:sz w:val="21"/>
          <w:szCs w:val="21"/>
        </w:rPr>
        <w:t>,</w:t>
      </w:r>
      <w:r>
        <w:rPr>
          <w:rFonts w:hint="eastAsia" w:ascii="宋体" w:hAnsi="宋体" w:eastAsia="宋体" w:cs="Times New Roman"/>
          <w:color w:val="auto"/>
          <w:sz w:val="21"/>
          <w:szCs w:val="21"/>
        </w:rPr>
        <w:t>告知其作出更改、补充的答复件数。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39.</w:t>
      </w:r>
      <w:r>
        <w:rPr>
          <w:rFonts w:hint="eastAsia" w:ascii="宋体" w:hAnsi="宋体" w:eastAsia="宋体" w:cs="Times New Roman"/>
          <w:color w:val="auto"/>
          <w:sz w:val="21"/>
          <w:szCs w:val="21"/>
        </w:rPr>
        <w:t>告知通过其他途径办理数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指对公民、法人或其他组织申请公开的政府信息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告知其应通过咨询、信访、举报等其他途径办理的答复件数。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四、行政复议情况</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40.</w:t>
      </w:r>
      <w:r>
        <w:rPr>
          <w:rFonts w:hint="eastAsia" w:ascii="宋体" w:hAnsi="宋体" w:eastAsia="宋体" w:cs="Times New Roman"/>
          <w:color w:val="auto"/>
          <w:sz w:val="21"/>
          <w:szCs w:val="21"/>
        </w:rPr>
        <w:t>行政复议数量</w:t>
      </w:r>
      <w:r>
        <w:rPr>
          <w:rFonts w:ascii="宋体" w:hAnsi="宋体" w:eastAsia="宋体" w:cs="Times New Roman"/>
          <w:color w:val="auto"/>
          <w:sz w:val="21"/>
          <w:szCs w:val="21"/>
        </w:rPr>
        <w:t>:</w:t>
      </w:r>
      <w:r>
        <w:rPr>
          <w:rFonts w:hint="eastAsia" w:ascii="宋体" w:hAnsi="宋体" w:eastAsia="宋体" w:cs="Times New Roman"/>
          <w:color w:val="auto"/>
          <w:sz w:val="21"/>
          <w:szCs w:val="21"/>
        </w:rPr>
        <w:t>指公民、法人或其他组织认为本单位在政府信息公开工作中的具体行政行为侵犯其合法权益</w:t>
      </w:r>
      <w:r>
        <w:rPr>
          <w:rFonts w:ascii="宋体" w:hAnsi="宋体" w:eastAsia="宋体" w:cs="Times New Roman"/>
          <w:color w:val="auto"/>
          <w:sz w:val="21"/>
          <w:szCs w:val="21"/>
        </w:rPr>
        <w:t>,</w:t>
      </w:r>
      <w:r>
        <w:rPr>
          <w:rFonts w:hint="eastAsia" w:ascii="宋体" w:hAnsi="宋体" w:eastAsia="宋体" w:cs="Times New Roman"/>
          <w:color w:val="auto"/>
          <w:sz w:val="21"/>
          <w:szCs w:val="21"/>
        </w:rPr>
        <w:t>依法申请行政复议且被复议机关受理的件数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应为维持具体行政行为数、被依法纠错数、其他情形数</w:t>
      </w:r>
      <w:r>
        <w:rPr>
          <w:rFonts w:ascii="宋体" w:hAnsi="宋体" w:eastAsia="宋体" w:cs="Times New Roman"/>
          <w:color w:val="auto"/>
          <w:sz w:val="21"/>
          <w:szCs w:val="21"/>
        </w:rPr>
        <w:t>3</w:t>
      </w:r>
      <w:r>
        <w:rPr>
          <w:rFonts w:hint="eastAsia" w:ascii="宋体" w:hAnsi="宋体" w:eastAsia="宋体" w:cs="Times New Roman"/>
          <w:color w:val="auto"/>
          <w:sz w:val="21"/>
          <w:szCs w:val="21"/>
        </w:rPr>
        <w:t>项之和</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41.</w:t>
      </w:r>
      <w:r>
        <w:rPr>
          <w:rFonts w:hint="eastAsia" w:ascii="宋体" w:hAnsi="宋体" w:eastAsia="宋体" w:cs="Times New Roman"/>
          <w:color w:val="auto"/>
          <w:sz w:val="21"/>
          <w:szCs w:val="21"/>
        </w:rPr>
        <w:t>维持具体行政行为数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指已办结的行政复议申请中维持原具体行政行为的件数。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42.</w:t>
      </w:r>
      <w:r>
        <w:rPr>
          <w:rFonts w:hint="eastAsia" w:ascii="宋体" w:hAnsi="宋体" w:eastAsia="宋体" w:cs="Times New Roman"/>
          <w:color w:val="auto"/>
          <w:sz w:val="21"/>
          <w:szCs w:val="21"/>
        </w:rPr>
        <w:t>被依法纠错数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指已办结的行政复议申请中撤销、变更具体行政行为或确认具体行政行为违法、责令重新作出具体行政行为的件数。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43.</w:t>
      </w:r>
      <w:r>
        <w:rPr>
          <w:rFonts w:hint="eastAsia" w:ascii="宋体" w:hAnsi="宋体" w:eastAsia="宋体" w:cs="Times New Roman"/>
          <w:color w:val="auto"/>
          <w:sz w:val="21"/>
          <w:szCs w:val="21"/>
        </w:rPr>
        <w:t>其他情形数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指行政复议申请中除已办结的维持具体行政行为数和被依法纠错数以外情形的件数。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五、行政诉讼情况</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44.</w:t>
      </w:r>
      <w:r>
        <w:rPr>
          <w:rFonts w:hint="eastAsia" w:ascii="宋体" w:hAnsi="宋体" w:eastAsia="宋体" w:cs="Times New Roman"/>
          <w:color w:val="auto"/>
          <w:sz w:val="21"/>
          <w:szCs w:val="21"/>
        </w:rPr>
        <w:t>行政诉讼数量</w:t>
      </w:r>
      <w:r>
        <w:rPr>
          <w:rFonts w:ascii="宋体" w:hAnsi="宋体" w:eastAsia="宋体" w:cs="Times New Roman"/>
          <w:color w:val="auto"/>
          <w:sz w:val="21"/>
          <w:szCs w:val="21"/>
        </w:rPr>
        <w:t>:</w:t>
      </w:r>
      <w:r>
        <w:rPr>
          <w:rFonts w:hint="eastAsia" w:ascii="宋体" w:hAnsi="宋体" w:eastAsia="宋体" w:cs="Times New Roman"/>
          <w:color w:val="auto"/>
          <w:sz w:val="21"/>
          <w:szCs w:val="21"/>
        </w:rPr>
        <w:t>指公民、法人或其他组织认为本单位在政府信息公开工作中的具体行政行为侵犯其合法权益</w:t>
      </w:r>
      <w:r>
        <w:rPr>
          <w:rFonts w:ascii="宋体" w:hAnsi="宋体" w:eastAsia="宋体" w:cs="Times New Roman"/>
          <w:color w:val="auto"/>
          <w:sz w:val="21"/>
          <w:szCs w:val="21"/>
        </w:rPr>
        <w:t>,</w:t>
      </w:r>
      <w:r>
        <w:rPr>
          <w:rFonts w:hint="eastAsia" w:ascii="宋体" w:hAnsi="宋体" w:eastAsia="宋体" w:cs="Times New Roman"/>
          <w:color w:val="auto"/>
          <w:sz w:val="21"/>
          <w:szCs w:val="21"/>
        </w:rPr>
        <w:t>依法提起行政诉讼且被法院受理的件数</w:t>
      </w:r>
      <w:r>
        <w:rPr>
          <w:rFonts w:ascii="宋体" w:hAnsi="宋体" w:eastAsia="宋体" w:cs="Times New Roman"/>
          <w:color w:val="auto"/>
          <w:sz w:val="21"/>
          <w:szCs w:val="21"/>
        </w:rPr>
        <w:t>(</w:t>
      </w:r>
      <w:r>
        <w:rPr>
          <w:rFonts w:hint="eastAsia" w:ascii="宋体" w:hAnsi="宋体" w:eastAsia="宋体" w:cs="Times New Roman"/>
          <w:color w:val="auto"/>
          <w:sz w:val="21"/>
          <w:szCs w:val="21"/>
        </w:rPr>
        <w:t>应为维持具体行政行为或者驳回原告诉讼请求数、被依法纠错数、其他情形数</w:t>
      </w:r>
      <w:r>
        <w:rPr>
          <w:rFonts w:ascii="宋体" w:hAnsi="宋体" w:eastAsia="宋体" w:cs="Times New Roman"/>
          <w:color w:val="auto"/>
          <w:sz w:val="21"/>
          <w:szCs w:val="21"/>
        </w:rPr>
        <w:t>3</w:t>
      </w:r>
      <w:r>
        <w:rPr>
          <w:rFonts w:hint="eastAsia" w:ascii="宋体" w:hAnsi="宋体" w:eastAsia="宋体" w:cs="Times New Roman"/>
          <w:color w:val="auto"/>
          <w:sz w:val="21"/>
          <w:szCs w:val="21"/>
        </w:rPr>
        <w:t>项之和</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45.</w:t>
      </w:r>
      <w:r>
        <w:rPr>
          <w:rFonts w:hint="eastAsia" w:ascii="宋体" w:hAnsi="宋体" w:eastAsia="宋体" w:cs="Times New Roman"/>
          <w:color w:val="auto"/>
          <w:sz w:val="21"/>
          <w:szCs w:val="21"/>
        </w:rPr>
        <w:t>维持具体行政行为或者驳回原告诉讼请求数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指法院判决维持原具体行政行为或者驳回原告诉讼请求的件数。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46.</w:t>
      </w:r>
      <w:r>
        <w:rPr>
          <w:rFonts w:hint="eastAsia" w:ascii="宋体" w:hAnsi="宋体" w:eastAsia="宋体" w:cs="Times New Roman"/>
          <w:color w:val="auto"/>
          <w:sz w:val="21"/>
          <w:szCs w:val="21"/>
        </w:rPr>
        <w:t>被依法纠错数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指法院判决或裁定撤销、变更具体行政行为或确认具体行政行为违法、责令重新作出具体行政行为的件数。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47.</w:t>
      </w:r>
      <w:r>
        <w:rPr>
          <w:rFonts w:hint="eastAsia" w:ascii="宋体" w:hAnsi="宋体" w:eastAsia="宋体" w:cs="Times New Roman"/>
          <w:color w:val="auto"/>
          <w:sz w:val="21"/>
          <w:szCs w:val="21"/>
        </w:rPr>
        <w:t>其他情形数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指除维持具体行政行为或者驳回原告诉讼请求数和被依法纠错数以外情形的件数。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六、举报投诉情况</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48.</w:t>
      </w:r>
      <w:r>
        <w:rPr>
          <w:rFonts w:hint="eastAsia" w:ascii="宋体" w:hAnsi="宋体" w:eastAsia="宋体" w:cs="Times New Roman"/>
          <w:color w:val="auto"/>
          <w:sz w:val="21"/>
          <w:szCs w:val="21"/>
        </w:rPr>
        <w:t>举报投诉数量</w:t>
      </w:r>
      <w:r>
        <w:rPr>
          <w:rFonts w:ascii="宋体" w:hAnsi="宋体" w:eastAsia="宋体" w:cs="Times New Roman"/>
          <w:color w:val="auto"/>
          <w:sz w:val="21"/>
          <w:szCs w:val="21"/>
        </w:rPr>
        <w:t>:</w:t>
      </w:r>
      <w:r>
        <w:rPr>
          <w:rFonts w:hint="eastAsia" w:ascii="宋体" w:hAnsi="宋体" w:eastAsia="宋体" w:cs="Times New Roman"/>
          <w:color w:val="auto"/>
          <w:sz w:val="21"/>
          <w:szCs w:val="21"/>
        </w:rPr>
        <w:t>指本地区、本部门、本单位收到公民、法人或其他组织提出政府信息公开相关举报或投诉</w:t>
      </w:r>
      <w:r>
        <w:rPr>
          <w:rFonts w:ascii="宋体" w:hAnsi="宋体" w:eastAsia="宋体" w:cs="Times New Roman"/>
          <w:color w:val="auto"/>
          <w:sz w:val="21"/>
          <w:szCs w:val="21"/>
        </w:rPr>
        <w:t>,</w:t>
      </w:r>
      <w:r>
        <w:rPr>
          <w:rFonts w:hint="eastAsia" w:ascii="宋体" w:hAnsi="宋体" w:eastAsia="宋体" w:cs="Times New Roman"/>
          <w:color w:val="auto"/>
          <w:sz w:val="21"/>
          <w:szCs w:val="21"/>
        </w:rPr>
        <w:t>且予以受理的件数。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七、依申请公开信息收取的费用</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49.</w:t>
      </w:r>
      <w:r>
        <w:rPr>
          <w:rFonts w:hint="eastAsia" w:ascii="宋体" w:hAnsi="宋体" w:eastAsia="宋体" w:cs="Times New Roman"/>
          <w:color w:val="auto"/>
          <w:sz w:val="21"/>
          <w:szCs w:val="21"/>
        </w:rPr>
        <w:t>依申请公开信息收取的费用</w:t>
      </w:r>
      <w:r>
        <w:rPr>
          <w:rFonts w:ascii="宋体" w:hAnsi="宋体" w:eastAsia="宋体" w:cs="Times New Roman"/>
          <w:color w:val="auto"/>
          <w:sz w:val="21"/>
          <w:szCs w:val="21"/>
        </w:rPr>
        <w:t>:</w:t>
      </w:r>
      <w:r>
        <w:rPr>
          <w:rFonts w:hint="eastAsia" w:ascii="宋体" w:hAnsi="宋体" w:eastAsia="宋体" w:cs="Times New Roman"/>
          <w:color w:val="auto"/>
          <w:sz w:val="21"/>
          <w:szCs w:val="21"/>
        </w:rPr>
        <w:t>指依申请提供政府信息</w:t>
      </w:r>
      <w:r>
        <w:rPr>
          <w:rFonts w:ascii="宋体" w:hAnsi="宋体" w:eastAsia="宋体" w:cs="Times New Roman"/>
          <w:color w:val="auto"/>
          <w:sz w:val="21"/>
          <w:szCs w:val="21"/>
        </w:rPr>
        <w:t>,</w:t>
      </w:r>
      <w:r>
        <w:rPr>
          <w:rFonts w:hint="eastAsia" w:ascii="宋体" w:hAnsi="宋体" w:eastAsia="宋体" w:cs="Times New Roman"/>
          <w:color w:val="auto"/>
          <w:sz w:val="21"/>
          <w:szCs w:val="21"/>
        </w:rPr>
        <w:t>收取的检索、复制、邮寄等费用总金额。</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八、机构建设和保障经费情况</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50.</w:t>
      </w:r>
      <w:r>
        <w:rPr>
          <w:rFonts w:hint="eastAsia" w:ascii="宋体" w:hAnsi="宋体" w:eastAsia="宋体" w:cs="Times New Roman"/>
          <w:color w:val="auto"/>
          <w:sz w:val="21"/>
          <w:szCs w:val="21"/>
        </w:rPr>
        <w:t>政府信息公开工作专门机构数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指按照《条例》规定确定承担政府信息公开日常工作的专门机构个数。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51.</w:t>
      </w:r>
      <w:r>
        <w:rPr>
          <w:rFonts w:hint="eastAsia" w:ascii="宋体" w:hAnsi="宋体" w:eastAsia="宋体" w:cs="Times New Roman"/>
          <w:color w:val="auto"/>
          <w:sz w:val="21"/>
          <w:szCs w:val="21"/>
        </w:rPr>
        <w:t>设置政府信息公开查阅点数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指按照《条例》要求设置的为公民、法人或其他组织提供政府信息公开查阅的场所总个数。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52.</w:t>
      </w:r>
      <w:r>
        <w:rPr>
          <w:rFonts w:hint="eastAsia" w:ascii="宋体" w:hAnsi="宋体" w:eastAsia="宋体" w:cs="Times New Roman"/>
          <w:color w:val="auto"/>
          <w:sz w:val="21"/>
          <w:szCs w:val="21"/>
        </w:rPr>
        <w:t>从事政府信息公开工作人员数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指具体承担政府信息公开工作人员人数</w:t>
      </w:r>
      <w:r>
        <w:rPr>
          <w:rFonts w:ascii="宋体" w:hAnsi="宋体" w:eastAsia="宋体" w:cs="Times New Roman"/>
          <w:color w:val="auto"/>
          <w:sz w:val="21"/>
          <w:szCs w:val="21"/>
        </w:rPr>
        <w:t>(</w:t>
      </w:r>
      <w:r>
        <w:rPr>
          <w:rFonts w:hint="eastAsia" w:ascii="宋体" w:hAnsi="宋体" w:eastAsia="宋体" w:cs="Times New Roman"/>
          <w:color w:val="auto"/>
          <w:sz w:val="21"/>
          <w:szCs w:val="21"/>
        </w:rPr>
        <w:t>应为专职人员数和兼职人员数</w:t>
      </w:r>
      <w:r>
        <w:rPr>
          <w:rFonts w:ascii="宋体" w:hAnsi="宋体" w:eastAsia="宋体" w:cs="Times New Roman"/>
          <w:color w:val="auto"/>
          <w:sz w:val="21"/>
          <w:szCs w:val="21"/>
        </w:rPr>
        <w:t>2</w:t>
      </w:r>
      <w:r>
        <w:rPr>
          <w:rFonts w:hint="eastAsia" w:ascii="宋体" w:hAnsi="宋体" w:eastAsia="宋体" w:cs="Times New Roman"/>
          <w:color w:val="auto"/>
          <w:sz w:val="21"/>
          <w:szCs w:val="21"/>
        </w:rPr>
        <w:t>项之和</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53.</w:t>
      </w:r>
      <w:r>
        <w:rPr>
          <w:rFonts w:hint="eastAsia" w:ascii="宋体" w:hAnsi="宋体" w:eastAsia="宋体" w:cs="Times New Roman"/>
          <w:color w:val="auto"/>
          <w:sz w:val="21"/>
          <w:szCs w:val="21"/>
        </w:rPr>
        <w:t>专职人员数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指专门承担政府信息公开工作的工作人员人数</w:t>
      </w:r>
      <w:r>
        <w:rPr>
          <w:rFonts w:ascii="宋体" w:hAnsi="宋体" w:eastAsia="宋体" w:cs="Times New Roman"/>
          <w:color w:val="auto"/>
          <w:sz w:val="21"/>
          <w:szCs w:val="21"/>
        </w:rPr>
        <w:t>(</w:t>
      </w:r>
      <w:r>
        <w:rPr>
          <w:rFonts w:hint="eastAsia" w:ascii="宋体" w:hAnsi="宋体" w:eastAsia="宋体" w:cs="Times New Roman"/>
          <w:color w:val="auto"/>
          <w:sz w:val="21"/>
          <w:szCs w:val="21"/>
        </w:rPr>
        <w:t>不包括政府公报及政府网站工作人员数</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54.</w:t>
      </w:r>
      <w:r>
        <w:rPr>
          <w:rFonts w:hint="eastAsia" w:ascii="宋体" w:hAnsi="宋体" w:eastAsia="宋体" w:cs="Times New Roman"/>
          <w:color w:val="auto"/>
          <w:sz w:val="21"/>
          <w:szCs w:val="21"/>
        </w:rPr>
        <w:t>兼职人员数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指在承担其他工作的同时承担政府信息公开工作的工作人员人数。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55.</w:t>
      </w:r>
      <w:r>
        <w:rPr>
          <w:rFonts w:hint="eastAsia" w:ascii="宋体" w:hAnsi="宋体" w:eastAsia="宋体" w:cs="Times New Roman"/>
          <w:color w:val="auto"/>
          <w:sz w:val="21"/>
          <w:szCs w:val="21"/>
        </w:rPr>
        <w:t>政府信息公开专项经费</w:t>
      </w:r>
      <w:r>
        <w:rPr>
          <w:rFonts w:ascii="宋体" w:hAnsi="宋体" w:eastAsia="宋体" w:cs="Times New Roman"/>
          <w:color w:val="auto"/>
          <w:sz w:val="21"/>
          <w:szCs w:val="21"/>
        </w:rPr>
        <w:t>:</w:t>
      </w:r>
      <w:r>
        <w:rPr>
          <w:rFonts w:hint="eastAsia" w:ascii="宋体" w:hAnsi="宋体" w:eastAsia="宋体" w:cs="Times New Roman"/>
          <w:color w:val="auto"/>
          <w:sz w:val="21"/>
          <w:szCs w:val="21"/>
        </w:rPr>
        <w:t>指行政机关为处理政府信息公开事务而纳入财政预算的专项经费</w:t>
      </w:r>
      <w:r>
        <w:rPr>
          <w:rFonts w:ascii="宋体" w:hAnsi="宋体" w:eastAsia="宋体" w:cs="Times New Roman"/>
          <w:color w:val="auto"/>
          <w:sz w:val="21"/>
          <w:szCs w:val="21"/>
        </w:rPr>
        <w:t>(</w:t>
      </w:r>
      <w:r>
        <w:rPr>
          <w:rFonts w:hint="eastAsia" w:ascii="宋体" w:hAnsi="宋体" w:eastAsia="宋体" w:cs="Times New Roman"/>
          <w:color w:val="auto"/>
          <w:sz w:val="21"/>
          <w:szCs w:val="21"/>
        </w:rPr>
        <w:t>不包括用于政府公报编辑管理及政府网站建设维护等方面的经费</w:t>
      </w:r>
      <w:r>
        <w:rPr>
          <w:rFonts w:ascii="宋体" w:hAnsi="宋体" w:eastAsia="宋体" w:cs="Times New Roman"/>
          <w:color w:val="auto"/>
          <w:sz w:val="21"/>
          <w:szCs w:val="21"/>
        </w:rPr>
        <w:t>)</w:t>
      </w:r>
      <w:r>
        <w:rPr>
          <w:rFonts w:hint="eastAsia" w:ascii="宋体" w:hAnsi="宋体" w:eastAsia="宋体" w:cs="Times New Roman"/>
          <w:color w:val="auto"/>
          <w:sz w:val="21"/>
          <w:szCs w:val="21"/>
        </w:rPr>
        <w:t>。</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九、政府信息公开会议和培训情况</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56.</w:t>
      </w:r>
      <w:r>
        <w:rPr>
          <w:rFonts w:hint="eastAsia" w:ascii="宋体" w:hAnsi="宋体" w:eastAsia="宋体" w:cs="Times New Roman"/>
          <w:color w:val="auto"/>
          <w:sz w:val="21"/>
          <w:szCs w:val="21"/>
        </w:rPr>
        <w:t>召开政府信息公开工作会议或专题会议数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指召开涉及政府信息公开方面的工作会议或专题会议的次数。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57.</w:t>
      </w:r>
      <w:r>
        <w:rPr>
          <w:rFonts w:hint="eastAsia" w:ascii="宋体" w:hAnsi="宋体" w:eastAsia="宋体" w:cs="Times New Roman"/>
          <w:color w:val="auto"/>
          <w:sz w:val="21"/>
          <w:szCs w:val="21"/>
        </w:rPr>
        <w:t>举办各类培训班数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指围绕政府信息公开业务举办的各类短期、中期、长期培训班次数。</w:t>
      </w:r>
    </w:p>
    <w:p>
      <w:pPr>
        <w:pStyle w:val="8"/>
        <w:spacing w:line="360" w:lineRule="auto"/>
        <w:rPr>
          <w:rFonts w:ascii="宋体" w:hAnsi="宋体" w:eastAsia="宋体" w:cs="Times New Roman"/>
          <w:color w:val="auto"/>
          <w:sz w:val="21"/>
          <w:szCs w:val="21"/>
        </w:rPr>
      </w:pPr>
      <w:r>
        <w:rPr>
          <w:rFonts w:hint="eastAsia" w:ascii="宋体" w:hAnsi="宋体" w:eastAsia="宋体" w:cs="Times New Roman"/>
          <w:color w:val="auto"/>
          <w:sz w:val="21"/>
          <w:szCs w:val="21"/>
        </w:rPr>
        <w:t>　　</w:t>
      </w:r>
      <w:r>
        <w:rPr>
          <w:rFonts w:ascii="宋体" w:hAnsi="宋体" w:eastAsia="宋体" w:cs="Times New Roman"/>
          <w:color w:val="auto"/>
          <w:sz w:val="21"/>
          <w:szCs w:val="21"/>
        </w:rPr>
        <w:t>58.</w:t>
      </w:r>
      <w:r>
        <w:rPr>
          <w:rFonts w:hint="eastAsia" w:ascii="宋体" w:hAnsi="宋体" w:eastAsia="宋体" w:cs="Times New Roman"/>
          <w:color w:val="auto"/>
          <w:sz w:val="21"/>
          <w:szCs w:val="21"/>
        </w:rPr>
        <w:t>接受培训人员数</w:t>
      </w:r>
      <w:r>
        <w:rPr>
          <w:rFonts w:ascii="宋体" w:hAnsi="宋体" w:eastAsia="宋体" w:cs="Times New Roman"/>
          <w:color w:val="auto"/>
          <w:sz w:val="21"/>
          <w:szCs w:val="21"/>
        </w:rPr>
        <w:t>:</w:t>
      </w:r>
      <w:r>
        <w:rPr>
          <w:rFonts w:hint="eastAsia" w:ascii="宋体" w:hAnsi="宋体" w:eastAsia="宋体" w:cs="Times New Roman"/>
          <w:color w:val="auto"/>
          <w:sz w:val="21"/>
          <w:szCs w:val="21"/>
        </w:rPr>
        <w:t>指到政府信息公开业务培训班接受培训的工作人员人次数。</w:t>
      </w:r>
    </w:p>
    <w:p>
      <w:pPr>
        <w:pStyle w:val="8"/>
        <w:spacing w:line="360" w:lineRule="auto"/>
        <w:rPr>
          <w:rFonts w:ascii="宋体" w:hAnsi="宋体" w:eastAsia="宋体" w:cs="Times New Roman"/>
          <w:sz w:val="21"/>
          <w:szCs w:val="21"/>
        </w:rPr>
      </w:pPr>
      <w:r>
        <w:rPr>
          <w:rFonts w:hint="eastAsia" w:ascii="宋体" w:hAnsi="宋体" w:eastAsia="宋体" w:cs="Times New Roman"/>
          <w:color w:val="auto"/>
          <w:sz w:val="21"/>
          <w:szCs w:val="21"/>
        </w:rPr>
        <w:t>　　除特别说明外</w:t>
      </w:r>
      <w:r>
        <w:rPr>
          <w:rFonts w:ascii="宋体" w:hAnsi="宋体" w:eastAsia="宋体" w:cs="Times New Roman"/>
          <w:color w:val="auto"/>
          <w:sz w:val="21"/>
          <w:szCs w:val="21"/>
        </w:rPr>
        <w:t>,</w:t>
      </w:r>
      <w:r>
        <w:rPr>
          <w:rFonts w:hint="eastAsia" w:ascii="宋体" w:hAnsi="宋体" w:eastAsia="宋体" w:cs="Times New Roman"/>
          <w:color w:val="auto"/>
          <w:sz w:val="21"/>
          <w:szCs w:val="21"/>
        </w:rPr>
        <w:t>报表中如没有需填报的数据</w:t>
      </w:r>
      <w:r>
        <w:rPr>
          <w:rFonts w:ascii="宋体" w:hAnsi="宋体" w:eastAsia="宋体" w:cs="Times New Roman"/>
          <w:color w:val="auto"/>
          <w:sz w:val="21"/>
          <w:szCs w:val="21"/>
        </w:rPr>
        <w:t>,</w:t>
      </w:r>
      <w:r>
        <w:rPr>
          <w:rFonts w:hint="eastAsia" w:ascii="宋体" w:hAnsi="宋体" w:eastAsia="宋体" w:cs="Times New Roman"/>
          <w:color w:val="auto"/>
          <w:sz w:val="21"/>
          <w:szCs w:val="21"/>
        </w:rPr>
        <w:t>则填</w:t>
      </w:r>
      <w:r>
        <w:rPr>
          <w:rFonts w:ascii="宋体" w:hAnsi="宋体" w:eastAsia="宋体" w:cs="Times New Roman"/>
          <w:color w:val="auto"/>
          <w:sz w:val="21"/>
          <w:szCs w:val="21"/>
        </w:rPr>
        <w:t>“0”;</w:t>
      </w:r>
      <w:r>
        <w:rPr>
          <w:rFonts w:hint="eastAsia" w:ascii="宋体" w:hAnsi="宋体" w:eastAsia="宋体" w:cs="Times New Roman"/>
          <w:color w:val="auto"/>
          <w:sz w:val="21"/>
          <w:szCs w:val="21"/>
        </w:rPr>
        <w:t>涉及费用或经费的数据按</w:t>
      </w:r>
      <w:r>
        <w:rPr>
          <w:rFonts w:ascii="宋体" w:hAnsi="宋体" w:eastAsia="宋体" w:cs="Times New Roman"/>
          <w:color w:val="auto"/>
          <w:sz w:val="21"/>
          <w:szCs w:val="21"/>
        </w:rPr>
        <w:t>“</w:t>
      </w:r>
      <w:r>
        <w:rPr>
          <w:rFonts w:hint="eastAsia" w:ascii="宋体" w:hAnsi="宋体" w:eastAsia="宋体" w:cs="Times New Roman"/>
          <w:color w:val="auto"/>
          <w:sz w:val="21"/>
          <w:szCs w:val="21"/>
        </w:rPr>
        <w:t>四舍五入</w:t>
      </w:r>
      <w:r>
        <w:rPr>
          <w:rFonts w:ascii="宋体" w:hAnsi="宋体" w:eastAsia="宋体" w:cs="Times New Roman"/>
          <w:color w:val="auto"/>
          <w:sz w:val="21"/>
          <w:szCs w:val="21"/>
        </w:rPr>
        <w:t>”</w:t>
      </w:r>
      <w:r>
        <w:rPr>
          <w:rFonts w:hint="eastAsia" w:ascii="宋体" w:hAnsi="宋体" w:eastAsia="宋体" w:cs="Times New Roman"/>
          <w:color w:val="auto"/>
          <w:sz w:val="21"/>
          <w:szCs w:val="21"/>
        </w:rPr>
        <w:t>原则保留两位小数。</w:t>
      </w:r>
    </w:p>
    <w:sectPr>
      <w:footerReference r:id="rId3" w:type="default"/>
      <w:pgSz w:w="11907" w:h="16840"/>
      <w:pgMar w:top="1701" w:right="1474" w:bottom="851" w:left="158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 Extra BSK">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3 -</w:t>
    </w:r>
    <w:r>
      <w:rPr>
        <w:rFonts w:ascii="Times New Roman" w:hAnsi="Times New Roman"/>
        <w:sz w:val="32"/>
        <w:szCs w:val="32"/>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EE"/>
    <w:rsid w:val="001E372B"/>
    <w:rsid w:val="002B5841"/>
    <w:rsid w:val="002C5B60"/>
    <w:rsid w:val="00322437"/>
    <w:rsid w:val="003A7DAC"/>
    <w:rsid w:val="003D0437"/>
    <w:rsid w:val="00490626"/>
    <w:rsid w:val="0068638C"/>
    <w:rsid w:val="00777FEE"/>
    <w:rsid w:val="00796BB6"/>
    <w:rsid w:val="00846887"/>
    <w:rsid w:val="008D12FC"/>
    <w:rsid w:val="00B00E8A"/>
    <w:rsid w:val="00C70B88"/>
    <w:rsid w:val="00E4116C"/>
    <w:rsid w:val="00F579DF"/>
    <w:rsid w:val="00FC71F7"/>
    <w:rsid w:val="049E2A2A"/>
    <w:rsid w:val="0C722700"/>
    <w:rsid w:val="20742F36"/>
    <w:rsid w:val="25E14925"/>
    <w:rsid w:val="2BD6519E"/>
    <w:rsid w:val="337C0C9F"/>
    <w:rsid w:val="39CB7099"/>
    <w:rsid w:val="625E7BA1"/>
    <w:rsid w:val="66E36374"/>
    <w:rsid w:val="71774DC7"/>
    <w:rsid w:val="76AB1C76"/>
    <w:rsid w:val="782569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2"/>
    <w:semiHidden/>
    <w:unhideWhenUsed/>
    <w:qFormat/>
    <w:uiPriority w:val="99"/>
    <w:rPr>
      <w:sz w:val="18"/>
      <w:szCs w:val="18"/>
    </w:rPr>
  </w:style>
  <w:style w:type="paragraph" w:styleId="3">
    <w:name w:val="footer"/>
    <w:basedOn w:val="1"/>
    <w:link w:val="21"/>
    <w:unhideWhenUsed/>
    <w:qFormat/>
    <w:uiPriority w:val="99"/>
    <w:pPr>
      <w:tabs>
        <w:tab w:val="center" w:pos="4153"/>
        <w:tab w:val="right" w:pos="8306"/>
      </w:tabs>
      <w:snapToGrid w:val="0"/>
      <w:jc w:val="left"/>
    </w:pPr>
    <w:rPr>
      <w:sz w:val="18"/>
      <w:szCs w:val="18"/>
    </w:rPr>
  </w:style>
  <w:style w:type="paragraph" w:styleId="4">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customStyle="1" w:styleId="8">
    <w:name w:val="Default"/>
    <w:qFormat/>
    <w:uiPriority w:val="99"/>
    <w:pPr>
      <w:widowControl w:val="0"/>
      <w:autoSpaceDE w:val="0"/>
      <w:autoSpaceDN w:val="0"/>
      <w:adjustRightInd w:val="0"/>
    </w:pPr>
    <w:rPr>
      <w:rFonts w:ascii="FZ Extra BSK" w:hAnsi="Calibri" w:eastAsia="FZ Extra BSK" w:cs="FZ Extra BSK"/>
      <w:color w:val="000000"/>
      <w:sz w:val="24"/>
      <w:szCs w:val="24"/>
      <w:lang w:val="en-US" w:eastAsia="zh-CN" w:bidi="ar-SA"/>
    </w:rPr>
  </w:style>
  <w:style w:type="paragraph" w:customStyle="1" w:styleId="9">
    <w:name w:val="CM1"/>
    <w:basedOn w:val="8"/>
    <w:next w:val="8"/>
    <w:qFormat/>
    <w:uiPriority w:val="99"/>
    <w:rPr>
      <w:rFonts w:cs="Times New Roman"/>
      <w:color w:val="auto"/>
    </w:rPr>
  </w:style>
  <w:style w:type="paragraph" w:customStyle="1" w:styleId="10">
    <w:name w:val="CM8"/>
    <w:basedOn w:val="8"/>
    <w:next w:val="8"/>
    <w:qFormat/>
    <w:uiPriority w:val="99"/>
    <w:pPr>
      <w:spacing w:after="255"/>
    </w:pPr>
    <w:rPr>
      <w:rFonts w:cs="Times New Roman"/>
      <w:color w:val="auto"/>
    </w:rPr>
  </w:style>
  <w:style w:type="paragraph" w:customStyle="1" w:styleId="11">
    <w:name w:val="CM2"/>
    <w:basedOn w:val="8"/>
    <w:next w:val="8"/>
    <w:qFormat/>
    <w:uiPriority w:val="99"/>
    <w:pPr>
      <w:spacing w:line="598" w:lineRule="atLeast"/>
    </w:pPr>
    <w:rPr>
      <w:rFonts w:cs="Times New Roman"/>
      <w:color w:val="auto"/>
    </w:rPr>
  </w:style>
  <w:style w:type="paragraph" w:customStyle="1" w:styleId="12">
    <w:name w:val="CM3"/>
    <w:basedOn w:val="8"/>
    <w:next w:val="8"/>
    <w:qFormat/>
    <w:uiPriority w:val="99"/>
    <w:pPr>
      <w:spacing w:line="593" w:lineRule="atLeast"/>
    </w:pPr>
    <w:rPr>
      <w:rFonts w:cs="Times New Roman"/>
      <w:color w:val="auto"/>
    </w:rPr>
  </w:style>
  <w:style w:type="paragraph" w:customStyle="1" w:styleId="13">
    <w:name w:val="CM4"/>
    <w:basedOn w:val="8"/>
    <w:next w:val="8"/>
    <w:qFormat/>
    <w:uiPriority w:val="99"/>
    <w:pPr>
      <w:spacing w:line="593" w:lineRule="atLeast"/>
    </w:pPr>
    <w:rPr>
      <w:rFonts w:cs="Times New Roman"/>
      <w:color w:val="auto"/>
    </w:rPr>
  </w:style>
  <w:style w:type="paragraph" w:customStyle="1" w:styleId="14">
    <w:name w:val="CM9"/>
    <w:basedOn w:val="8"/>
    <w:next w:val="8"/>
    <w:qFormat/>
    <w:uiPriority w:val="99"/>
    <w:pPr>
      <w:spacing w:after="572"/>
    </w:pPr>
    <w:rPr>
      <w:rFonts w:cs="Times New Roman"/>
      <w:color w:val="auto"/>
    </w:rPr>
  </w:style>
  <w:style w:type="paragraph" w:customStyle="1" w:styleId="15">
    <w:name w:val="CM5"/>
    <w:basedOn w:val="8"/>
    <w:next w:val="8"/>
    <w:qFormat/>
    <w:uiPriority w:val="99"/>
    <w:pPr>
      <w:spacing w:line="593" w:lineRule="atLeast"/>
    </w:pPr>
    <w:rPr>
      <w:rFonts w:cs="Times New Roman"/>
      <w:color w:val="auto"/>
    </w:rPr>
  </w:style>
  <w:style w:type="paragraph" w:customStyle="1" w:styleId="16">
    <w:name w:val="CM6"/>
    <w:basedOn w:val="8"/>
    <w:next w:val="8"/>
    <w:qFormat/>
    <w:uiPriority w:val="99"/>
    <w:rPr>
      <w:rFonts w:cs="Times New Roman"/>
      <w:color w:val="auto"/>
    </w:rPr>
  </w:style>
  <w:style w:type="paragraph" w:customStyle="1" w:styleId="17">
    <w:name w:val="CM10"/>
    <w:basedOn w:val="8"/>
    <w:next w:val="8"/>
    <w:uiPriority w:val="99"/>
    <w:pPr>
      <w:spacing w:after="188"/>
    </w:pPr>
    <w:rPr>
      <w:rFonts w:cs="Times New Roman"/>
      <w:color w:val="auto"/>
    </w:rPr>
  </w:style>
  <w:style w:type="paragraph" w:customStyle="1" w:styleId="18">
    <w:name w:val="CM7"/>
    <w:basedOn w:val="8"/>
    <w:next w:val="8"/>
    <w:qFormat/>
    <w:uiPriority w:val="99"/>
    <w:rPr>
      <w:rFonts w:cs="Times New Roman"/>
      <w:color w:val="auto"/>
    </w:rPr>
  </w:style>
  <w:style w:type="paragraph" w:customStyle="1" w:styleId="19">
    <w:name w:val="CM11"/>
    <w:basedOn w:val="8"/>
    <w:next w:val="8"/>
    <w:qFormat/>
    <w:uiPriority w:val="99"/>
    <w:pPr>
      <w:spacing w:after="840"/>
    </w:pPr>
    <w:rPr>
      <w:rFonts w:cs="Times New Roman"/>
      <w:color w:val="auto"/>
    </w:rPr>
  </w:style>
  <w:style w:type="character" w:customStyle="1" w:styleId="20">
    <w:name w:val="页眉 Char"/>
    <w:basedOn w:val="6"/>
    <w:link w:val="4"/>
    <w:semiHidden/>
    <w:qFormat/>
    <w:locked/>
    <w:uiPriority w:val="99"/>
    <w:rPr>
      <w:rFonts w:cs="Times New Roman"/>
      <w:sz w:val="18"/>
      <w:szCs w:val="18"/>
    </w:rPr>
  </w:style>
  <w:style w:type="character" w:customStyle="1" w:styleId="21">
    <w:name w:val="页脚 Char"/>
    <w:basedOn w:val="6"/>
    <w:link w:val="3"/>
    <w:qFormat/>
    <w:locked/>
    <w:uiPriority w:val="99"/>
    <w:rPr>
      <w:rFonts w:cs="Times New Roman"/>
      <w:sz w:val="18"/>
      <w:szCs w:val="18"/>
    </w:rPr>
  </w:style>
  <w:style w:type="character" w:customStyle="1" w:styleId="2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5252</Words>
  <Characters>789</Characters>
  <Lines>6</Lines>
  <Paragraphs>12</Paragraphs>
  <TotalTime>75</TotalTime>
  <ScaleCrop>false</ScaleCrop>
  <LinksUpToDate>false</LinksUpToDate>
  <CharactersWithSpaces>6029</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2019-01-14T07:34:00Z</dcterms:created>
  <dc:creator>作者</dc:creator>
  <cp:keywords>关键字</cp:keywords>
  <cp:lastModifiedBy>hh</cp:lastModifiedBy>
  <cp:lastPrinted>2019-01-14T07:40:00Z</cp:lastPrinted>
  <dcterms:modified xsi:type="dcterms:W3CDTF">2019-03-21T03:10:22Z</dcterms:modified>
  <dc:subject>科目</dc:subject>
  <dc:title>标题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