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default" w:ascii="Times New Roman" w:hAnsi="Times New Roman" w:eastAsia="方正小标宋简体" w:cs="Times New Roman"/>
          <w:b w:val="0"/>
          <w:bCs/>
          <w:i w:val="0"/>
          <w:caps w:val="0"/>
          <w:color w:val="000000" w:themeColor="text1"/>
          <w:spacing w:val="-17"/>
          <w:sz w:val="44"/>
          <w:szCs w:val="44"/>
          <w:shd w:val="clear" w:color="auto" w:fill="FFFFFF"/>
          <w:lang w:val="en-US" w:eastAsia="zh-CN"/>
          <w14:textFill>
            <w14:solidFill>
              <w14:schemeClr w14:val="tx1"/>
            </w14:solidFill>
          </w14:textFill>
        </w:rPr>
      </w:pPr>
      <w:r>
        <w:rPr>
          <w:rFonts w:hint="default" w:ascii="Times New Roman" w:hAnsi="Times New Roman" w:eastAsia="方正小标宋简体" w:cs="Times New Roman"/>
          <w:b w:val="0"/>
          <w:bCs/>
          <w:i w:val="0"/>
          <w:caps w:val="0"/>
          <w:color w:val="000000" w:themeColor="text1"/>
          <w:spacing w:val="-17"/>
          <w:sz w:val="44"/>
          <w:szCs w:val="44"/>
          <w:shd w:val="clear" w:color="auto" w:fill="FFFFFF"/>
          <w:lang w:val="en-US" w:eastAsia="zh-CN"/>
          <w14:textFill>
            <w14:solidFill>
              <w14:schemeClr w14:val="tx1"/>
            </w14:solidFill>
          </w14:textFill>
        </w:rPr>
        <w:t>淄博市淄川区退役军人事务局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default" w:ascii="Times New Roman" w:hAnsi="Times New Roman" w:eastAsia="方正小标宋简体" w:cs="Times New Roman"/>
          <w:b w:val="0"/>
          <w:bCs/>
          <w:i w:val="0"/>
          <w:caps w:val="0"/>
          <w:color w:val="000000" w:themeColor="text1"/>
          <w:spacing w:val="0"/>
          <w:sz w:val="44"/>
          <w:szCs w:val="44"/>
          <w:shd w:val="clear" w:color="auto" w:fill="FFFFFF"/>
          <w:lang w:eastAsia="zh-CN"/>
          <w14:textFill>
            <w14:solidFill>
              <w14:schemeClr w14:val="tx1"/>
            </w14:solidFill>
          </w14:textFill>
        </w:rPr>
      </w:pPr>
      <w:r>
        <w:rPr>
          <w:rFonts w:hint="default" w:ascii="Times New Roman" w:hAnsi="Times New Roman" w:eastAsia="方正小标宋简体" w:cs="Times New Roman"/>
          <w:b w:val="0"/>
          <w:bCs/>
          <w:i w:val="0"/>
          <w:caps w:val="0"/>
          <w:color w:val="000000" w:themeColor="text1"/>
          <w:spacing w:val="-17"/>
          <w:sz w:val="44"/>
          <w:szCs w:val="44"/>
          <w:shd w:val="clear" w:color="auto" w:fill="FFFFFF"/>
          <w:lang w:val="en-US" w:eastAsia="zh-CN"/>
          <w14:textFill>
            <w14:solidFill>
              <w14:schemeClr w14:val="tx1"/>
            </w14:solidFill>
          </w14:textFill>
        </w:rPr>
        <w:t>2023年</w:t>
      </w:r>
      <w:r>
        <w:rPr>
          <w:rFonts w:hint="default" w:ascii="Times New Roman" w:hAnsi="Times New Roman" w:eastAsia="方正小标宋简体" w:cs="Times New Roman"/>
          <w:b w:val="0"/>
          <w:bCs/>
          <w:i w:val="0"/>
          <w:caps w:val="0"/>
          <w:color w:val="000000" w:themeColor="text1"/>
          <w:spacing w:val="-17"/>
          <w:sz w:val="44"/>
          <w:szCs w:val="44"/>
          <w:shd w:val="clear" w:color="auto" w:fill="FFFFFF"/>
          <w14:textFill>
            <w14:solidFill>
              <w14:schemeClr w14:val="tx1"/>
            </w14:solidFill>
          </w14:textFill>
        </w:rPr>
        <w:t>政府信息公开工作</w:t>
      </w:r>
      <w:r>
        <w:rPr>
          <w:rFonts w:hint="default" w:ascii="Times New Roman" w:hAnsi="Times New Roman" w:eastAsia="方正小标宋简体" w:cs="Times New Roman"/>
          <w:b w:val="0"/>
          <w:bCs/>
          <w:i w:val="0"/>
          <w:caps w:val="0"/>
          <w:color w:val="000000" w:themeColor="text1"/>
          <w:spacing w:val="0"/>
          <w:sz w:val="44"/>
          <w:szCs w:val="44"/>
          <w:shd w:val="clear" w:color="auto" w:fill="FFFFFF"/>
          <w14:textFill>
            <w14:solidFill>
              <w14:schemeClr w14:val="tx1"/>
            </w14:solidFill>
          </w14:textFill>
        </w:rPr>
        <w:t>年度报告</w:t>
      </w:r>
    </w:p>
    <w:p>
      <w:pPr>
        <w:rPr>
          <w:rFonts w:hint="default" w:ascii="Times New Roman" w:hAnsi="Times New Roman" w:cs="Times New Roman"/>
          <w:color w:val="000000" w:themeColor="text1"/>
          <w14:textFill>
            <w14:solidFill>
              <w14:schemeClr w14:val="tx1"/>
            </w14:solidFill>
          </w14:textFill>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left"/>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本年度报告中所列数据的统计期限自202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年1月1日起，至202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年12月31日止。如对报告内容有疑问，请与</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淄博市</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淄川区退役军人事务</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局</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联系（地址：</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山东省淄博市</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淄川区文汇街</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3号</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；邮编：</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255100</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；电话：</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0533-5280123</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；电子邮箱：zcqtyjrswjbgs@zb.shandong.cn</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2023年，我局以习近平新时代中国特色社会主义思想为指导，认真贯彻落实《中华人民共和国政府信息公开条例》（以下简称《条例》）及有关文件精神，不断加强组织领导，健全工作制度，完善公开内容，坚持围绕中心工作及时、准确、规范公开政府信息，进一步推进政务公开工作，努力提升人民群众对退役军人事务工作的满意度。</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主动公开方面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除依法依规应当保密的除外，2023年，我局通过政府门户网站主动公开政府信息</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50条，通过局官方微信公众号、淄博日报、淄川融媒等媒体渠道发布信息300余篇，</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及时向社会公布退役军人事务工作情况，有效保障服务对象知情权、参与权、表达权和监督权。</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依申请公开工作方面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2023年，我局未收到依申请公开事项。</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政府信息管理方面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健全完善本单位的信息公开工作机制，认真贯彻落实《条例》等规范性文件要求，梳理并更新我局政府信息主动公开目录，并确定责任到各科室和局属事业单位，同时规范信息发布标准和要求，依法严格审查拟公开的政府信息，规范政府信息公开工作流程，确保信息发布权威、安全、规范。</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平台建设方面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为加强信息发布工作，我局充分发挥政务新媒体推介宣传作用，截至目前，我局官方微信公众号“淄川退役军人”关注人数已达</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5991人，通过</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宣传退役军人事务工作相关政策、先进退役军人典型和局日常工作，营造积极向上的良好舆论氛围。</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监督保障方面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坚持把信息公开工作作为联系群众、推进干部作风建设的重要抓手，不定期组织信息公开学习培训，强化相关负责人员的责任意识和业务水平，形成“主要领导亲自抓，分管领导具体抓，经办人员抓具体”的工作格局，保障我局信息公开工作顺利开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lang w:val="en-US" w:eastAsia="zh-CN"/>
          <w14:textFill>
            <w14:solidFill>
              <w14:schemeClr w14:val="tx1"/>
            </w14:solidFill>
          </w14:textFill>
        </w:rPr>
        <w:t>二、主动公开政府信息情况</w:t>
      </w:r>
    </w:p>
    <w:tbl>
      <w:tblPr>
        <w:tblStyle w:val="5"/>
        <w:tblW w:w="7500" w:type="dxa"/>
        <w:tblInd w:w="0" w:type="dxa"/>
        <w:shd w:val="clear" w:color="auto" w:fill="auto"/>
        <w:tblLayout w:type="fixed"/>
        <w:tblCellMar>
          <w:top w:w="0" w:type="dxa"/>
          <w:left w:w="108" w:type="dxa"/>
          <w:bottom w:w="0" w:type="dxa"/>
          <w:right w:w="108" w:type="dxa"/>
        </w:tblCellMar>
      </w:tblPr>
      <w:tblGrid>
        <w:gridCol w:w="1875"/>
        <w:gridCol w:w="1875"/>
        <w:gridCol w:w="1875"/>
        <w:gridCol w:w="1875"/>
      </w:tblGrid>
      <w:tr>
        <w:tblPrEx>
          <w:shd w:val="clear" w:color="auto" w:fill="auto"/>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auto" w:fill="auto"/>
            <w:noWrap w:val="0"/>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信息内容</w:t>
            </w:r>
          </w:p>
        </w:tc>
        <w:tc>
          <w:tcPr>
            <w:tcW w:w="1875" w:type="dxa"/>
            <w:tcBorders>
              <w:top w:val="nil"/>
              <w:left w:val="nil"/>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本年制发件数</w:t>
            </w:r>
          </w:p>
        </w:tc>
        <w:tc>
          <w:tcPr>
            <w:tcW w:w="1875" w:type="dxa"/>
            <w:tcBorders>
              <w:top w:val="nil"/>
              <w:left w:val="nil"/>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本年废止件数</w:t>
            </w:r>
          </w:p>
        </w:tc>
        <w:tc>
          <w:tcPr>
            <w:tcW w:w="1875" w:type="dxa"/>
            <w:tcBorders>
              <w:top w:val="nil"/>
              <w:left w:val="nil"/>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现行有效件数</w:t>
            </w:r>
          </w:p>
        </w:tc>
      </w:tr>
      <w:tr>
        <w:tblPrEx>
          <w:tblCellMar>
            <w:top w:w="0" w:type="dxa"/>
            <w:left w:w="108" w:type="dxa"/>
            <w:bottom w:w="0" w:type="dxa"/>
            <w:right w:w="108" w:type="dxa"/>
          </w:tblCellMar>
        </w:tblPrEx>
        <w:trPr>
          <w:trHeight w:val="904"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规章</w:t>
            </w:r>
          </w:p>
        </w:tc>
        <w:tc>
          <w:tcPr>
            <w:tcW w:w="1875" w:type="dxa"/>
            <w:tcBorders>
              <w:top w:val="nil"/>
              <w:left w:val="nil"/>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color w:val="FF0000"/>
                <w:kern w:val="0"/>
                <w:szCs w:val="21"/>
                <w:lang w:eastAsia="zh-CN"/>
              </w:rPr>
            </w:pPr>
            <w:r>
              <w:rPr>
                <w:rFonts w:hint="default" w:ascii="Times New Roman" w:hAnsi="Times New Roman" w:eastAsia="仿宋_GB2312" w:cs="Times New Roman"/>
                <w:color w:val="000000" w:themeColor="text1"/>
                <w:kern w:val="0"/>
                <w:szCs w:val="21"/>
                <w:highlight w:val="none"/>
                <w:shd w:val="clear" w:color="auto" w:fill="auto"/>
                <w:lang w:val="en-US" w:eastAsia="zh-CN"/>
                <w14:textFill>
                  <w14:solidFill>
                    <w14:schemeClr w14:val="tx1"/>
                  </w14:solidFill>
                </w14:textFill>
              </w:rPr>
              <w:t>0</w:t>
            </w:r>
          </w:p>
        </w:tc>
        <w:tc>
          <w:tcPr>
            <w:tcW w:w="1875" w:type="dxa"/>
            <w:tcBorders>
              <w:top w:val="nil"/>
              <w:left w:val="nil"/>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color w:val="FF0000"/>
                <w:kern w:val="0"/>
                <w:szCs w:val="21"/>
              </w:rPr>
            </w:pPr>
            <w:r>
              <w:rPr>
                <w:rFonts w:hint="default" w:ascii="Times New Roman" w:hAnsi="Times New Roman" w:eastAsia="仿宋_GB2312" w:cs="Times New Roman"/>
                <w:color w:val="000000" w:themeColor="text1"/>
                <w:kern w:val="0"/>
                <w:szCs w:val="21"/>
                <w:highlight w:val="none"/>
                <w:shd w:val="clear" w:color="auto" w:fill="auto"/>
                <w:lang w:val="en-US" w:eastAsia="zh-CN"/>
                <w14:textFill>
                  <w14:solidFill>
                    <w14:schemeClr w14:val="tx1"/>
                  </w14:solidFill>
                </w14:textFill>
              </w:rPr>
              <w:t>0</w:t>
            </w:r>
          </w:p>
        </w:tc>
        <w:tc>
          <w:tcPr>
            <w:tcW w:w="1875" w:type="dxa"/>
            <w:tcBorders>
              <w:top w:val="nil"/>
              <w:left w:val="nil"/>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color w:val="FF0000"/>
                <w:kern w:val="0"/>
                <w:szCs w:val="21"/>
              </w:rPr>
            </w:pPr>
            <w:r>
              <w:rPr>
                <w:rFonts w:hint="default" w:ascii="Times New Roman" w:hAnsi="Times New Roman" w:eastAsia="仿宋_GB2312" w:cs="Times New Roman"/>
                <w:color w:val="000000" w:themeColor="text1"/>
                <w:kern w:val="0"/>
                <w:szCs w:val="21"/>
                <w:highlight w:val="none"/>
                <w:shd w:val="clear" w:color="auto" w:fill="auto"/>
                <w:lang w:val="en-US" w:eastAsia="zh-CN"/>
                <w14:textFill>
                  <w14:solidFill>
                    <w14:schemeClr w14:val="tx1"/>
                  </w14:solidFill>
                </w14:textFill>
              </w:rPr>
              <w:t>0</w:t>
            </w:r>
          </w:p>
        </w:tc>
      </w:tr>
      <w:tr>
        <w:tblPrEx>
          <w:tblCellMar>
            <w:top w:w="0" w:type="dxa"/>
            <w:left w:w="108" w:type="dxa"/>
            <w:bottom w:w="0" w:type="dxa"/>
            <w:right w:w="108" w:type="dxa"/>
          </w:tblCellMar>
        </w:tblPrEx>
        <w:trPr>
          <w:trHeight w:val="1028"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行政规范性文件</w:t>
            </w:r>
          </w:p>
        </w:tc>
        <w:tc>
          <w:tcPr>
            <w:tcW w:w="1875" w:type="dxa"/>
            <w:tcBorders>
              <w:top w:val="nil"/>
              <w:left w:val="nil"/>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color w:val="FF0000"/>
                <w:kern w:val="0"/>
                <w:szCs w:val="21"/>
                <w:lang w:val="en-US" w:eastAsia="zh-CN"/>
              </w:rPr>
            </w:pPr>
            <w:r>
              <w:rPr>
                <w:rFonts w:hint="default" w:ascii="Times New Roman" w:hAnsi="Times New Roman" w:eastAsia="仿宋_GB2312" w:cs="Times New Roman"/>
                <w:color w:val="000000" w:themeColor="text1"/>
                <w:kern w:val="0"/>
                <w:szCs w:val="21"/>
                <w:highlight w:val="none"/>
                <w:shd w:val="clear" w:color="auto" w:fill="auto"/>
                <w:lang w:val="en-US" w:eastAsia="zh-CN"/>
                <w14:textFill>
                  <w14:solidFill>
                    <w14:schemeClr w14:val="tx1"/>
                  </w14:solidFill>
                </w14:textFill>
              </w:rPr>
              <w:t>0</w:t>
            </w:r>
          </w:p>
        </w:tc>
        <w:tc>
          <w:tcPr>
            <w:tcW w:w="1875" w:type="dxa"/>
            <w:tcBorders>
              <w:top w:val="nil"/>
              <w:left w:val="nil"/>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color w:val="FF0000"/>
                <w:kern w:val="0"/>
                <w:szCs w:val="21"/>
                <w:lang w:val="en-US" w:eastAsia="zh-CN"/>
              </w:rPr>
            </w:pPr>
            <w:r>
              <w:rPr>
                <w:rFonts w:hint="default" w:ascii="Times New Roman" w:hAnsi="Times New Roman" w:eastAsia="仿宋_GB2312" w:cs="Times New Roman"/>
                <w:color w:val="000000" w:themeColor="text1"/>
                <w:kern w:val="0"/>
                <w:szCs w:val="21"/>
                <w:highlight w:val="none"/>
                <w:shd w:val="clear" w:color="auto" w:fill="auto"/>
                <w:lang w:val="en-US" w:eastAsia="zh-CN"/>
                <w14:textFill>
                  <w14:solidFill>
                    <w14:schemeClr w14:val="tx1"/>
                  </w14:solidFill>
                </w14:textFill>
              </w:rPr>
              <w:t>0</w:t>
            </w:r>
          </w:p>
        </w:tc>
        <w:tc>
          <w:tcPr>
            <w:tcW w:w="1875" w:type="dxa"/>
            <w:tcBorders>
              <w:top w:val="nil"/>
              <w:left w:val="nil"/>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color w:val="FF0000"/>
                <w:kern w:val="0"/>
                <w:szCs w:val="21"/>
                <w:lang w:eastAsia="zh-CN"/>
              </w:rPr>
            </w:pPr>
            <w:r>
              <w:rPr>
                <w:rFonts w:hint="default" w:ascii="Times New Roman" w:hAnsi="Times New Roman" w:eastAsia="仿宋_GB2312" w:cs="Times New Roman"/>
                <w:color w:val="000000" w:themeColor="text1"/>
                <w:kern w:val="0"/>
                <w:szCs w:val="21"/>
                <w:highlight w:val="none"/>
                <w:shd w:val="clear" w:color="auto" w:fill="auto"/>
                <w:lang w:val="en-US" w:eastAsia="zh-CN"/>
                <w14:textFill>
                  <w14:solidFill>
                    <w14:schemeClr w14:val="tx1"/>
                  </w14:solidFill>
                </w14:textFill>
              </w:rPr>
              <w:t>0</w:t>
            </w:r>
          </w:p>
        </w:tc>
      </w:tr>
      <w:tr>
        <w:tblPrEx>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auto" w:fill="auto"/>
            <w:noWrap w:val="0"/>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本年处理决定数量</w:t>
            </w:r>
          </w:p>
        </w:tc>
      </w:tr>
      <w:tr>
        <w:tblPrEx>
          <w:tblCellMar>
            <w:top w:w="0" w:type="dxa"/>
            <w:left w:w="108" w:type="dxa"/>
            <w:bottom w:w="0" w:type="dxa"/>
            <w:right w:w="108" w:type="dxa"/>
          </w:tblCellMar>
        </w:tblPrEx>
        <w:trPr>
          <w:trHeight w:val="880"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b/>
                <w:bCs/>
                <w:color w:val="000000"/>
                <w:kern w:val="0"/>
                <w:szCs w:val="21"/>
              </w:rPr>
              <w:t>行政许可</w:t>
            </w:r>
          </w:p>
        </w:tc>
        <w:tc>
          <w:tcPr>
            <w:tcW w:w="5625"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themeColor="text1"/>
                <w:kern w:val="0"/>
                <w:szCs w:val="21"/>
                <w:highlight w:val="none"/>
                <w:shd w:val="clear" w:color="auto" w:fill="auto"/>
                <w:lang w:val="en-US" w:eastAsia="zh-CN"/>
                <w14:textFill>
                  <w14:solidFill>
                    <w14:schemeClr w14:val="tx1"/>
                  </w14:solidFill>
                </w14:textFill>
              </w:rPr>
              <w:t>0</w:t>
            </w:r>
          </w:p>
        </w:tc>
      </w:tr>
      <w:tr>
        <w:tblPrEx>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auto" w:fill="auto"/>
            <w:noWrap w:val="0"/>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本年处理决定数量</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行政处罚</w:t>
            </w:r>
          </w:p>
        </w:tc>
        <w:tc>
          <w:tcPr>
            <w:tcW w:w="5625"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hint="default" w:ascii="Times New Roman" w:hAnsi="Times New Roman" w:eastAsia="仿宋_GB2312" w:cs="Times New Roman"/>
                <w:color w:val="FF0000"/>
                <w:kern w:val="0"/>
                <w:szCs w:val="21"/>
                <w:lang w:val="en-US" w:eastAsia="zh-CN"/>
              </w:rPr>
            </w:pPr>
            <w:r>
              <w:rPr>
                <w:rFonts w:hint="default" w:ascii="Times New Roman" w:hAnsi="Times New Roman" w:eastAsia="仿宋_GB2312" w:cs="Times New Roman"/>
                <w:color w:val="000000" w:themeColor="text1"/>
                <w:kern w:val="0"/>
                <w:szCs w:val="21"/>
                <w:highlight w:val="none"/>
                <w:shd w:val="clear" w:color="auto" w:fill="auto"/>
                <w:lang w:val="en-US" w:eastAsia="zh-CN"/>
                <w14:textFill>
                  <w14:solidFill>
                    <w14:schemeClr w14:val="tx1"/>
                  </w14:solidFill>
                </w14:textFill>
              </w:rPr>
              <w:t>0</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行政强制</w:t>
            </w:r>
          </w:p>
        </w:tc>
        <w:tc>
          <w:tcPr>
            <w:tcW w:w="5625"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hint="default" w:ascii="Times New Roman" w:hAnsi="Times New Roman" w:eastAsia="仿宋_GB2312" w:cs="Times New Roman"/>
                <w:color w:val="FF0000"/>
                <w:kern w:val="0"/>
                <w:szCs w:val="21"/>
                <w:lang w:val="en-US" w:eastAsia="zh-CN"/>
              </w:rPr>
            </w:pPr>
            <w:r>
              <w:rPr>
                <w:rFonts w:hint="default" w:ascii="Times New Roman" w:hAnsi="Times New Roman" w:eastAsia="仿宋_GB2312" w:cs="Times New Roman"/>
                <w:color w:val="000000" w:themeColor="text1"/>
                <w:kern w:val="0"/>
                <w:szCs w:val="21"/>
                <w:highlight w:val="none"/>
                <w:shd w:val="clear" w:color="auto" w:fill="auto"/>
                <w:lang w:val="en-US" w:eastAsia="zh-CN"/>
                <w14:textFill>
                  <w14:solidFill>
                    <w14:schemeClr w14:val="tx1"/>
                  </w14:solidFill>
                </w14:textFill>
              </w:rPr>
              <w:t>0</w:t>
            </w:r>
          </w:p>
        </w:tc>
      </w:tr>
      <w:tr>
        <w:tblPrEx>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auto" w:fill="auto"/>
            <w:noWrap w:val="0"/>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本年收费金额（单位：万元）</w:t>
            </w:r>
          </w:p>
        </w:tc>
      </w:tr>
      <w:tr>
        <w:tblPrEx>
          <w:tblCellMar>
            <w:top w:w="0" w:type="dxa"/>
            <w:left w:w="108" w:type="dxa"/>
            <w:bottom w:w="0" w:type="dxa"/>
            <w:right w:w="108" w:type="dxa"/>
          </w:tblCellMar>
        </w:tblPrEx>
        <w:trPr>
          <w:trHeight w:val="1045"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b/>
                <w:bCs/>
                <w:color w:val="000000"/>
                <w:kern w:val="0"/>
                <w:szCs w:val="21"/>
              </w:rPr>
              <w:t>行政事业性收费</w:t>
            </w:r>
          </w:p>
        </w:tc>
        <w:tc>
          <w:tcPr>
            <w:tcW w:w="5625" w:type="dxa"/>
            <w:gridSpan w:val="3"/>
            <w:tcBorders>
              <w:top w:val="single" w:color="auto" w:sz="8" w:space="0"/>
              <w:left w:val="nil"/>
              <w:bottom w:val="single" w:color="auto" w:sz="8" w:space="0"/>
              <w:right w:val="single" w:color="000000" w:sz="8" w:space="0"/>
            </w:tcBorders>
            <w:shd w:val="clear" w:color="auto" w:fill="auto"/>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themeColor="text1"/>
                <w:kern w:val="0"/>
                <w:szCs w:val="21"/>
                <w:highlight w:val="none"/>
                <w:shd w:val="clear" w:color="auto" w:fill="auto"/>
                <w:lang w:val="en-US" w:eastAsia="zh-CN"/>
                <w14:textFill>
                  <w14:solidFill>
                    <w14:schemeClr w14:val="tx1"/>
                  </w14:solidFill>
                </w14:textFill>
              </w:rPr>
              <w:t>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黑体" w:cs="Times New Roman"/>
          <w:i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黑体" w:cs="Times New Roman"/>
          <w:i w:val="0"/>
          <w:caps w:val="0"/>
          <w:color w:val="000000" w:themeColor="text1"/>
          <w:spacing w:val="0"/>
          <w:kern w:val="0"/>
          <w:sz w:val="32"/>
          <w:szCs w:val="32"/>
          <w:lang w:val="en-US" w:eastAsia="zh-CN" w:bidi="ar"/>
          <w14:textFill>
            <w14:solidFill>
              <w14:schemeClr w14:val="tx1"/>
            </w14:solidFill>
          </w14:textFill>
        </w:rPr>
        <w:t>三、</w:t>
      </w:r>
      <w:r>
        <w:rPr>
          <w:rFonts w:hint="default" w:ascii="Times New Roman" w:hAnsi="Times New Roman" w:eastAsia="黑体" w:cs="Times New Roman"/>
          <w:i w:val="0"/>
          <w:caps w:val="0"/>
          <w:color w:val="000000" w:themeColor="text1"/>
          <w:spacing w:val="0"/>
          <w:sz w:val="32"/>
          <w:szCs w:val="32"/>
          <w:lang w:val="en-US" w:eastAsia="zh-CN"/>
          <w14:textFill>
            <w14:solidFill>
              <w14:schemeClr w14:val="tx1"/>
            </w14:solidFill>
          </w14:textFill>
        </w:rPr>
        <w:t>收到和处理政府信息公开申请情况</w:t>
      </w:r>
    </w:p>
    <w:tbl>
      <w:tblPr>
        <w:tblStyle w:val="5"/>
        <w:tblW w:w="78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81"/>
        <w:gridCol w:w="736"/>
        <w:gridCol w:w="2531"/>
        <w:gridCol w:w="581"/>
        <w:gridCol w:w="488"/>
        <w:gridCol w:w="562"/>
        <w:gridCol w:w="769"/>
        <w:gridCol w:w="731"/>
        <w:gridCol w:w="500"/>
        <w:gridCol w:w="5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11" w:hRule="atLeast"/>
          <w:jc w:val="center"/>
        </w:trPr>
        <w:tc>
          <w:tcPr>
            <w:tcW w:w="3648" w:type="dxa"/>
            <w:gridSpan w:val="3"/>
            <w:vMerge w:val="restart"/>
            <w:shd w:val="clear" w:color="auto" w:fill="auto"/>
            <w:noWrap w:val="0"/>
            <w:tcMar>
              <w:left w:w="108" w:type="dxa"/>
              <w:right w:w="108" w:type="dxa"/>
            </w:tcMar>
            <w:vAlign w:val="center"/>
          </w:tcPr>
          <w:p>
            <w:pPr>
              <w:widowControl/>
              <w:jc w:val="center"/>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widowControl/>
              <w:jc w:val="center"/>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174" w:type="dxa"/>
            <w:gridSpan w:val="7"/>
            <w:shd w:val="clear" w:color="auto" w:fill="auto"/>
            <w:noWrap w:val="0"/>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648" w:type="dxa"/>
            <w:gridSpan w:val="3"/>
            <w:vMerge w:val="continue"/>
            <w:shd w:val="clear" w:color="auto" w:fill="auto"/>
            <w:noWrap w:val="0"/>
            <w:tcMar>
              <w:left w:w="108" w:type="dxa"/>
              <w:right w:w="108" w:type="dxa"/>
            </w:tcMar>
            <w:vAlign w:val="center"/>
          </w:tcPr>
          <w:p>
            <w:pPr>
              <w:jc w:val="center"/>
              <w:rPr>
                <w:rFonts w:hint="default" w:ascii="Times New Roman" w:hAnsi="Times New Roman" w:eastAsia="仿宋_GB2312" w:cs="Times New Roman"/>
                <w:szCs w:val="21"/>
              </w:rPr>
            </w:pPr>
          </w:p>
        </w:tc>
        <w:tc>
          <w:tcPr>
            <w:tcW w:w="581" w:type="dxa"/>
            <w:vMerge w:val="restart"/>
            <w:shd w:val="clear" w:color="auto" w:fill="auto"/>
            <w:noWrap w:val="0"/>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050" w:type="dxa"/>
            <w:gridSpan w:val="5"/>
            <w:shd w:val="clear" w:color="auto" w:fill="auto"/>
            <w:noWrap w:val="0"/>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543" w:type="dxa"/>
            <w:vMerge w:val="restart"/>
            <w:shd w:val="clear" w:color="auto" w:fill="auto"/>
            <w:noWrap w:val="0"/>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3648" w:type="dxa"/>
            <w:gridSpan w:val="3"/>
            <w:vMerge w:val="continue"/>
            <w:shd w:val="clear" w:color="auto" w:fill="auto"/>
            <w:noWrap w:val="0"/>
            <w:tcMar>
              <w:left w:w="108" w:type="dxa"/>
              <w:right w:w="108" w:type="dxa"/>
            </w:tcMar>
            <w:vAlign w:val="center"/>
          </w:tcPr>
          <w:p>
            <w:pPr>
              <w:jc w:val="center"/>
              <w:rPr>
                <w:rFonts w:hint="default" w:ascii="Times New Roman" w:hAnsi="Times New Roman" w:eastAsia="仿宋_GB2312" w:cs="Times New Roman"/>
                <w:szCs w:val="21"/>
              </w:rPr>
            </w:pPr>
          </w:p>
        </w:tc>
        <w:tc>
          <w:tcPr>
            <w:tcW w:w="581" w:type="dxa"/>
            <w:vMerge w:val="continue"/>
            <w:shd w:val="clear" w:color="auto" w:fill="auto"/>
            <w:noWrap w:val="0"/>
            <w:tcMar>
              <w:left w:w="108" w:type="dxa"/>
              <w:right w:w="108" w:type="dxa"/>
            </w:tcMar>
            <w:vAlign w:val="center"/>
          </w:tcPr>
          <w:p>
            <w:pPr>
              <w:jc w:val="center"/>
              <w:rPr>
                <w:rFonts w:hint="default" w:ascii="Times New Roman" w:hAnsi="Times New Roman" w:eastAsia="黑体" w:cs="Times New Roman"/>
                <w:szCs w:val="21"/>
              </w:rPr>
            </w:pPr>
          </w:p>
        </w:tc>
        <w:tc>
          <w:tcPr>
            <w:tcW w:w="488" w:type="dxa"/>
            <w:shd w:val="clear" w:color="auto" w:fill="auto"/>
            <w:noWrap w:val="0"/>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62" w:type="dxa"/>
            <w:shd w:val="clear" w:color="auto" w:fill="auto"/>
            <w:noWrap w:val="0"/>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69" w:type="dxa"/>
            <w:shd w:val="clear" w:color="auto" w:fill="auto"/>
            <w:noWrap w:val="0"/>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31" w:type="dxa"/>
            <w:shd w:val="clear" w:color="auto" w:fill="auto"/>
            <w:noWrap w:val="0"/>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00" w:type="dxa"/>
            <w:shd w:val="clear" w:color="auto" w:fill="auto"/>
            <w:noWrap w:val="0"/>
            <w:tcMar>
              <w:left w:w="108" w:type="dxa"/>
              <w:right w:w="108" w:type="dxa"/>
            </w:tcMar>
            <w:vAlign w:val="center"/>
          </w:tcPr>
          <w:p>
            <w:pPr>
              <w:widowControl/>
              <w:spacing w:line="360" w:lineRule="exact"/>
              <w:ind w:left="-63" w:leftChars="-30" w:right="-134" w:rightChars="-64"/>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543" w:type="dxa"/>
            <w:vMerge w:val="continue"/>
            <w:shd w:val="clear" w:color="auto" w:fill="auto"/>
            <w:noWrap w:val="0"/>
            <w:tcMar>
              <w:left w:w="108" w:type="dxa"/>
              <w:right w:w="108" w:type="dxa"/>
            </w:tcMar>
            <w:vAlign w:val="center"/>
          </w:tcPr>
          <w:p>
            <w:pPr>
              <w:jc w:val="center"/>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shd w:val="clear" w:color="auto" w:fill="auto"/>
            <w:noWrap w:val="0"/>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shd w:val="clear" w:color="auto" w:fill="auto"/>
            <w:noWrap w:val="0"/>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color w:val="auto"/>
                <w:kern w:val="0"/>
                <w:szCs w:val="21"/>
                <w:shd w:val="clear" w:color="auto"/>
              </w:rPr>
              <w:t>二、上年结转政府信息公开申请数量</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381" w:type="dxa"/>
            <w:vMerge w:val="restart"/>
            <w:shd w:val="clear" w:color="auto" w:fill="auto"/>
            <w:noWrap w:val="0"/>
            <w:tcMar>
              <w:left w:w="108" w:type="dxa"/>
              <w:right w:w="108" w:type="dxa"/>
            </w:tcMar>
            <w:vAlign w:val="center"/>
          </w:tcPr>
          <w:p>
            <w:pPr>
              <w:widowControl/>
              <w:spacing w:after="180"/>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kern w:val="0"/>
                <w:szCs w:val="21"/>
                <w14:textFill>
                  <w14:solidFill>
                    <w14:schemeClr w14:val="tx1"/>
                  </w14:solidFill>
                </w14:textFill>
              </w:rPr>
              <w:t>三、本年度办理结果</w:t>
            </w:r>
          </w:p>
        </w:tc>
        <w:tc>
          <w:tcPr>
            <w:tcW w:w="3267" w:type="dxa"/>
            <w:gridSpan w:val="2"/>
            <w:shd w:val="clear" w:color="auto" w:fill="auto"/>
            <w:noWrap w:val="0"/>
            <w:tcMar>
              <w:left w:w="108" w:type="dxa"/>
              <w:right w:w="108" w:type="dxa"/>
            </w:tcMar>
            <w:vAlign w:val="center"/>
          </w:tcPr>
          <w:p>
            <w:pPr>
              <w:widowControl/>
              <w:rPr>
                <w:rFonts w:hint="default" w:ascii="Times New Roman" w:hAnsi="Times New Roman" w:eastAsia="黑体" w:cs="Times New Roman"/>
                <w:color w:val="000000" w:themeColor="text1"/>
                <w:sz w:val="16"/>
                <w:szCs w:val="16"/>
                <w14:textFill>
                  <w14:solidFill>
                    <w14:schemeClr w14:val="tx1"/>
                  </w14:solidFill>
                </w14:textFill>
              </w:rPr>
            </w:pPr>
            <w:r>
              <w:rPr>
                <w:rFonts w:hint="default" w:ascii="Times New Roman" w:hAnsi="Times New Roman" w:eastAsia="黑体" w:cs="Times New Roman"/>
                <w:color w:val="000000" w:themeColor="text1"/>
                <w:kern w:val="0"/>
                <w:sz w:val="16"/>
                <w:szCs w:val="16"/>
                <w14:textFill>
                  <w14:solidFill>
                    <w14:schemeClr w14:val="tx1"/>
                  </w14:solidFill>
                </w14:textFill>
              </w:rPr>
              <w:t>（一）予以公开</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3267" w:type="dxa"/>
            <w:gridSpan w:val="2"/>
            <w:shd w:val="clear" w:color="auto" w:fill="auto"/>
            <w:noWrap w:val="0"/>
            <w:tcMar>
              <w:left w:w="108" w:type="dxa"/>
              <w:right w:w="108" w:type="dxa"/>
            </w:tcMar>
            <w:vAlign w:val="center"/>
          </w:tcPr>
          <w:p>
            <w:pPr>
              <w:widowControl/>
              <w:rPr>
                <w:rFonts w:hint="default" w:ascii="Times New Roman" w:hAnsi="Times New Roman" w:eastAsia="黑体" w:cs="Times New Roman"/>
                <w:color w:val="000000" w:themeColor="text1"/>
                <w:sz w:val="16"/>
                <w:szCs w:val="16"/>
                <w14:textFill>
                  <w14:solidFill>
                    <w14:schemeClr w14:val="tx1"/>
                  </w14:solidFill>
                </w14:textFill>
              </w:rPr>
            </w:pPr>
            <w:r>
              <w:rPr>
                <w:rFonts w:hint="default" w:ascii="Times New Roman" w:hAnsi="Times New Roman" w:eastAsia="黑体" w:cs="Times New Roman"/>
                <w:color w:val="000000" w:themeColor="text1"/>
                <w:kern w:val="0"/>
                <w:sz w:val="16"/>
                <w:szCs w:val="16"/>
                <w14:textFill>
                  <w14:solidFill>
                    <w14:schemeClr w14:val="tx1"/>
                  </w14:solidFill>
                </w14:textFill>
              </w:rPr>
              <w:t>（二）部分公开（</w:t>
            </w:r>
            <w:bookmarkStart w:id="1" w:name="_Hlk66973981"/>
            <w:r>
              <w:rPr>
                <w:rFonts w:hint="default" w:ascii="Times New Roman" w:hAnsi="Times New Roman" w:eastAsia="黑体" w:cs="Times New Roman"/>
                <w:color w:val="000000" w:themeColor="text1"/>
                <w:kern w:val="0"/>
                <w:sz w:val="16"/>
                <w:szCs w:val="16"/>
                <w14:textFill>
                  <w14:solidFill>
                    <w14:schemeClr w14:val="tx1"/>
                  </w14:solidFill>
                </w14:textFill>
              </w:rPr>
              <w:t>区分处理的，只计这一情形，不计其他情形</w:t>
            </w:r>
            <w:bookmarkEnd w:id="1"/>
            <w:r>
              <w:rPr>
                <w:rFonts w:hint="default" w:ascii="Times New Roman" w:hAnsi="Times New Roman" w:eastAsia="黑体" w:cs="Times New Roman"/>
                <w:color w:val="000000" w:themeColor="text1"/>
                <w:kern w:val="0"/>
                <w:sz w:val="16"/>
                <w:szCs w:val="16"/>
                <w14:textFill>
                  <w14:solidFill>
                    <w14:schemeClr w14:val="tx1"/>
                  </w14:solidFill>
                </w14:textFill>
              </w:rPr>
              <w:t>）</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restart"/>
            <w:shd w:val="clear" w:color="auto" w:fill="auto"/>
            <w:noWrap w:val="0"/>
            <w:tcMar>
              <w:left w:w="108" w:type="dxa"/>
              <w:right w:w="108" w:type="dxa"/>
            </w:tcMar>
            <w:vAlign w:val="center"/>
          </w:tcPr>
          <w:p>
            <w:pPr>
              <w:widowControl/>
              <w:spacing w:line="200" w:lineRule="exact"/>
              <w:ind w:left="-107" w:leftChars="-51"/>
              <w:rPr>
                <w:rFonts w:hint="default" w:ascii="Times New Roman" w:hAnsi="Times New Roman" w:eastAsia="黑体" w:cs="Times New Roman"/>
                <w:color w:val="000000" w:themeColor="text1"/>
                <w:sz w:val="16"/>
                <w:szCs w:val="16"/>
                <w14:textFill>
                  <w14:solidFill>
                    <w14:schemeClr w14:val="tx1"/>
                  </w14:solidFill>
                </w14:textFill>
              </w:rPr>
            </w:pPr>
            <w:r>
              <w:rPr>
                <w:rFonts w:hint="default" w:ascii="Times New Roman" w:hAnsi="Times New Roman" w:eastAsia="黑体" w:cs="Times New Roman"/>
                <w:color w:val="000000" w:themeColor="text1"/>
                <w:kern w:val="0"/>
                <w:sz w:val="16"/>
                <w:szCs w:val="16"/>
                <w14:textFill>
                  <w14:solidFill>
                    <w14:schemeClr w14:val="tx1"/>
                  </w14:solidFill>
                </w14:textFill>
              </w:rPr>
              <w:t>（三）不予公开</w:t>
            </w:r>
          </w:p>
        </w:tc>
        <w:tc>
          <w:tcPr>
            <w:tcW w:w="2531" w:type="dxa"/>
            <w:shd w:val="clear" w:color="auto" w:fill="auto"/>
            <w:noWrap w:val="0"/>
            <w:tcMar>
              <w:left w:w="108" w:type="dxa"/>
              <w:right w:w="108" w:type="dxa"/>
            </w:tcMar>
            <w:vAlign w:val="center"/>
          </w:tcPr>
          <w:p>
            <w:pPr>
              <w:widowControl/>
              <w:spacing w:line="200" w:lineRule="exact"/>
              <w:rPr>
                <w:rFonts w:hint="default" w:ascii="Times New Roman" w:hAnsi="Times New Roman" w:eastAsia="仿宋_GB2312" w:cs="Times New Roman"/>
                <w:color w:val="000000" w:themeColor="text1"/>
                <w:kern w:val="0"/>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1.属于国家秘密</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lang w:eastAsia="zh-CN"/>
                <w14:textFill>
                  <w14:solidFill>
                    <w14:schemeClr w14:val="tx1"/>
                  </w14:solidFill>
                </w14:textFill>
              </w:rPr>
            </w:pPr>
            <w:r>
              <w:rPr>
                <w:rFonts w:hint="default" w:ascii="Times New Roman" w:hAnsi="Times New Roman" w:eastAsia="黑体" w:cs="Times New Roman"/>
                <w:color w:val="000000" w:themeColor="text1"/>
                <w:szCs w:val="21"/>
                <w:lang w:eastAsia="zh-CN"/>
                <w14:textFill>
                  <w14:solidFill>
                    <w14:schemeClr w14:val="tx1"/>
                  </w14:solidFill>
                </w14:textFill>
              </w:rPr>
              <w:t>S</w:t>
            </w:r>
          </w:p>
        </w:tc>
        <w:tc>
          <w:tcPr>
            <w:tcW w:w="736" w:type="dxa"/>
            <w:vMerge w:val="continue"/>
            <w:shd w:val="clear" w:color="auto" w:fill="auto"/>
            <w:noWrap w:val="0"/>
            <w:tcMar>
              <w:left w:w="108" w:type="dxa"/>
              <w:right w:w="108" w:type="dxa"/>
            </w:tcMar>
            <w:vAlign w:val="center"/>
          </w:tcPr>
          <w:p>
            <w:pPr>
              <w:spacing w:line="200" w:lineRule="exact"/>
              <w:rPr>
                <w:rFonts w:hint="default" w:ascii="Times New Roman" w:hAnsi="Times New Roman" w:eastAsia="黑体" w:cs="Times New Roman"/>
                <w:color w:val="000000" w:themeColor="text1"/>
                <w:sz w:val="16"/>
                <w:szCs w:val="16"/>
                <w14:textFill>
                  <w14:solidFill>
                    <w14:schemeClr w14:val="tx1"/>
                  </w14:solidFill>
                </w14:textFill>
              </w:rPr>
            </w:pPr>
          </w:p>
        </w:tc>
        <w:tc>
          <w:tcPr>
            <w:tcW w:w="2531" w:type="dxa"/>
            <w:shd w:val="clear" w:color="auto" w:fill="auto"/>
            <w:noWrap w:val="0"/>
            <w:tcMar>
              <w:left w:w="108" w:type="dxa"/>
              <w:right w:w="108" w:type="dxa"/>
            </w:tcMar>
            <w:vAlign w:val="center"/>
          </w:tcPr>
          <w:p>
            <w:pPr>
              <w:widowControl/>
              <w:spacing w:line="200" w:lineRule="exact"/>
              <w:rPr>
                <w:rFonts w:hint="default" w:ascii="Times New Roman" w:hAnsi="Times New Roman" w:eastAsia="仿宋_GB2312" w:cs="Times New Roman"/>
                <w:color w:val="000000" w:themeColor="text1"/>
                <w:kern w:val="0"/>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2.</w:t>
            </w:r>
            <w:bookmarkStart w:id="2" w:name="_Hlk66974104"/>
            <w:r>
              <w:rPr>
                <w:rFonts w:hint="default" w:ascii="Times New Roman" w:hAnsi="Times New Roman" w:eastAsia="仿宋_GB2312" w:cs="Times New Roman"/>
                <w:color w:val="000000" w:themeColor="text1"/>
                <w:kern w:val="0"/>
                <w:sz w:val="16"/>
                <w:szCs w:val="16"/>
                <w14:textFill>
                  <w14:solidFill>
                    <w14:schemeClr w14:val="tx1"/>
                  </w14:solidFill>
                </w14:textFill>
              </w:rPr>
              <w:t>其他法律行政法规禁止公开</w:t>
            </w:r>
            <w:bookmarkEnd w:id="2"/>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continue"/>
            <w:shd w:val="clear" w:color="auto" w:fill="auto"/>
            <w:noWrap w:val="0"/>
            <w:tcMar>
              <w:left w:w="108" w:type="dxa"/>
              <w:right w:w="108" w:type="dxa"/>
            </w:tcMar>
            <w:vAlign w:val="center"/>
          </w:tcPr>
          <w:p>
            <w:pPr>
              <w:spacing w:line="200" w:lineRule="exact"/>
              <w:rPr>
                <w:rFonts w:hint="default" w:ascii="Times New Roman" w:hAnsi="Times New Roman" w:eastAsia="黑体" w:cs="Times New Roman"/>
                <w:color w:val="000000" w:themeColor="text1"/>
                <w:sz w:val="16"/>
                <w:szCs w:val="16"/>
                <w14:textFill>
                  <w14:solidFill>
                    <w14:schemeClr w14:val="tx1"/>
                  </w14:solidFill>
                </w14:textFill>
              </w:rPr>
            </w:pPr>
          </w:p>
        </w:tc>
        <w:tc>
          <w:tcPr>
            <w:tcW w:w="2531" w:type="dxa"/>
            <w:shd w:val="clear" w:color="auto" w:fill="auto"/>
            <w:noWrap w:val="0"/>
            <w:tcMar>
              <w:left w:w="108" w:type="dxa"/>
              <w:right w:w="108" w:type="dxa"/>
            </w:tcMar>
            <w:vAlign w:val="center"/>
          </w:tcPr>
          <w:p>
            <w:pPr>
              <w:widowControl/>
              <w:spacing w:line="200" w:lineRule="exact"/>
              <w:rPr>
                <w:rFonts w:hint="default" w:ascii="Times New Roman" w:hAnsi="Times New Roman" w:eastAsia="仿宋_GB2312" w:cs="Times New Roman"/>
                <w:color w:val="000000" w:themeColor="text1"/>
                <w:kern w:val="0"/>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3.危及“三安全一稳定”</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continue"/>
            <w:shd w:val="clear" w:color="auto" w:fill="auto"/>
            <w:noWrap w:val="0"/>
            <w:tcMar>
              <w:left w:w="108" w:type="dxa"/>
              <w:right w:w="108" w:type="dxa"/>
            </w:tcMar>
            <w:vAlign w:val="center"/>
          </w:tcPr>
          <w:p>
            <w:pPr>
              <w:spacing w:line="200" w:lineRule="exact"/>
              <w:rPr>
                <w:rFonts w:hint="default" w:ascii="Times New Roman" w:hAnsi="Times New Roman" w:eastAsia="黑体" w:cs="Times New Roman"/>
                <w:color w:val="000000" w:themeColor="text1"/>
                <w:sz w:val="16"/>
                <w:szCs w:val="16"/>
                <w14:textFill>
                  <w14:solidFill>
                    <w14:schemeClr w14:val="tx1"/>
                  </w14:solidFill>
                </w14:textFill>
              </w:rPr>
            </w:pPr>
          </w:p>
        </w:tc>
        <w:tc>
          <w:tcPr>
            <w:tcW w:w="2531" w:type="dxa"/>
            <w:shd w:val="clear" w:color="auto" w:fill="auto"/>
            <w:noWrap w:val="0"/>
            <w:tcMar>
              <w:left w:w="108" w:type="dxa"/>
              <w:right w:w="108" w:type="dxa"/>
            </w:tcMar>
            <w:vAlign w:val="center"/>
          </w:tcPr>
          <w:p>
            <w:pPr>
              <w:widowControl/>
              <w:spacing w:line="200" w:lineRule="exact"/>
              <w:rPr>
                <w:rFonts w:hint="default" w:ascii="Times New Roman" w:hAnsi="Times New Roman" w:eastAsia="仿宋_GB2312" w:cs="Times New Roman"/>
                <w:color w:val="000000" w:themeColor="text1"/>
                <w:kern w:val="0"/>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4.</w:t>
            </w:r>
            <w:bookmarkStart w:id="3" w:name="_Hlk66974290"/>
            <w:r>
              <w:rPr>
                <w:rFonts w:hint="default" w:ascii="Times New Roman" w:hAnsi="Times New Roman" w:eastAsia="仿宋_GB2312" w:cs="Times New Roman"/>
                <w:color w:val="000000" w:themeColor="text1"/>
                <w:kern w:val="0"/>
                <w:sz w:val="16"/>
                <w:szCs w:val="16"/>
                <w14:textFill>
                  <w14:solidFill>
                    <w14:schemeClr w14:val="tx1"/>
                  </w14:solidFill>
                </w14:textFill>
              </w:rPr>
              <w:t>保护第三方合法权益</w:t>
            </w:r>
            <w:bookmarkEnd w:id="3"/>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continue"/>
            <w:shd w:val="clear" w:color="auto" w:fill="auto"/>
            <w:noWrap w:val="0"/>
            <w:tcMar>
              <w:left w:w="108" w:type="dxa"/>
              <w:right w:w="108" w:type="dxa"/>
            </w:tcMar>
            <w:vAlign w:val="center"/>
          </w:tcPr>
          <w:p>
            <w:pPr>
              <w:spacing w:line="200" w:lineRule="exact"/>
              <w:rPr>
                <w:rFonts w:hint="default" w:ascii="Times New Roman" w:hAnsi="Times New Roman" w:eastAsia="黑体" w:cs="Times New Roman"/>
                <w:color w:val="000000" w:themeColor="text1"/>
                <w:sz w:val="16"/>
                <w:szCs w:val="16"/>
                <w14:textFill>
                  <w14:solidFill>
                    <w14:schemeClr w14:val="tx1"/>
                  </w14:solidFill>
                </w14:textFill>
              </w:rPr>
            </w:pPr>
          </w:p>
        </w:tc>
        <w:tc>
          <w:tcPr>
            <w:tcW w:w="2531" w:type="dxa"/>
            <w:shd w:val="clear" w:color="auto" w:fill="auto"/>
            <w:noWrap w:val="0"/>
            <w:tcMar>
              <w:left w:w="108" w:type="dxa"/>
              <w:right w:w="108" w:type="dxa"/>
            </w:tcMar>
            <w:vAlign w:val="center"/>
          </w:tcPr>
          <w:p>
            <w:pPr>
              <w:widowControl/>
              <w:spacing w:line="200" w:lineRule="exact"/>
              <w:rPr>
                <w:rFonts w:hint="default" w:ascii="Times New Roman" w:hAnsi="Times New Roman" w:eastAsia="仿宋_GB2312" w:cs="Times New Roman"/>
                <w:color w:val="000000" w:themeColor="text1"/>
                <w:kern w:val="0"/>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5.属于三类内部事务信息</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continue"/>
            <w:shd w:val="clear" w:color="auto" w:fill="auto"/>
            <w:noWrap w:val="0"/>
            <w:tcMar>
              <w:left w:w="108" w:type="dxa"/>
              <w:right w:w="108" w:type="dxa"/>
            </w:tcMar>
            <w:vAlign w:val="center"/>
          </w:tcPr>
          <w:p>
            <w:pPr>
              <w:spacing w:line="200" w:lineRule="exact"/>
              <w:rPr>
                <w:rFonts w:hint="default" w:ascii="Times New Roman" w:hAnsi="Times New Roman" w:eastAsia="黑体" w:cs="Times New Roman"/>
                <w:color w:val="000000" w:themeColor="text1"/>
                <w:sz w:val="16"/>
                <w:szCs w:val="16"/>
                <w14:textFill>
                  <w14:solidFill>
                    <w14:schemeClr w14:val="tx1"/>
                  </w14:solidFill>
                </w14:textFill>
              </w:rPr>
            </w:pPr>
          </w:p>
        </w:tc>
        <w:tc>
          <w:tcPr>
            <w:tcW w:w="2531" w:type="dxa"/>
            <w:shd w:val="clear" w:color="auto" w:fill="auto"/>
            <w:noWrap w:val="0"/>
            <w:tcMar>
              <w:left w:w="108" w:type="dxa"/>
              <w:right w:w="108" w:type="dxa"/>
            </w:tcMar>
            <w:vAlign w:val="center"/>
          </w:tcPr>
          <w:p>
            <w:pPr>
              <w:widowControl/>
              <w:spacing w:line="200" w:lineRule="exact"/>
              <w:rPr>
                <w:rFonts w:hint="default" w:ascii="Times New Roman" w:hAnsi="Times New Roman" w:eastAsia="仿宋_GB2312" w:cs="Times New Roman"/>
                <w:color w:val="000000" w:themeColor="text1"/>
                <w:kern w:val="0"/>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6.</w:t>
            </w:r>
            <w:bookmarkStart w:id="4" w:name="_Hlk66974555"/>
            <w:r>
              <w:rPr>
                <w:rFonts w:hint="default" w:ascii="Times New Roman" w:hAnsi="Times New Roman" w:eastAsia="仿宋_GB2312" w:cs="Times New Roman"/>
                <w:color w:val="000000" w:themeColor="text1"/>
                <w:kern w:val="0"/>
                <w:sz w:val="16"/>
                <w:szCs w:val="16"/>
                <w14:textFill>
                  <w14:solidFill>
                    <w14:schemeClr w14:val="tx1"/>
                  </w14:solidFill>
                </w14:textFill>
              </w:rPr>
              <w:t>属于四类过程性信息</w:t>
            </w:r>
            <w:bookmarkEnd w:id="4"/>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continue"/>
            <w:shd w:val="clear" w:color="auto" w:fill="auto"/>
            <w:noWrap w:val="0"/>
            <w:tcMar>
              <w:left w:w="108" w:type="dxa"/>
              <w:right w:w="108" w:type="dxa"/>
            </w:tcMar>
            <w:vAlign w:val="center"/>
          </w:tcPr>
          <w:p>
            <w:pPr>
              <w:spacing w:line="200" w:lineRule="exact"/>
              <w:rPr>
                <w:rFonts w:hint="default" w:ascii="Times New Roman" w:hAnsi="Times New Roman" w:eastAsia="黑体" w:cs="Times New Roman"/>
                <w:color w:val="000000" w:themeColor="text1"/>
                <w:sz w:val="16"/>
                <w:szCs w:val="16"/>
                <w14:textFill>
                  <w14:solidFill>
                    <w14:schemeClr w14:val="tx1"/>
                  </w14:solidFill>
                </w14:textFill>
              </w:rPr>
            </w:pPr>
          </w:p>
        </w:tc>
        <w:tc>
          <w:tcPr>
            <w:tcW w:w="2531" w:type="dxa"/>
            <w:shd w:val="clear" w:color="auto" w:fill="auto"/>
            <w:noWrap w:val="0"/>
            <w:tcMar>
              <w:left w:w="108" w:type="dxa"/>
              <w:right w:w="108" w:type="dxa"/>
            </w:tcMar>
            <w:vAlign w:val="center"/>
          </w:tcPr>
          <w:p>
            <w:pPr>
              <w:widowControl/>
              <w:spacing w:line="200" w:lineRule="exact"/>
              <w:rPr>
                <w:rFonts w:hint="default" w:ascii="Times New Roman" w:hAnsi="Times New Roman" w:eastAsia="仿宋_GB2312" w:cs="Times New Roman"/>
                <w:color w:val="000000" w:themeColor="text1"/>
                <w:kern w:val="0"/>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7.属于行政执法案卷</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continue"/>
            <w:shd w:val="clear" w:color="auto" w:fill="auto"/>
            <w:noWrap w:val="0"/>
            <w:tcMar>
              <w:left w:w="108" w:type="dxa"/>
              <w:right w:w="108" w:type="dxa"/>
            </w:tcMar>
            <w:vAlign w:val="center"/>
          </w:tcPr>
          <w:p>
            <w:pPr>
              <w:spacing w:line="200" w:lineRule="exact"/>
              <w:rPr>
                <w:rFonts w:hint="default" w:ascii="Times New Roman" w:hAnsi="Times New Roman" w:eastAsia="黑体" w:cs="Times New Roman"/>
                <w:color w:val="000000" w:themeColor="text1"/>
                <w:sz w:val="16"/>
                <w:szCs w:val="16"/>
                <w14:textFill>
                  <w14:solidFill>
                    <w14:schemeClr w14:val="tx1"/>
                  </w14:solidFill>
                </w14:textFill>
              </w:rPr>
            </w:pPr>
          </w:p>
        </w:tc>
        <w:tc>
          <w:tcPr>
            <w:tcW w:w="2531" w:type="dxa"/>
            <w:shd w:val="clear" w:color="auto" w:fill="auto"/>
            <w:noWrap w:val="0"/>
            <w:tcMar>
              <w:left w:w="108" w:type="dxa"/>
              <w:right w:w="108" w:type="dxa"/>
            </w:tcMar>
            <w:vAlign w:val="center"/>
          </w:tcPr>
          <w:p>
            <w:pPr>
              <w:widowControl/>
              <w:spacing w:line="200" w:lineRule="exact"/>
              <w:rPr>
                <w:rFonts w:hint="default" w:ascii="Times New Roman" w:hAnsi="Times New Roman" w:eastAsia="仿宋_GB2312" w:cs="Times New Roman"/>
                <w:color w:val="000000" w:themeColor="text1"/>
                <w:kern w:val="0"/>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8.</w:t>
            </w:r>
            <w:bookmarkStart w:id="5" w:name="_Hlk66975211"/>
            <w:r>
              <w:rPr>
                <w:rFonts w:hint="default" w:ascii="Times New Roman" w:hAnsi="Times New Roman" w:eastAsia="仿宋_GB2312" w:cs="Times New Roman"/>
                <w:color w:val="000000" w:themeColor="text1"/>
                <w:kern w:val="0"/>
                <w:sz w:val="16"/>
                <w:szCs w:val="16"/>
                <w14:textFill>
                  <w14:solidFill>
                    <w14:schemeClr w14:val="tx1"/>
                  </w14:solidFill>
                </w14:textFill>
              </w:rPr>
              <w:t>属于行政查询事项</w:t>
            </w:r>
            <w:bookmarkEnd w:id="5"/>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restart"/>
            <w:shd w:val="clear" w:color="auto" w:fill="auto"/>
            <w:noWrap w:val="0"/>
            <w:tcMar>
              <w:left w:w="108" w:type="dxa"/>
              <w:right w:w="108" w:type="dxa"/>
            </w:tcMar>
            <w:vAlign w:val="center"/>
          </w:tcPr>
          <w:p>
            <w:pPr>
              <w:widowControl/>
              <w:spacing w:line="200" w:lineRule="exact"/>
              <w:ind w:left="-107" w:leftChars="-51"/>
              <w:rPr>
                <w:rFonts w:hint="default" w:ascii="Times New Roman" w:hAnsi="Times New Roman" w:eastAsia="黑体" w:cs="Times New Roman"/>
                <w:color w:val="000000" w:themeColor="text1"/>
                <w:sz w:val="16"/>
                <w:szCs w:val="16"/>
                <w14:textFill>
                  <w14:solidFill>
                    <w14:schemeClr w14:val="tx1"/>
                  </w14:solidFill>
                </w14:textFill>
              </w:rPr>
            </w:pPr>
            <w:r>
              <w:rPr>
                <w:rFonts w:hint="default" w:ascii="Times New Roman" w:hAnsi="Times New Roman" w:eastAsia="黑体" w:cs="Times New Roman"/>
                <w:color w:val="000000" w:themeColor="text1"/>
                <w:kern w:val="0"/>
                <w:sz w:val="16"/>
                <w:szCs w:val="16"/>
                <w14:textFill>
                  <w14:solidFill>
                    <w14:schemeClr w14:val="tx1"/>
                  </w14:solidFill>
                </w14:textFill>
              </w:rPr>
              <w:t>（四）无法提供</w:t>
            </w:r>
          </w:p>
        </w:tc>
        <w:tc>
          <w:tcPr>
            <w:tcW w:w="2531" w:type="dxa"/>
            <w:shd w:val="clear" w:color="auto" w:fill="auto"/>
            <w:noWrap w:val="0"/>
            <w:tcMar>
              <w:left w:w="108" w:type="dxa"/>
              <w:right w:w="108" w:type="dxa"/>
            </w:tcMar>
            <w:vAlign w:val="center"/>
          </w:tcPr>
          <w:p>
            <w:pPr>
              <w:widowControl/>
              <w:spacing w:line="200" w:lineRule="exact"/>
              <w:rPr>
                <w:rFonts w:hint="default" w:ascii="Times New Roman" w:hAnsi="Times New Roman" w:eastAsia="仿宋_GB2312" w:cs="Times New Roman"/>
                <w:color w:val="000000" w:themeColor="text1"/>
                <w:kern w:val="0"/>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1.本机关不掌握相关政府信息</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continue"/>
            <w:shd w:val="clear" w:color="auto" w:fill="auto"/>
            <w:noWrap w:val="0"/>
            <w:tcMar>
              <w:left w:w="108" w:type="dxa"/>
              <w:right w:w="108" w:type="dxa"/>
            </w:tcMar>
            <w:vAlign w:val="center"/>
          </w:tcPr>
          <w:p>
            <w:pPr>
              <w:spacing w:line="200" w:lineRule="exact"/>
              <w:ind w:left="-107" w:leftChars="-51"/>
              <w:rPr>
                <w:rFonts w:hint="default" w:ascii="Times New Roman" w:hAnsi="Times New Roman" w:eastAsia="黑体" w:cs="Times New Roman"/>
                <w:color w:val="000000" w:themeColor="text1"/>
                <w:sz w:val="16"/>
                <w:szCs w:val="16"/>
                <w14:textFill>
                  <w14:solidFill>
                    <w14:schemeClr w14:val="tx1"/>
                  </w14:solidFill>
                </w14:textFill>
              </w:rPr>
            </w:pPr>
          </w:p>
        </w:tc>
        <w:tc>
          <w:tcPr>
            <w:tcW w:w="2531" w:type="dxa"/>
            <w:shd w:val="clear" w:color="auto" w:fill="auto"/>
            <w:noWrap w:val="0"/>
            <w:tcMar>
              <w:left w:w="108" w:type="dxa"/>
              <w:right w:w="108" w:type="dxa"/>
            </w:tcMar>
            <w:vAlign w:val="center"/>
          </w:tcPr>
          <w:p>
            <w:pPr>
              <w:widowControl/>
              <w:spacing w:line="200" w:lineRule="exact"/>
              <w:rPr>
                <w:rFonts w:hint="default" w:ascii="Times New Roman" w:hAnsi="Times New Roman" w:eastAsia="仿宋_GB2312" w:cs="Times New Roman"/>
                <w:color w:val="000000" w:themeColor="text1"/>
                <w:kern w:val="0"/>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2.</w:t>
            </w:r>
            <w:bookmarkStart w:id="6" w:name="_Hlk66975392"/>
            <w:r>
              <w:rPr>
                <w:rFonts w:hint="default" w:ascii="Times New Roman" w:hAnsi="Times New Roman" w:eastAsia="仿宋_GB2312" w:cs="Times New Roman"/>
                <w:color w:val="000000" w:themeColor="text1"/>
                <w:kern w:val="0"/>
                <w:sz w:val="16"/>
                <w:szCs w:val="16"/>
                <w14:textFill>
                  <w14:solidFill>
                    <w14:schemeClr w14:val="tx1"/>
                  </w14:solidFill>
                </w14:textFill>
              </w:rPr>
              <w:t>没有现成信息需要另行制作</w:t>
            </w:r>
            <w:bookmarkEnd w:id="6"/>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continue"/>
            <w:shd w:val="clear" w:color="auto" w:fill="auto"/>
            <w:noWrap w:val="0"/>
            <w:tcMar>
              <w:left w:w="108" w:type="dxa"/>
              <w:right w:w="108" w:type="dxa"/>
            </w:tcMar>
            <w:vAlign w:val="center"/>
          </w:tcPr>
          <w:p>
            <w:pPr>
              <w:spacing w:line="200" w:lineRule="exact"/>
              <w:ind w:left="-107" w:leftChars="-51"/>
              <w:rPr>
                <w:rFonts w:hint="default" w:ascii="Times New Roman" w:hAnsi="Times New Roman" w:eastAsia="黑体" w:cs="Times New Roman"/>
                <w:color w:val="000000" w:themeColor="text1"/>
                <w:sz w:val="16"/>
                <w:szCs w:val="16"/>
                <w14:textFill>
                  <w14:solidFill>
                    <w14:schemeClr w14:val="tx1"/>
                  </w14:solidFill>
                </w14:textFill>
              </w:rPr>
            </w:pPr>
          </w:p>
        </w:tc>
        <w:tc>
          <w:tcPr>
            <w:tcW w:w="2531" w:type="dxa"/>
            <w:shd w:val="clear" w:color="auto" w:fill="auto"/>
            <w:noWrap w:val="0"/>
            <w:tcMar>
              <w:left w:w="108" w:type="dxa"/>
              <w:right w:w="108" w:type="dxa"/>
            </w:tcMar>
            <w:vAlign w:val="center"/>
          </w:tcPr>
          <w:p>
            <w:pPr>
              <w:widowControl/>
              <w:spacing w:line="200" w:lineRule="exact"/>
              <w:rPr>
                <w:rFonts w:hint="default" w:ascii="Times New Roman" w:hAnsi="Times New Roman" w:eastAsia="仿宋_GB2312" w:cs="Times New Roman"/>
                <w:color w:val="000000" w:themeColor="text1"/>
                <w:kern w:val="0"/>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3.</w:t>
            </w:r>
            <w:bookmarkStart w:id="7" w:name="_Hlk66975466"/>
            <w:r>
              <w:rPr>
                <w:rFonts w:hint="default" w:ascii="Times New Roman" w:hAnsi="Times New Roman" w:eastAsia="仿宋_GB2312" w:cs="Times New Roman"/>
                <w:color w:val="000000" w:themeColor="text1"/>
                <w:kern w:val="0"/>
                <w:sz w:val="16"/>
                <w:szCs w:val="16"/>
                <w14:textFill>
                  <w14:solidFill>
                    <w14:schemeClr w14:val="tx1"/>
                  </w14:solidFill>
                </w14:textFill>
              </w:rPr>
              <w:t>补正后申请内容仍不明确</w:t>
            </w:r>
            <w:bookmarkEnd w:id="7"/>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restart"/>
            <w:shd w:val="clear" w:color="auto" w:fill="auto"/>
            <w:noWrap w:val="0"/>
            <w:tcMar>
              <w:left w:w="108" w:type="dxa"/>
              <w:right w:w="108" w:type="dxa"/>
            </w:tcMar>
            <w:vAlign w:val="center"/>
          </w:tcPr>
          <w:p>
            <w:pPr>
              <w:widowControl/>
              <w:spacing w:line="200" w:lineRule="exact"/>
              <w:ind w:left="-107" w:leftChars="-51"/>
              <w:rPr>
                <w:rFonts w:hint="default" w:ascii="Times New Roman" w:hAnsi="Times New Roman" w:eastAsia="黑体" w:cs="Times New Roman"/>
                <w:color w:val="000000" w:themeColor="text1"/>
                <w:sz w:val="16"/>
                <w:szCs w:val="16"/>
                <w14:textFill>
                  <w14:solidFill>
                    <w14:schemeClr w14:val="tx1"/>
                  </w14:solidFill>
                </w14:textFill>
              </w:rPr>
            </w:pPr>
            <w:r>
              <w:rPr>
                <w:rFonts w:hint="default" w:ascii="Times New Roman" w:hAnsi="Times New Roman" w:eastAsia="黑体" w:cs="Times New Roman"/>
                <w:color w:val="000000" w:themeColor="text1"/>
                <w:kern w:val="0"/>
                <w:sz w:val="16"/>
                <w:szCs w:val="16"/>
                <w14:textFill>
                  <w14:solidFill>
                    <w14:schemeClr w14:val="tx1"/>
                  </w14:solidFill>
                </w14:textFill>
              </w:rPr>
              <w:t>（五）不予处理</w:t>
            </w:r>
          </w:p>
        </w:tc>
        <w:tc>
          <w:tcPr>
            <w:tcW w:w="2531" w:type="dxa"/>
            <w:shd w:val="clear" w:color="auto" w:fill="auto"/>
            <w:noWrap w:val="0"/>
            <w:tcMar>
              <w:left w:w="108" w:type="dxa"/>
              <w:right w:w="108" w:type="dxa"/>
            </w:tcMar>
            <w:vAlign w:val="center"/>
          </w:tcPr>
          <w:p>
            <w:pPr>
              <w:widowControl/>
              <w:spacing w:line="200" w:lineRule="exact"/>
              <w:rPr>
                <w:rFonts w:hint="default" w:ascii="Times New Roman" w:hAnsi="Times New Roman" w:eastAsia="仿宋_GB2312" w:cs="Times New Roman"/>
                <w:color w:val="000000" w:themeColor="text1"/>
                <w:kern w:val="0"/>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1.</w:t>
            </w:r>
            <w:bookmarkStart w:id="8" w:name="_Hlk66975537"/>
            <w:r>
              <w:rPr>
                <w:rFonts w:hint="default" w:ascii="Times New Roman" w:hAnsi="Times New Roman" w:eastAsia="仿宋_GB2312" w:cs="Times New Roman"/>
                <w:color w:val="000000" w:themeColor="text1"/>
                <w:kern w:val="0"/>
                <w:sz w:val="16"/>
                <w:szCs w:val="16"/>
                <w14:textFill>
                  <w14:solidFill>
                    <w14:schemeClr w14:val="tx1"/>
                  </w14:solidFill>
                </w14:textFill>
              </w:rPr>
              <w:t>信访举报投诉类申请</w:t>
            </w:r>
            <w:bookmarkEnd w:id="8"/>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continue"/>
            <w:shd w:val="clear" w:color="auto" w:fill="auto"/>
            <w:noWrap w:val="0"/>
            <w:tcMar>
              <w:left w:w="108" w:type="dxa"/>
              <w:right w:w="108" w:type="dxa"/>
            </w:tcMar>
            <w:vAlign w:val="center"/>
          </w:tcPr>
          <w:p>
            <w:pPr>
              <w:spacing w:line="200" w:lineRule="exact"/>
              <w:rPr>
                <w:rFonts w:hint="default" w:ascii="Times New Roman" w:hAnsi="Times New Roman" w:eastAsia="黑体" w:cs="Times New Roman"/>
                <w:color w:val="000000" w:themeColor="text1"/>
                <w:sz w:val="16"/>
                <w:szCs w:val="16"/>
                <w14:textFill>
                  <w14:solidFill>
                    <w14:schemeClr w14:val="tx1"/>
                  </w14:solidFill>
                </w14:textFill>
              </w:rPr>
            </w:pPr>
          </w:p>
        </w:tc>
        <w:tc>
          <w:tcPr>
            <w:tcW w:w="2531" w:type="dxa"/>
            <w:shd w:val="clear" w:color="auto" w:fill="auto"/>
            <w:noWrap w:val="0"/>
            <w:tcMar>
              <w:left w:w="108" w:type="dxa"/>
              <w:right w:w="108" w:type="dxa"/>
            </w:tcMar>
            <w:vAlign w:val="center"/>
          </w:tcPr>
          <w:p>
            <w:pPr>
              <w:widowControl/>
              <w:spacing w:line="200" w:lineRule="exact"/>
              <w:rPr>
                <w:rFonts w:hint="default" w:ascii="Times New Roman" w:hAnsi="Times New Roman" w:eastAsia="仿宋_GB2312" w:cs="Times New Roman"/>
                <w:color w:val="000000" w:themeColor="text1"/>
                <w:kern w:val="0"/>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2.重复申请</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continue"/>
            <w:shd w:val="clear" w:color="auto" w:fill="auto"/>
            <w:noWrap w:val="0"/>
            <w:tcMar>
              <w:left w:w="108" w:type="dxa"/>
              <w:right w:w="108" w:type="dxa"/>
            </w:tcMar>
            <w:vAlign w:val="center"/>
          </w:tcPr>
          <w:p>
            <w:pPr>
              <w:spacing w:line="200" w:lineRule="exact"/>
              <w:rPr>
                <w:rFonts w:hint="default" w:ascii="Times New Roman" w:hAnsi="Times New Roman" w:eastAsia="黑体" w:cs="Times New Roman"/>
                <w:color w:val="000000" w:themeColor="text1"/>
                <w:sz w:val="16"/>
                <w:szCs w:val="16"/>
                <w14:textFill>
                  <w14:solidFill>
                    <w14:schemeClr w14:val="tx1"/>
                  </w14:solidFill>
                </w14:textFill>
              </w:rPr>
            </w:pPr>
          </w:p>
        </w:tc>
        <w:tc>
          <w:tcPr>
            <w:tcW w:w="2531" w:type="dxa"/>
            <w:shd w:val="clear" w:color="auto" w:fill="auto"/>
            <w:noWrap w:val="0"/>
            <w:tcMar>
              <w:left w:w="108" w:type="dxa"/>
              <w:right w:w="108" w:type="dxa"/>
            </w:tcMar>
            <w:vAlign w:val="center"/>
          </w:tcPr>
          <w:p>
            <w:pPr>
              <w:widowControl/>
              <w:spacing w:line="200" w:lineRule="exact"/>
              <w:rPr>
                <w:rFonts w:hint="default" w:ascii="Times New Roman" w:hAnsi="Times New Roman" w:eastAsia="仿宋_GB2312" w:cs="Times New Roman"/>
                <w:color w:val="000000" w:themeColor="text1"/>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3.要求提供公开出版物</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7" w:hRule="exac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continue"/>
            <w:shd w:val="clear" w:color="auto" w:fill="auto"/>
            <w:noWrap w:val="0"/>
            <w:tcMar>
              <w:left w:w="108" w:type="dxa"/>
              <w:right w:w="108" w:type="dxa"/>
            </w:tcMar>
            <w:vAlign w:val="center"/>
          </w:tcPr>
          <w:p>
            <w:pPr>
              <w:spacing w:line="200" w:lineRule="exact"/>
              <w:rPr>
                <w:rFonts w:hint="default" w:ascii="Times New Roman" w:hAnsi="Times New Roman" w:eastAsia="黑体" w:cs="Times New Roman"/>
                <w:color w:val="000000" w:themeColor="text1"/>
                <w:sz w:val="16"/>
                <w:szCs w:val="16"/>
                <w14:textFill>
                  <w14:solidFill>
                    <w14:schemeClr w14:val="tx1"/>
                  </w14:solidFill>
                </w14:textFill>
              </w:rPr>
            </w:pPr>
          </w:p>
        </w:tc>
        <w:tc>
          <w:tcPr>
            <w:tcW w:w="2531" w:type="dxa"/>
            <w:shd w:val="clear" w:color="auto" w:fill="auto"/>
            <w:noWrap w:val="0"/>
            <w:tcMar>
              <w:left w:w="108" w:type="dxa"/>
              <w:right w:w="108" w:type="dxa"/>
            </w:tcMar>
            <w:vAlign w:val="center"/>
          </w:tcPr>
          <w:p>
            <w:pPr>
              <w:widowControl/>
              <w:spacing w:line="200" w:lineRule="exact"/>
              <w:rPr>
                <w:rFonts w:hint="default" w:ascii="Times New Roman" w:hAnsi="Times New Roman" w:eastAsia="仿宋_GB2312" w:cs="Times New Roman"/>
                <w:color w:val="000000" w:themeColor="text1"/>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4.无正当理由大量反复申请</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continue"/>
            <w:shd w:val="clear" w:color="auto" w:fill="auto"/>
            <w:noWrap w:val="0"/>
            <w:tcMar>
              <w:left w:w="108" w:type="dxa"/>
              <w:right w:w="108" w:type="dxa"/>
            </w:tcMar>
            <w:vAlign w:val="center"/>
          </w:tcPr>
          <w:p>
            <w:pPr>
              <w:spacing w:line="200" w:lineRule="exact"/>
              <w:rPr>
                <w:rFonts w:hint="default" w:ascii="Times New Roman" w:hAnsi="Times New Roman" w:eastAsia="黑体" w:cs="Times New Roman"/>
                <w:color w:val="000000" w:themeColor="text1"/>
                <w:sz w:val="16"/>
                <w:szCs w:val="16"/>
                <w14:textFill>
                  <w14:solidFill>
                    <w14:schemeClr w14:val="tx1"/>
                  </w14:solidFill>
                </w14:textFill>
              </w:rPr>
            </w:pPr>
          </w:p>
        </w:tc>
        <w:tc>
          <w:tcPr>
            <w:tcW w:w="2531" w:type="dxa"/>
            <w:shd w:val="clear" w:color="auto" w:fill="auto"/>
            <w:noWrap w:val="0"/>
            <w:tcMar>
              <w:left w:w="108" w:type="dxa"/>
              <w:right w:w="108" w:type="dxa"/>
            </w:tcMar>
            <w:vAlign w:val="center"/>
          </w:tcPr>
          <w:p>
            <w:pPr>
              <w:widowControl/>
              <w:spacing w:line="300" w:lineRule="exact"/>
              <w:rPr>
                <w:rFonts w:hint="default" w:ascii="Times New Roman" w:hAnsi="Times New Roman" w:eastAsia="仿宋_GB2312" w:cs="Times New Roman"/>
                <w:color w:val="000000" w:themeColor="text1"/>
                <w:kern w:val="0"/>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5.要求行政机关确认或重新</w:t>
            </w:r>
          </w:p>
          <w:p>
            <w:pPr>
              <w:widowControl/>
              <w:spacing w:line="300" w:lineRule="exact"/>
              <w:ind w:firstLine="160" w:firstLineChars="100"/>
              <w:rPr>
                <w:rFonts w:hint="default" w:ascii="Times New Roman" w:hAnsi="Times New Roman" w:eastAsia="仿宋_GB2312" w:cs="Times New Roman"/>
                <w:color w:val="000000" w:themeColor="text1"/>
                <w:sz w:val="16"/>
                <w:szCs w:val="16"/>
                <w14:textFill>
                  <w14:solidFill>
                    <w14:schemeClr w14:val="tx1"/>
                  </w14:solidFill>
                </w14:textFill>
              </w:rPr>
            </w:pPr>
            <w:r>
              <w:rPr>
                <w:rFonts w:hint="default" w:ascii="Times New Roman" w:hAnsi="Times New Roman" w:eastAsia="仿宋_GB2312" w:cs="Times New Roman"/>
                <w:color w:val="000000" w:themeColor="text1"/>
                <w:kern w:val="0"/>
                <w:sz w:val="16"/>
                <w:szCs w:val="16"/>
                <w14:textFill>
                  <w14:solidFill>
                    <w14:schemeClr w14:val="tx1"/>
                  </w14:solidFill>
                </w14:textFill>
              </w:rPr>
              <w:t>出具已获取信息</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restart"/>
            <w:shd w:val="clear" w:color="auto" w:fill="auto"/>
            <w:noWrap w:val="0"/>
            <w:tcMar>
              <w:left w:w="108" w:type="dxa"/>
              <w:right w:w="108" w:type="dxa"/>
            </w:tcMar>
            <w:vAlign w:val="center"/>
          </w:tcPr>
          <w:p>
            <w:pPr>
              <w:widowControl/>
              <w:spacing w:line="300" w:lineRule="exact"/>
              <w:rPr>
                <w:rFonts w:hint="default" w:ascii="Times New Roman" w:hAnsi="Times New Roman" w:eastAsia="黑体" w:cs="Times New Roman"/>
                <w:color w:val="000000" w:themeColor="text1"/>
                <w:kern w:val="0"/>
                <w:sz w:val="16"/>
                <w:szCs w:val="16"/>
                <w14:textFill>
                  <w14:solidFill>
                    <w14:schemeClr w14:val="tx1"/>
                  </w14:solidFill>
                </w14:textFill>
              </w:rPr>
            </w:pPr>
            <w:r>
              <w:rPr>
                <w:rFonts w:hint="default" w:ascii="Times New Roman" w:hAnsi="Times New Roman" w:eastAsia="黑体" w:cs="Times New Roman"/>
                <w:color w:val="000000" w:themeColor="text1"/>
                <w:kern w:val="0"/>
                <w:sz w:val="16"/>
                <w:szCs w:val="16"/>
                <w14:textFill>
                  <w14:solidFill>
                    <w14:schemeClr w14:val="tx1"/>
                  </w14:solidFill>
                </w14:textFill>
              </w:rPr>
              <w:t>（六）其他处理</w:t>
            </w:r>
          </w:p>
        </w:tc>
        <w:tc>
          <w:tcPr>
            <w:tcW w:w="2531" w:type="dxa"/>
            <w:shd w:val="clear" w:color="auto" w:fill="auto"/>
            <w:noWrap w:val="0"/>
            <w:vAlign w:val="center"/>
          </w:tcPr>
          <w:p>
            <w:pPr>
              <w:widowControl/>
              <w:spacing w:line="300" w:lineRule="exact"/>
              <w:rPr>
                <w:rFonts w:hint="default" w:ascii="Times New Roman" w:hAnsi="Times New Roman" w:eastAsia="仿宋_GB2312" w:cs="Times New Roman"/>
                <w:color w:val="000000" w:themeColor="text1"/>
                <w:sz w:val="16"/>
                <w:szCs w:val="18"/>
                <w:lang w:eastAsia="zh-CN"/>
                <w14:textFill>
                  <w14:solidFill>
                    <w14:schemeClr w14:val="tx1"/>
                  </w14:solidFill>
                </w14:textFill>
              </w:rPr>
            </w:pPr>
            <w:r>
              <w:rPr>
                <w:rFonts w:hint="default" w:ascii="Times New Roman" w:hAnsi="Times New Roman" w:eastAsia="仿宋_GB2312" w:cs="Times New Roman"/>
                <w:color w:val="000000" w:themeColor="text1"/>
                <w:sz w:val="16"/>
                <w:szCs w:val="18"/>
                <w:lang w:eastAsia="zh-CN"/>
                <w14:textFill>
                  <w14:solidFill>
                    <w14:schemeClr w14:val="tx1"/>
                  </w14:solidFill>
                </w14:textFill>
              </w:rPr>
              <w:t>1. 申请人无正当理由逾期不补正、行政机关不再处理其政府信息公开申请</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continue"/>
            <w:shd w:val="clear" w:color="auto" w:fill="auto"/>
            <w:noWrap w:val="0"/>
            <w:tcMar>
              <w:left w:w="108" w:type="dxa"/>
              <w:right w:w="108" w:type="dxa"/>
            </w:tcMar>
            <w:vAlign w:val="center"/>
          </w:tcPr>
          <w:p>
            <w:pPr>
              <w:widowControl/>
              <w:spacing w:line="300" w:lineRule="exact"/>
              <w:rPr>
                <w:rFonts w:hint="default" w:ascii="Times New Roman" w:hAnsi="Times New Roman" w:eastAsia="黑体" w:cs="Times New Roman"/>
                <w:color w:val="000000" w:themeColor="text1"/>
                <w:kern w:val="0"/>
                <w:sz w:val="16"/>
                <w:szCs w:val="16"/>
                <w14:textFill>
                  <w14:solidFill>
                    <w14:schemeClr w14:val="tx1"/>
                  </w14:solidFill>
                </w14:textFill>
              </w:rPr>
            </w:pPr>
          </w:p>
        </w:tc>
        <w:tc>
          <w:tcPr>
            <w:tcW w:w="2531" w:type="dxa"/>
            <w:shd w:val="clear" w:color="auto" w:fill="auto"/>
            <w:noWrap w:val="0"/>
            <w:vAlign w:val="center"/>
          </w:tcPr>
          <w:p>
            <w:pPr>
              <w:widowControl/>
              <w:spacing w:line="300" w:lineRule="exact"/>
              <w:rPr>
                <w:rFonts w:hint="default" w:ascii="Times New Roman" w:hAnsi="Times New Roman" w:eastAsia="仿宋_GB2312" w:cs="Times New Roman"/>
                <w:color w:val="000000" w:themeColor="text1"/>
                <w:kern w:val="0"/>
                <w:sz w:val="16"/>
                <w:szCs w:val="16"/>
                <w:lang w:eastAsia="zh-CN"/>
                <w14:textFill>
                  <w14:solidFill>
                    <w14:schemeClr w14:val="tx1"/>
                  </w14:solidFill>
                </w14:textFill>
              </w:rPr>
            </w:pPr>
            <w:r>
              <w:rPr>
                <w:rFonts w:hint="default" w:ascii="Times New Roman" w:hAnsi="Times New Roman" w:eastAsia="仿宋_GB2312" w:cs="Times New Roman"/>
                <w:color w:val="000000" w:themeColor="text1"/>
                <w:kern w:val="0"/>
                <w:sz w:val="16"/>
                <w:szCs w:val="16"/>
                <w:lang w:eastAsia="zh-CN"/>
                <w14:textFill>
                  <w14:solidFill>
                    <w14:schemeClr w14:val="tx1"/>
                  </w14:solidFill>
                </w14:textFill>
              </w:rPr>
              <w:t>2. 申请人逾期未按收费通知要求缴纳费用、行政机关不再处理其政府信息公开申请</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736" w:type="dxa"/>
            <w:vMerge w:val="continue"/>
            <w:shd w:val="clear" w:color="auto" w:fill="auto"/>
            <w:noWrap w:val="0"/>
            <w:tcMar>
              <w:left w:w="108" w:type="dxa"/>
              <w:right w:w="108" w:type="dxa"/>
            </w:tcMar>
            <w:vAlign w:val="center"/>
          </w:tcPr>
          <w:p>
            <w:pPr>
              <w:widowControl/>
              <w:spacing w:line="300" w:lineRule="exact"/>
              <w:rPr>
                <w:rFonts w:hint="default" w:ascii="Times New Roman" w:hAnsi="Times New Roman" w:eastAsia="黑体" w:cs="Times New Roman"/>
                <w:color w:val="000000" w:themeColor="text1"/>
                <w:kern w:val="0"/>
                <w:sz w:val="16"/>
                <w:szCs w:val="16"/>
                <w14:textFill>
                  <w14:solidFill>
                    <w14:schemeClr w14:val="tx1"/>
                  </w14:solidFill>
                </w14:textFill>
              </w:rPr>
            </w:pPr>
          </w:p>
        </w:tc>
        <w:tc>
          <w:tcPr>
            <w:tcW w:w="2531" w:type="dxa"/>
            <w:shd w:val="clear" w:color="auto" w:fill="auto"/>
            <w:noWrap w:val="0"/>
            <w:vAlign w:val="center"/>
          </w:tcPr>
          <w:p>
            <w:pPr>
              <w:widowControl/>
              <w:spacing w:line="300" w:lineRule="exact"/>
              <w:rPr>
                <w:rFonts w:hint="default" w:ascii="Times New Roman" w:hAnsi="Times New Roman" w:eastAsia="仿宋_GB2312" w:cs="Times New Roman"/>
                <w:color w:val="000000" w:themeColor="text1"/>
                <w:kern w:val="0"/>
                <w:sz w:val="16"/>
                <w:szCs w:val="16"/>
                <w14:textFill>
                  <w14:solidFill>
                    <w14:schemeClr w14:val="tx1"/>
                  </w14:solidFill>
                </w14:textFill>
              </w:rPr>
            </w:pPr>
            <w:r>
              <w:rPr>
                <w:rFonts w:hint="default" w:ascii="Times New Roman" w:hAnsi="Times New Roman" w:eastAsia="仿宋_GB2312" w:cs="Times New Roman"/>
                <w:color w:val="000000" w:themeColor="text1"/>
                <w:sz w:val="16"/>
                <w:szCs w:val="18"/>
                <w14:textFill>
                  <w14:solidFill>
                    <w14:schemeClr w14:val="tx1"/>
                  </w14:solidFill>
                </w14:textFill>
              </w:rPr>
              <w:t>3.其他</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shd w:val="clear" w:color="auto" w:fill="auto"/>
            <w:noWrap w:val="0"/>
            <w:tcMar>
              <w:left w:w="108" w:type="dxa"/>
              <w:right w:w="108" w:type="dxa"/>
            </w:tcMar>
            <w:vAlign w:val="center"/>
          </w:tcPr>
          <w:p>
            <w:pPr>
              <w:rPr>
                <w:rFonts w:hint="default" w:ascii="Times New Roman" w:hAnsi="Times New Roman" w:eastAsia="黑体" w:cs="Times New Roman"/>
                <w:color w:val="000000" w:themeColor="text1"/>
                <w:szCs w:val="21"/>
                <w14:textFill>
                  <w14:solidFill>
                    <w14:schemeClr w14:val="tx1"/>
                  </w14:solidFill>
                </w14:textFill>
              </w:rPr>
            </w:pPr>
          </w:p>
        </w:tc>
        <w:tc>
          <w:tcPr>
            <w:tcW w:w="3267" w:type="dxa"/>
            <w:gridSpan w:val="2"/>
            <w:shd w:val="clear" w:color="auto" w:fill="auto"/>
            <w:noWrap w:val="0"/>
            <w:tcMar>
              <w:left w:w="108" w:type="dxa"/>
              <w:right w:w="108" w:type="dxa"/>
            </w:tcMar>
            <w:vAlign w:val="center"/>
          </w:tcPr>
          <w:p>
            <w:pPr>
              <w:widowControl/>
              <w:spacing w:line="300" w:lineRule="exact"/>
              <w:rPr>
                <w:rFonts w:hint="default" w:ascii="Times New Roman" w:hAnsi="Times New Roman" w:eastAsia="黑体" w:cs="Times New Roman"/>
                <w:color w:val="000000" w:themeColor="text1"/>
                <w:kern w:val="0"/>
                <w:sz w:val="16"/>
                <w:szCs w:val="16"/>
                <w14:textFill>
                  <w14:solidFill>
                    <w14:schemeClr w14:val="tx1"/>
                  </w14:solidFill>
                </w14:textFill>
              </w:rPr>
            </w:pPr>
            <w:r>
              <w:rPr>
                <w:rFonts w:hint="default" w:ascii="Times New Roman" w:hAnsi="Times New Roman" w:eastAsia="黑体" w:cs="Times New Roman"/>
                <w:color w:val="000000" w:themeColor="text1"/>
                <w:kern w:val="0"/>
                <w:sz w:val="16"/>
                <w:szCs w:val="16"/>
                <w14:textFill>
                  <w14:solidFill>
                    <w14:schemeClr w14:val="tx1"/>
                  </w14:solidFill>
                </w14:textFill>
              </w:rPr>
              <w:t>（七）总计</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648" w:type="dxa"/>
            <w:gridSpan w:val="3"/>
            <w:shd w:val="clear" w:color="auto" w:fill="auto"/>
            <w:noWrap w:val="0"/>
            <w:tcMar>
              <w:left w:w="108" w:type="dxa"/>
              <w:right w:w="108" w:type="dxa"/>
            </w:tcMar>
            <w:vAlign w:val="center"/>
          </w:tcPr>
          <w:p>
            <w:pPr>
              <w:widowControl/>
              <w:spacing w:line="300" w:lineRule="exact"/>
              <w:rPr>
                <w:rFonts w:hint="default" w:ascii="Times New Roman" w:hAnsi="Times New Roman" w:eastAsia="黑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Cs w:val="21"/>
                <w14:textFill>
                  <w14:solidFill>
                    <w14:schemeClr w14:val="tx1"/>
                  </w14:solidFill>
                </w14:textFill>
              </w:rPr>
              <w:t>四、结转下年度继续办理</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黑体" w:cs="Times New Roman"/>
          <w:i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黑体" w:cs="Times New Roman"/>
          <w:i w:val="0"/>
          <w:caps w:val="0"/>
          <w:color w:val="000000" w:themeColor="text1"/>
          <w:spacing w:val="0"/>
          <w:kern w:val="0"/>
          <w:sz w:val="32"/>
          <w:szCs w:val="32"/>
          <w:lang w:val="en-US" w:eastAsia="zh-CN" w:bidi="ar"/>
          <w14:textFill>
            <w14:solidFill>
              <w14:schemeClr w14:val="tx1"/>
            </w14:solidFill>
          </w14:textFill>
        </w:rPr>
        <w:t>四、</w:t>
      </w:r>
      <w:r>
        <w:rPr>
          <w:rFonts w:hint="default" w:ascii="Times New Roman" w:hAnsi="Times New Roman" w:eastAsia="黑体" w:cs="Times New Roman"/>
          <w:i w:val="0"/>
          <w:caps w:val="0"/>
          <w:color w:val="000000" w:themeColor="text1"/>
          <w:spacing w:val="0"/>
          <w:sz w:val="32"/>
          <w:szCs w:val="32"/>
          <w:lang w:val="en-US" w:eastAsia="zh-CN"/>
          <w14:textFill>
            <w14:solidFill>
              <w14:schemeClr w14:val="tx1"/>
            </w14:solidFill>
          </w14:textFill>
        </w:rPr>
        <w:t>政府信息公开行政复议、行政诉讼情况</w:t>
      </w:r>
    </w:p>
    <w:tbl>
      <w:tblPr>
        <w:tblStyle w:val="5"/>
        <w:tblpPr w:leftFromText="180" w:rightFromText="180" w:vertAnchor="text" w:horzAnchor="page" w:tblpX="1537" w:tblpY="619"/>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49" w:leftChars="-71" w:right="-170"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18" w:leftChars="-56" w:right="-118"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5" w:hRule="atLeast"/>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26" w:leftChars="-60" w:right="-136"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64" w:leftChars="-78" w:right="-153"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36" w:leftChars="-65" w:right="-124"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73" w:leftChars="-83" w:right="-134" w:rightChars="-64"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Style w:val="7"/>
          <w:rFonts w:hint="default" w:ascii="Times New Roman" w:hAnsi="Times New Roman" w:eastAsia="仿宋_GB2312" w:cs="Times New Roman"/>
          <w:i w:val="0"/>
          <w:iCs w:val="0"/>
          <w:caps w:val="0"/>
          <w:color w:val="333333"/>
          <w:spacing w:val="0"/>
          <w:sz w:val="32"/>
          <w:szCs w:val="32"/>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黑体" w:cs="Times New Roman"/>
          <w:i w:val="0"/>
          <w:caps w:val="0"/>
          <w:color w:val="000000" w:themeColor="text1"/>
          <w:spacing w:val="0"/>
          <w:kern w:val="0"/>
          <w:sz w:val="32"/>
          <w:szCs w:val="32"/>
          <w:lang w:val="en-US" w:eastAsia="zh-CN" w:bidi="ar"/>
          <w14:textFill>
            <w14:solidFill>
              <w14:schemeClr w14:val="tx1"/>
            </w14:solidFill>
          </w14:textFill>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Style w:val="7"/>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黑体" w:cs="Times New Roman"/>
          <w:i w:val="0"/>
          <w:caps w:val="0"/>
          <w:color w:val="000000" w:themeColor="text1"/>
          <w:spacing w:val="0"/>
          <w:kern w:val="0"/>
          <w:sz w:val="32"/>
          <w:szCs w:val="32"/>
          <w:lang w:val="en-US" w:eastAsia="zh-CN" w:bidi="ar"/>
          <w14:textFill>
            <w14:solidFill>
              <w14:schemeClr w14:val="tx1"/>
            </w14:solidFill>
          </w14:textFill>
        </w:rPr>
        <w:t>五、</w:t>
      </w:r>
      <w:r>
        <w:rPr>
          <w:rFonts w:hint="default" w:ascii="Times New Roman" w:hAnsi="Times New Roman" w:eastAsia="黑体" w:cs="Times New Roman"/>
          <w:i w:val="0"/>
          <w:caps w:val="0"/>
          <w:color w:val="000000" w:themeColor="text1"/>
          <w:spacing w:val="0"/>
          <w:sz w:val="32"/>
          <w:szCs w:val="32"/>
          <w:lang w:val="en-US" w:eastAsia="zh-CN"/>
          <w14:textFill>
            <w14:solidFill>
              <w14:schemeClr w14:val="tx1"/>
            </w14:solidFill>
          </w14:textFill>
        </w:rPr>
        <w:t>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_GB2312" w:cs="Times New Roman"/>
          <w:i w:val="0"/>
          <w:iCs w:val="0"/>
          <w:caps w:val="0"/>
          <w:color w:val="333333"/>
          <w:spacing w:val="0"/>
          <w:sz w:val="32"/>
          <w:szCs w:val="32"/>
        </w:rPr>
      </w:pPr>
      <w:r>
        <w:rPr>
          <w:rStyle w:val="7"/>
          <w:rFonts w:hint="default" w:ascii="Times New Roman" w:hAnsi="Times New Roman" w:eastAsia="仿宋_GB2312" w:cs="Times New Roman"/>
          <w:i w:val="0"/>
          <w:iCs w:val="0"/>
          <w:caps w:val="0"/>
          <w:color w:val="333333"/>
          <w:spacing w:val="0"/>
          <w:sz w:val="32"/>
          <w:szCs w:val="32"/>
        </w:rPr>
        <w:t>存在问题：</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一是依法主动公开意识有待进一步增强；二是公开的政府信息特色亮点内容不足。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r>
        <w:rPr>
          <w:rStyle w:val="7"/>
          <w:rFonts w:hint="default" w:ascii="Times New Roman" w:hAnsi="Times New Roman" w:eastAsia="仿宋_GB2312" w:cs="Times New Roman"/>
          <w:i w:val="0"/>
          <w:iCs w:val="0"/>
          <w:caps w:val="0"/>
          <w:color w:val="333333"/>
          <w:spacing w:val="0"/>
          <w:sz w:val="32"/>
          <w:szCs w:val="32"/>
        </w:rPr>
        <w:t>改进情况：</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一是加强组织领导，总结工作经验，不断完善主动公开的类别、内容和形式。二是加强信息员队伍培养，灵活采取文字、图解、音频或视频等政务公开形式，提升政府信息公开质量。三是发掘政府信息特色亮点内容，以退役军人看得到、看得懂，方便群众办事，便于群众监督为原则，不断探索借鉴有创新性和特色性的经验做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lang w:eastAsia="zh-CN"/>
          <w14:textFill>
            <w14:solidFill>
              <w14:schemeClr w14:val="tx1"/>
            </w14:solidFill>
          </w14:textFill>
        </w:rPr>
        <w:t>六、其他需要报告的事项</w:t>
      </w:r>
    </w:p>
    <w:p>
      <w:pPr>
        <w:widowControl/>
        <w:shd w:val="clear" w:color="auto" w:fill="FFFFFF"/>
        <w:spacing w:line="560" w:lineRule="exact"/>
        <w:ind w:firstLine="640"/>
        <w:jc w:val="left"/>
        <w:rPr>
          <w:rFonts w:ascii="Times New Roman" w:hAnsi="Times New Roman" w:eastAsia="微软雅黑" w:cs="Times New Roman"/>
          <w:color w:val="auto"/>
          <w:kern w:val="0"/>
          <w:sz w:val="24"/>
          <w:highlight w:val="none"/>
        </w:rPr>
      </w:pPr>
      <w:r>
        <w:rPr>
          <w:rFonts w:ascii="Times New Roman" w:hAnsi="Times New Roman" w:eastAsia="微软雅黑" w:cs="Times New Roman"/>
          <w:color w:val="auto"/>
          <w:kern w:val="0"/>
          <w:sz w:val="32"/>
          <w:szCs w:val="32"/>
          <w:highlight w:val="none"/>
          <w:shd w:val="clear" w:color="auto" w:fill="FFFFFF"/>
        </w:rPr>
        <w:t>1</w:t>
      </w:r>
      <w:r>
        <w:rPr>
          <w:rFonts w:ascii="Times New Roman" w:hAnsi="Times New Roman" w:eastAsia="楷体" w:cs="Times New Roman"/>
          <w:color w:val="auto"/>
          <w:kern w:val="0"/>
          <w:sz w:val="32"/>
          <w:szCs w:val="32"/>
          <w:highlight w:val="none"/>
          <w:shd w:val="clear" w:color="auto" w:fill="FFFFFF"/>
        </w:rPr>
        <w:t>、</w:t>
      </w:r>
      <w:r>
        <w:rPr>
          <w:rFonts w:ascii="Times New Roman" w:hAnsi="Times New Roman" w:eastAsia="楷体" w:cs="Times New Roman"/>
          <w:color w:val="auto"/>
          <w:kern w:val="0"/>
          <w:sz w:val="32"/>
          <w:szCs w:val="32"/>
          <w:highlight w:val="none"/>
        </w:rPr>
        <w:t>收取信息处理费情况</w:t>
      </w:r>
      <w:r>
        <w:rPr>
          <w:rFonts w:ascii="Times New Roman" w:hAnsi="Times New Roman" w:eastAsia="仿宋_GB2312" w:cs="Times New Roman"/>
          <w:color w:val="auto"/>
          <w:kern w:val="0"/>
          <w:sz w:val="32"/>
          <w:szCs w:val="32"/>
          <w:highlight w:val="none"/>
        </w:rPr>
        <w:t>。</w:t>
      </w:r>
      <w:r>
        <w:rPr>
          <w:rFonts w:ascii="Times New Roman" w:hAnsi="Times New Roman" w:eastAsia="仿宋_GB2312" w:cs="Times New Roman"/>
          <w:color w:val="auto"/>
          <w:kern w:val="0"/>
          <w:sz w:val="32"/>
          <w:szCs w:val="32"/>
          <w:highlight w:val="none"/>
          <w:shd w:val="clear" w:color="auto" w:fill="FFFFFF"/>
        </w:rPr>
        <w:t>按照《国务院办公厅关于印发&lt;政府信息公开信息处理费管理办法&gt;的通知》（国办函〔2020〕109号）和《山东省人民政府办公厅关于做好政府信息公开信息处理费管理工作有关事项的通知》（鲁政办字〔2020〕179号）收取信息处理费。2023年</w:t>
      </w:r>
      <w:r>
        <w:rPr>
          <w:rFonts w:hint="eastAsia" w:ascii="Times New Roman" w:hAnsi="Times New Roman" w:eastAsia="仿宋_GB2312" w:cs="Times New Roman"/>
          <w:color w:val="auto"/>
          <w:kern w:val="0"/>
          <w:sz w:val="32"/>
          <w:szCs w:val="32"/>
          <w:highlight w:val="none"/>
          <w:shd w:val="clear" w:color="auto" w:fill="FFFFFF"/>
        </w:rPr>
        <w:t>，</w:t>
      </w:r>
      <w:r>
        <w:rPr>
          <w:rFonts w:ascii="Times New Roman" w:hAnsi="Times New Roman" w:eastAsia="仿宋_GB2312" w:cs="Times New Roman"/>
          <w:color w:val="auto"/>
          <w:kern w:val="0"/>
          <w:sz w:val="32"/>
          <w:szCs w:val="32"/>
          <w:highlight w:val="none"/>
          <w:shd w:val="clear" w:color="auto" w:fill="FFFFFF"/>
        </w:rPr>
        <w:t>本机关依申请公开政府信息未收取任何费用。</w:t>
      </w:r>
      <w:bookmarkStart w:id="10" w:name="_GoBack"/>
      <w:bookmarkEnd w:id="1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r>
        <w:rPr>
          <w:rFonts w:ascii="Times New Roman" w:hAnsi="Times New Roman" w:eastAsia="微软雅黑" w:cs="Times New Roman"/>
          <w:color w:val="auto"/>
          <w:kern w:val="0"/>
          <w:sz w:val="32"/>
          <w:szCs w:val="32"/>
          <w:highlight w:val="none"/>
        </w:rPr>
        <w:t>2</w:t>
      </w:r>
      <w:r>
        <w:rPr>
          <w:rFonts w:ascii="Times New Roman" w:hAnsi="Times New Roman" w:eastAsia="楷体" w:cs="Times New Roman"/>
          <w:color w:val="auto"/>
          <w:kern w:val="0"/>
          <w:sz w:val="32"/>
          <w:szCs w:val="32"/>
          <w:highlight w:val="none"/>
        </w:rPr>
        <w:t>、落实上级年度政务公开工作要点情况</w:t>
      </w:r>
      <w:r>
        <w:rPr>
          <w:rFonts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严格贯彻落实《淄川区人民政府办公室关于印发202</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年淄川区政务公开工作实施方案的通知》</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部署、要求</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形成并公开了《淄川区退役军人事务局政务公开工作任务台账》，明确重点工作任务，压实工作责任，并督导推进各业务科室</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认真完成政务公开考核规定的内容。</w:t>
      </w:r>
    </w:p>
    <w:p>
      <w:pPr>
        <w:widowControl/>
        <w:shd w:val="clear" w:color="auto" w:fill="FFFFFF"/>
        <w:spacing w:line="560" w:lineRule="exact"/>
        <w:ind w:firstLine="640"/>
        <w:jc w:val="left"/>
        <w:rPr>
          <w:rFonts w:ascii="Times New Roman" w:hAnsi="Times New Roman" w:eastAsia="仿宋_GB2312" w:cs="Times New Roman"/>
          <w:color w:val="auto"/>
          <w:kern w:val="0"/>
          <w:sz w:val="32"/>
          <w:szCs w:val="32"/>
          <w:highlight w:val="none"/>
        </w:rPr>
      </w:pPr>
      <w:r>
        <w:rPr>
          <w:rFonts w:ascii="Times New Roman" w:hAnsi="Times New Roman" w:eastAsia="微软雅黑" w:cs="Times New Roman"/>
          <w:color w:val="auto"/>
          <w:kern w:val="0"/>
          <w:sz w:val="32"/>
          <w:szCs w:val="32"/>
          <w:highlight w:val="none"/>
        </w:rPr>
        <w:t>3</w:t>
      </w:r>
      <w:r>
        <w:rPr>
          <w:rFonts w:ascii="Times New Roman" w:hAnsi="Times New Roman" w:eastAsia="楷体" w:cs="Times New Roman"/>
          <w:color w:val="auto"/>
          <w:kern w:val="0"/>
          <w:sz w:val="32"/>
          <w:szCs w:val="32"/>
          <w:highlight w:val="none"/>
        </w:rPr>
        <w:t>、人大代表</w:t>
      </w:r>
      <w:r>
        <w:rPr>
          <w:rFonts w:hint="eastAsia" w:ascii="Times New Roman" w:hAnsi="Times New Roman" w:eastAsia="楷体" w:cs="Times New Roman"/>
          <w:color w:val="auto"/>
          <w:kern w:val="0"/>
          <w:sz w:val="32"/>
          <w:szCs w:val="32"/>
          <w:highlight w:val="none"/>
          <w:lang w:val="en-US" w:eastAsia="zh-CN"/>
        </w:rPr>
        <w:t>建议</w:t>
      </w:r>
      <w:r>
        <w:rPr>
          <w:rFonts w:ascii="Times New Roman" w:hAnsi="Times New Roman" w:eastAsia="楷体" w:cs="Times New Roman"/>
          <w:color w:val="auto"/>
          <w:kern w:val="0"/>
          <w:sz w:val="32"/>
          <w:szCs w:val="32"/>
          <w:highlight w:val="none"/>
        </w:rPr>
        <w:t>和政协</w:t>
      </w:r>
      <w:r>
        <w:rPr>
          <w:rFonts w:hint="eastAsia" w:ascii="Times New Roman" w:hAnsi="Times New Roman" w:eastAsia="楷体" w:cs="Times New Roman"/>
          <w:color w:val="auto"/>
          <w:kern w:val="0"/>
          <w:sz w:val="32"/>
          <w:szCs w:val="32"/>
          <w:highlight w:val="none"/>
          <w:lang w:val="en-US" w:eastAsia="zh-CN"/>
        </w:rPr>
        <w:t>委员</w:t>
      </w:r>
      <w:r>
        <w:rPr>
          <w:rFonts w:ascii="Times New Roman" w:hAnsi="Times New Roman" w:eastAsia="楷体" w:cs="Times New Roman"/>
          <w:color w:val="auto"/>
          <w:kern w:val="0"/>
          <w:sz w:val="32"/>
          <w:szCs w:val="32"/>
          <w:highlight w:val="none"/>
        </w:rPr>
        <w:t>提案办理结果公开情况</w:t>
      </w:r>
      <w:r>
        <w:rPr>
          <w:rFonts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年我局收到政协</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委员</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提案</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件，未收到人大</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代表</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建议，政协委员</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提案</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答复文件按法定程序面复代表委员，面复率100%，办复率100%，代表委员满意率达100%</w:t>
      </w:r>
      <w:r>
        <w:rPr>
          <w:rFonts w:hint="eastAsia"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并</w:t>
      </w:r>
      <w:r>
        <w:rPr>
          <w:rFonts w:hint="eastAsia" w:ascii="Times New Roman" w:hAnsi="Times New Roman" w:eastAsia="仿宋_GB2312" w:cs="Times New Roman"/>
          <w:color w:val="auto"/>
          <w:kern w:val="0"/>
          <w:sz w:val="32"/>
          <w:szCs w:val="32"/>
          <w:highlight w:val="none"/>
          <w:lang w:val="en-US" w:eastAsia="zh-CN"/>
        </w:rPr>
        <w:t>依规对提案内容、答复内容进行公开。</w:t>
      </w:r>
      <w:r>
        <w:rPr>
          <w:rFonts w:ascii="Times New Roman" w:hAnsi="Times New Roman" w:eastAsia="仿宋_GB2312" w:cs="Times New Roman"/>
          <w:color w:val="auto"/>
          <w:kern w:val="0"/>
          <w:sz w:val="32"/>
          <w:szCs w:val="32"/>
          <w:highlight w:val="none"/>
        </w:rPr>
        <w:t>未有上级建议提案办理</w:t>
      </w:r>
      <w:r>
        <w:rPr>
          <w:rFonts w:hint="eastAsia" w:ascii="Times New Roman" w:hAnsi="Times New Roman" w:eastAsia="仿宋_GB2312" w:cs="Times New Roman"/>
          <w:color w:val="auto"/>
          <w:kern w:val="0"/>
          <w:sz w:val="32"/>
          <w:szCs w:val="32"/>
          <w:highlight w:val="none"/>
          <w:lang w:val="en-US" w:eastAsia="zh-CN"/>
        </w:rPr>
        <w:t>情况公开</w:t>
      </w:r>
      <w:r>
        <w:rPr>
          <w:rFonts w:ascii="Times New Roman" w:hAnsi="Times New Roman" w:eastAsia="仿宋_GB2312" w:cs="Times New Roman"/>
          <w:color w:val="auto"/>
          <w:kern w:val="0"/>
          <w:sz w:val="32"/>
          <w:szCs w:val="32"/>
          <w:highlight w:val="none"/>
        </w:rPr>
        <w:t>任务。</w:t>
      </w:r>
    </w:p>
    <w:p>
      <w:pPr>
        <w:widowControl/>
        <w:shd w:val="clear" w:color="auto" w:fill="FFFFFF"/>
        <w:spacing w:line="560" w:lineRule="exact"/>
        <w:ind w:firstLine="64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highlight w:val="none"/>
        </w:rPr>
        <w:t>4、</w:t>
      </w:r>
      <w:r>
        <w:rPr>
          <w:rFonts w:hint="eastAsia" w:ascii="仿宋_GB2312" w:hAnsi="仿宋_GB2312" w:eastAsia="仿宋_GB2312" w:cs="仿宋_GB2312"/>
          <w:color w:val="auto"/>
          <w:kern w:val="0"/>
          <w:sz w:val="32"/>
          <w:szCs w:val="32"/>
          <w:highlight w:val="none"/>
        </w:rPr>
        <w:t>政务公开工作创新情况。</w:t>
      </w:r>
      <w:r>
        <w:rPr>
          <w:rFonts w:hint="eastAsia" w:ascii="仿宋_GB2312" w:hAnsi="仿宋_GB2312" w:eastAsia="仿宋_GB2312" w:cs="仿宋_GB2312"/>
          <w:color w:val="auto"/>
          <w:kern w:val="0"/>
          <w:sz w:val="32"/>
          <w:szCs w:val="32"/>
          <w:highlight w:val="none"/>
          <w:lang w:val="en-US" w:eastAsia="zh-CN"/>
        </w:rPr>
        <w:t>无。</w:t>
      </w:r>
    </w:p>
    <w:p>
      <w:pPr>
        <w:widowControl/>
        <w:shd w:val="clear" w:color="auto" w:fill="FFFFFF"/>
        <w:spacing w:line="560" w:lineRule="exact"/>
        <w:ind w:firstLine="64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sz w:val="32"/>
          <w:highlight w:val="none"/>
        </w:rPr>
        <w:t>5、</w:t>
      </w:r>
      <w:r>
        <w:rPr>
          <w:rFonts w:hint="eastAsia" w:ascii="仿宋_GB2312" w:hAnsi="仿宋_GB2312" w:eastAsia="仿宋_GB2312" w:cs="仿宋_GB2312"/>
          <w:color w:val="auto"/>
          <w:kern w:val="0"/>
          <w:sz w:val="32"/>
          <w:szCs w:val="32"/>
          <w:highlight w:val="none"/>
        </w:rPr>
        <w:t>政府信息公开工作年度报告数据统计需要。</w:t>
      </w:r>
      <w:r>
        <w:rPr>
          <w:rFonts w:hint="eastAsia" w:ascii="仿宋_GB2312" w:hAnsi="仿宋_GB2312" w:eastAsia="仿宋_GB2312" w:cs="仿宋_GB2312"/>
          <w:color w:val="auto"/>
          <w:kern w:val="0"/>
          <w:sz w:val="32"/>
          <w:szCs w:val="32"/>
          <w:highlight w:val="none"/>
          <w:shd w:val="clear" w:color="auto" w:fill="FFFFFF"/>
        </w:rPr>
        <w:t>无。</w:t>
      </w:r>
    </w:p>
    <w:p>
      <w:pPr>
        <w:widowControl/>
        <w:shd w:val="clear" w:color="auto" w:fill="FFFFFF"/>
        <w:spacing w:line="560" w:lineRule="exact"/>
        <w:ind w:firstLine="64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rPr>
        <w:t>6、本行政机关认为需要报告的其他事项。</w:t>
      </w:r>
      <w:r>
        <w:rPr>
          <w:rFonts w:hint="eastAsia" w:ascii="仿宋_GB2312" w:hAnsi="仿宋_GB2312" w:eastAsia="仿宋_GB2312" w:cs="仿宋_GB2312"/>
          <w:color w:val="auto"/>
          <w:kern w:val="0"/>
          <w:sz w:val="32"/>
          <w:szCs w:val="32"/>
          <w:highlight w:val="none"/>
          <w:shd w:val="clear" w:color="auto" w:fill="FFFFFF"/>
        </w:rPr>
        <w:t>无。</w:t>
      </w:r>
    </w:p>
    <w:p>
      <w:pPr>
        <w:widowControl/>
        <w:shd w:val="clear" w:color="auto" w:fill="FFFFFF"/>
        <w:spacing w:line="560" w:lineRule="exact"/>
        <w:ind w:firstLine="64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rPr>
        <w:t>7、其他有关文件专门要求通过政府信息公开工作年度报告予以报告的事项。</w:t>
      </w:r>
      <w:r>
        <w:rPr>
          <w:rFonts w:hint="eastAsia" w:ascii="仿宋_GB2312" w:hAnsi="仿宋_GB2312" w:eastAsia="仿宋_GB2312" w:cs="仿宋_GB2312"/>
          <w:color w:val="auto"/>
          <w:kern w:val="0"/>
          <w:sz w:val="32"/>
          <w:szCs w:val="32"/>
          <w:highlight w:val="none"/>
          <w:shd w:val="clear" w:color="auto" w:fill="FFFFFF"/>
        </w:rPr>
        <w:t>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Yu Mincho Light">
    <w:altName w:val="MS PMincho"/>
    <w:panose1 w:val="02020300000000000000"/>
    <w:charset w:val="80"/>
    <w:family w:val="roman"/>
    <w:pitch w:val="default"/>
    <w:sig w:usb0="00000000" w:usb1="00000000" w:usb2="00000012" w:usb3="00000000" w:csb0="0002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707D24"/>
    <w:multiLevelType w:val="singleLevel"/>
    <w:tmpl w:val="D6707D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YTM3NmI4MWRkYmQwMWNmYzJkNTc4NmU1ZWM3MTEifQ=="/>
    <w:docVar w:name="KSO_WPS_MARK_KEY" w:val="0d4cda94-5f14-42ce-b776-a2dfa831ddf6"/>
  </w:docVars>
  <w:rsids>
    <w:rsidRoot w:val="00000000"/>
    <w:rsid w:val="0046375D"/>
    <w:rsid w:val="00D5688F"/>
    <w:rsid w:val="01CA216C"/>
    <w:rsid w:val="06B34F7C"/>
    <w:rsid w:val="06C13B3D"/>
    <w:rsid w:val="09BA02A1"/>
    <w:rsid w:val="0AC51F3F"/>
    <w:rsid w:val="0AE778EA"/>
    <w:rsid w:val="0D9765DF"/>
    <w:rsid w:val="0F5A4B2F"/>
    <w:rsid w:val="0F98099D"/>
    <w:rsid w:val="11E545C5"/>
    <w:rsid w:val="13581385"/>
    <w:rsid w:val="13FF5CA5"/>
    <w:rsid w:val="165F0C7D"/>
    <w:rsid w:val="16775FC6"/>
    <w:rsid w:val="167A7865"/>
    <w:rsid w:val="18A60DE5"/>
    <w:rsid w:val="1A0933D9"/>
    <w:rsid w:val="1B2304CB"/>
    <w:rsid w:val="1B447915"/>
    <w:rsid w:val="1B972C67"/>
    <w:rsid w:val="1C9D42AD"/>
    <w:rsid w:val="1D743260"/>
    <w:rsid w:val="1D8B05A9"/>
    <w:rsid w:val="1E4F7829"/>
    <w:rsid w:val="1F7F5EEC"/>
    <w:rsid w:val="219E4D4F"/>
    <w:rsid w:val="23445482"/>
    <w:rsid w:val="23FE7D27"/>
    <w:rsid w:val="2987256D"/>
    <w:rsid w:val="2AE66B7A"/>
    <w:rsid w:val="2D3310A2"/>
    <w:rsid w:val="2DBF011F"/>
    <w:rsid w:val="2E7B7DE1"/>
    <w:rsid w:val="2EDB1704"/>
    <w:rsid w:val="2F1C5505"/>
    <w:rsid w:val="2FA07EE4"/>
    <w:rsid w:val="2FEE223C"/>
    <w:rsid w:val="30A752A2"/>
    <w:rsid w:val="32951856"/>
    <w:rsid w:val="337D1C2C"/>
    <w:rsid w:val="350727B3"/>
    <w:rsid w:val="35400C61"/>
    <w:rsid w:val="39700927"/>
    <w:rsid w:val="3C5E53AF"/>
    <w:rsid w:val="3CDD2778"/>
    <w:rsid w:val="3E18158D"/>
    <w:rsid w:val="428D794B"/>
    <w:rsid w:val="45C75D73"/>
    <w:rsid w:val="49042E3A"/>
    <w:rsid w:val="495A0D4D"/>
    <w:rsid w:val="4A34774F"/>
    <w:rsid w:val="4A631DE2"/>
    <w:rsid w:val="4F8C3206"/>
    <w:rsid w:val="50395ABF"/>
    <w:rsid w:val="5099655E"/>
    <w:rsid w:val="50D37CC2"/>
    <w:rsid w:val="512F0C70"/>
    <w:rsid w:val="52190638"/>
    <w:rsid w:val="530323B4"/>
    <w:rsid w:val="5311687F"/>
    <w:rsid w:val="54F509F0"/>
    <w:rsid w:val="55197C6D"/>
    <w:rsid w:val="55425416"/>
    <w:rsid w:val="5A0E3B19"/>
    <w:rsid w:val="5CE2303B"/>
    <w:rsid w:val="5DCD5A99"/>
    <w:rsid w:val="5E816FDD"/>
    <w:rsid w:val="5F357D99"/>
    <w:rsid w:val="5F427164"/>
    <w:rsid w:val="60341DFF"/>
    <w:rsid w:val="611759A9"/>
    <w:rsid w:val="61387C86"/>
    <w:rsid w:val="624C4E39"/>
    <w:rsid w:val="67DD2D7C"/>
    <w:rsid w:val="6C901A08"/>
    <w:rsid w:val="6E0101AF"/>
    <w:rsid w:val="6FDB4045"/>
    <w:rsid w:val="70074E3A"/>
    <w:rsid w:val="70A72179"/>
    <w:rsid w:val="73A56A76"/>
    <w:rsid w:val="748E78D8"/>
    <w:rsid w:val="752A14FE"/>
    <w:rsid w:val="75BE243F"/>
    <w:rsid w:val="76A258BD"/>
    <w:rsid w:val="76EF6628"/>
    <w:rsid w:val="774E0979"/>
    <w:rsid w:val="778B6351"/>
    <w:rsid w:val="78A31478"/>
    <w:rsid w:val="79A67472"/>
    <w:rsid w:val="7BF5648F"/>
    <w:rsid w:val="7CFD384D"/>
    <w:rsid w:val="7EDD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3"/>
    <w:basedOn w:val="1"/>
    <w:next w:val="1"/>
    <w:qFormat/>
    <w:uiPriority w:val="99"/>
    <w:pPr>
      <w:keepNext/>
      <w:keepLines/>
      <w:spacing w:before="260" w:after="260" w:line="416" w:lineRule="auto"/>
      <w:outlineLvl w:val="2"/>
    </w:pPr>
    <w:rPr>
      <w:rFonts w:ascii="Yu Mincho Light" w:hAnsi="Yu Mincho Light" w:cs="Yu Mincho Light"/>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Words>
  <Characters>132</Characters>
  <Lines>0</Lines>
  <Paragraphs>0</Paragraphs>
  <TotalTime>0</TotalTime>
  <ScaleCrop>false</ScaleCrop>
  <LinksUpToDate>false</LinksUpToDate>
  <CharactersWithSpaces>132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2024-01-12T06:55:00Z</dcterms:created>
  <dc:creator>Administrator</dc:creator>
  <cp:lastModifiedBy>银杏果</cp:lastModifiedBy>
  <dcterms:modified xsi:type="dcterms:W3CDTF">2024-01-29T01:55:13Z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33A1AC84991B4C0FBB8CC81D2E4E6A14</vt:lpwstr>
  </property>
</Properties>
</file>