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spacing w:before="980"/>
        <w:jc w:val="center"/>
        <w:rPr>
          <w:rFonts w:hint="eastAsia" w:ascii="黑体" w:hAnsi="黑体" w:eastAsia="黑体" w:cs="黑体"/>
          <w:color w:val="000000"/>
          <w:lang w:val="en-US"/>
        </w:rPr>
      </w:pPr>
      <w:bookmarkStart w:id="0" w:name="_Toc18404"/>
      <w:bookmarkStart w:id="1" w:name="_Toc91519939"/>
      <w:r>
        <w:rPr>
          <w:rFonts w:hint="eastAsia" w:ascii="黑体" w:hAnsi="黑体" w:eastAsia="黑体" w:cs="黑体"/>
          <w:color w:val="000000"/>
          <w:lang w:val="en-US" w:eastAsia="zh-CN"/>
        </w:rPr>
        <w:t>淄川区</w:t>
      </w:r>
      <w:r>
        <w:rPr>
          <w:rFonts w:hint="eastAsia" w:ascii="黑体" w:hAnsi="黑体" w:eastAsia="黑体" w:cs="黑体"/>
          <w:color w:val="000000"/>
          <w:lang w:val="en-US"/>
        </w:rPr>
        <w:t>文化和旅游</w:t>
      </w:r>
      <w:r>
        <w:rPr>
          <w:rFonts w:hint="eastAsia" w:ascii="黑体" w:hAnsi="黑体" w:eastAsia="黑体" w:cs="黑体"/>
          <w:color w:val="000000"/>
          <w:lang w:val="en-US" w:eastAsia="zh-CN"/>
        </w:rPr>
        <w:t>局</w:t>
      </w:r>
      <w:r>
        <w:rPr>
          <w:rFonts w:hint="eastAsia" w:ascii="黑体" w:hAnsi="黑体" w:eastAsia="黑体" w:cs="黑体"/>
          <w:color w:val="000000"/>
          <w:lang w:val="en-US"/>
        </w:rPr>
        <w:t>“双随机、一公开”抽查工作指引</w:t>
      </w:r>
      <w:bookmarkEnd w:id="0"/>
      <w:bookmarkEnd w:id="1"/>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总  述</w:t>
      </w:r>
    </w:p>
    <w:p>
      <w:pPr>
        <w:pStyle w:val="8"/>
        <w:spacing w:line="310" w:lineRule="exact"/>
        <w:ind w:firstLineChars="200"/>
        <w:jc w:val="both"/>
        <w:rPr>
          <w:rFonts w:hint="eastAsia" w:eastAsia="宋体"/>
          <w:color w:val="000000"/>
          <w:lang w:val="en-US"/>
        </w:rPr>
      </w:pPr>
      <w:r>
        <w:rPr>
          <w:rFonts w:hint="eastAsia" w:eastAsia="宋体"/>
          <w:color w:val="000000"/>
          <w:lang w:val="en-US"/>
        </w:rPr>
        <w:t>本工作指引适用于《</w:t>
      </w:r>
      <w:r>
        <w:rPr>
          <w:rFonts w:hint="eastAsia"/>
          <w:color w:val="000000"/>
          <w:lang w:val="en-US" w:eastAsia="zh-CN"/>
        </w:rPr>
        <w:t>淄川区文化和旅游局</w:t>
      </w:r>
      <w:r>
        <w:rPr>
          <w:rFonts w:hint="eastAsia" w:eastAsia="宋体"/>
          <w:color w:val="000000"/>
          <w:lang w:val="en-US"/>
        </w:rPr>
        <w:t>“双随机、一公开”抽查事项清单（202</w:t>
      </w:r>
      <w:r>
        <w:rPr>
          <w:rFonts w:hint="eastAsia"/>
          <w:color w:val="000000"/>
          <w:lang w:val="en-US" w:eastAsia="zh-CN"/>
        </w:rPr>
        <w:t>2</w:t>
      </w:r>
      <w:r>
        <w:rPr>
          <w:rFonts w:hint="eastAsia" w:eastAsia="宋体"/>
          <w:color w:val="000000"/>
          <w:lang w:val="en-US"/>
        </w:rPr>
        <w:t>年版）》所列各抽查事项的实地核查。除实地核查外，“双随机、一公开”监管中还可根据具体情况采取网络检查等适当方式进行检查。</w:t>
      </w:r>
    </w:p>
    <w:p>
      <w:pPr>
        <w:pStyle w:val="8"/>
        <w:spacing w:line="310" w:lineRule="exact"/>
        <w:ind w:firstLineChars="200"/>
        <w:jc w:val="both"/>
        <w:rPr>
          <w:rFonts w:hint="eastAsia" w:eastAsia="宋体"/>
          <w:color w:val="000000"/>
          <w:lang w:val="en-US"/>
        </w:rPr>
      </w:pPr>
      <w:r>
        <w:rPr>
          <w:rFonts w:hint="eastAsia" w:eastAsia="宋体"/>
          <w:color w:val="000000"/>
          <w:lang w:val="en-US"/>
        </w:rPr>
        <w:t>本工作指引适用的检查对象为互联网上网服务营业场所经营单位、娱乐场所经营单位、艺术品经营单位、互联网文化经营单位、、营业性演出从业单位等市场主</w:t>
      </w:r>
      <w:r>
        <w:rPr>
          <w:rFonts w:hint="eastAsia"/>
          <w:color w:val="000000"/>
          <w:lang w:val="en-US" w:eastAsia="zh-CN"/>
        </w:rPr>
        <w:t>体</w:t>
      </w:r>
      <w:r>
        <w:rPr>
          <w:rFonts w:hint="eastAsia" w:eastAsia="宋体"/>
          <w:color w:val="000000"/>
          <w:lang w:val="en-US"/>
        </w:rPr>
        <w:t>等非市场主体。</w:t>
      </w:r>
    </w:p>
    <w:p>
      <w:pPr>
        <w:pStyle w:val="8"/>
        <w:spacing w:line="310" w:lineRule="exact"/>
        <w:ind w:firstLineChars="200"/>
        <w:jc w:val="both"/>
        <w:rPr>
          <w:rFonts w:hint="eastAsia" w:eastAsia="宋体"/>
          <w:color w:val="000000"/>
          <w:lang w:val="en-US"/>
        </w:rPr>
      </w:pPr>
      <w:r>
        <w:rPr>
          <w:rFonts w:hint="eastAsia" w:eastAsia="黑体" w:cs="黑体"/>
          <w:color w:val="000000"/>
          <w:lang w:val="en-US"/>
        </w:rPr>
        <w:t>一、前期准备</w:t>
      </w:r>
    </w:p>
    <w:p>
      <w:pPr>
        <w:pStyle w:val="8"/>
        <w:spacing w:line="310" w:lineRule="exact"/>
        <w:ind w:firstLineChars="200"/>
        <w:jc w:val="both"/>
        <w:rPr>
          <w:rFonts w:hint="eastAsia" w:eastAsia="宋体"/>
          <w:color w:val="000000"/>
          <w:lang w:val="en-US"/>
        </w:rPr>
      </w:pPr>
      <w:r>
        <w:rPr>
          <w:rFonts w:hint="eastAsia" w:eastAsia="宋体"/>
          <w:color w:val="000000"/>
          <w:lang w:val="en-US"/>
        </w:rPr>
        <w:t>实地核查前，可根据需要查阅企业登记、备案、行政许可、行政处罚等基本信息，或委托第三方机构、数据公司，通过信息化手段进行事先检索，初步了解企业的存续情况、可能存在的问题等，提高检查效率。</w:t>
      </w:r>
    </w:p>
    <w:p>
      <w:pPr>
        <w:pStyle w:val="8"/>
        <w:spacing w:line="310" w:lineRule="exact"/>
        <w:ind w:firstLineChars="200"/>
        <w:jc w:val="both"/>
        <w:rPr>
          <w:rFonts w:hint="eastAsia" w:eastAsia="宋体"/>
          <w:color w:val="000000"/>
          <w:lang w:val="en-US"/>
        </w:rPr>
      </w:pPr>
      <w:r>
        <w:rPr>
          <w:rFonts w:hint="eastAsia" w:eastAsia="黑体" w:cs="黑体"/>
          <w:color w:val="000000"/>
          <w:lang w:val="en-US"/>
        </w:rPr>
        <w:t>二、实地核查</w:t>
      </w:r>
    </w:p>
    <w:p>
      <w:pPr>
        <w:pStyle w:val="8"/>
        <w:spacing w:line="310" w:lineRule="exact"/>
        <w:ind w:firstLineChars="200"/>
        <w:jc w:val="both"/>
        <w:rPr>
          <w:rFonts w:hint="eastAsia" w:eastAsia="宋体"/>
          <w:color w:val="000000"/>
          <w:lang w:val="en-US"/>
        </w:rPr>
      </w:pPr>
      <w:r>
        <w:rPr>
          <w:rFonts w:hint="eastAsia" w:eastAsia="宋体"/>
          <w:color w:val="000000"/>
          <w:lang w:val="en-US"/>
        </w:rPr>
        <w:t>实地核查人员不得少于两人，并应当出示执法证件。在核查中，应注意通过文字、音频或影像等方式留存核查痕迹，必要时可邀请相关人员作为见证人。</w:t>
      </w:r>
    </w:p>
    <w:p>
      <w:pPr>
        <w:pStyle w:val="8"/>
        <w:spacing w:line="310" w:lineRule="exact"/>
        <w:ind w:firstLineChars="200"/>
        <w:jc w:val="both"/>
        <w:rPr>
          <w:rFonts w:hint="eastAsia" w:eastAsia="宋体"/>
          <w:color w:val="000000"/>
          <w:lang w:val="en-US"/>
        </w:rPr>
      </w:pPr>
      <w:r>
        <w:rPr>
          <w:rFonts w:hint="eastAsia" w:eastAsia="黑体" w:cs="黑体"/>
          <w:color w:val="000000"/>
          <w:lang w:val="en-US"/>
        </w:rPr>
        <w:t>三、结果公示</w:t>
      </w:r>
    </w:p>
    <w:p>
      <w:pPr>
        <w:pStyle w:val="8"/>
        <w:spacing w:line="310" w:lineRule="exact"/>
        <w:ind w:firstLineChars="200"/>
        <w:jc w:val="both"/>
        <w:rPr>
          <w:rFonts w:hint="eastAsia" w:eastAsia="宋体"/>
          <w:color w:val="000000"/>
          <w:lang w:val="en-US"/>
        </w:rPr>
      </w:pPr>
      <w:r>
        <w:rPr>
          <w:rFonts w:hint="eastAsia" w:eastAsia="宋体"/>
          <w:color w:val="000000"/>
          <w:lang w:val="en-US"/>
        </w:rPr>
        <w:t>检查结果应当在抽查检查完成之日起20个工作日内，履行审批程序，通过国家企业信用信息公示系统记于企业名下并向社会公示。已实施检查但未公示的，视为未完成此次抽查。</w:t>
      </w:r>
    </w:p>
    <w:p>
      <w:pPr>
        <w:pStyle w:val="8"/>
        <w:spacing w:line="310" w:lineRule="exact"/>
        <w:ind w:firstLineChars="200"/>
        <w:jc w:val="both"/>
        <w:rPr>
          <w:rFonts w:hint="eastAsia" w:eastAsia="宋体"/>
          <w:color w:val="000000"/>
          <w:lang w:val="en-US" w:eastAsia="zh-CN"/>
        </w:rPr>
      </w:pPr>
      <w:r>
        <w:rPr>
          <w:rFonts w:hint="eastAsia" w:eastAsia="宋体"/>
          <w:color w:val="000000"/>
          <w:lang w:val="en-US"/>
        </w:rPr>
        <w:t>抽查检查结果的类型包括：未发现问题、通过登记的住所（经营场所）无法联系、发现问题已责令改正、不配合检查情节严重、未发现开展本次抽查涉及的经营活动、发现问题待后续处理。（企业已注销或吊销在平台中可选择为“该企业已注销或吊销”）</w:t>
      </w:r>
      <w:r>
        <w:rPr>
          <w:rFonts w:hint="eastAsia"/>
          <w:color w:val="000000"/>
          <w:lang w:val="en-US" w:eastAsia="zh-CN"/>
        </w:rPr>
        <w:t>。</w:t>
      </w:r>
    </w:p>
    <w:p>
      <w:pPr>
        <w:pStyle w:val="8"/>
        <w:spacing w:line="310" w:lineRule="exact"/>
        <w:ind w:firstLineChars="200"/>
        <w:jc w:val="both"/>
        <w:rPr>
          <w:rFonts w:hint="eastAsia" w:eastAsia="宋体"/>
          <w:color w:val="000000"/>
          <w:lang w:val="en-US"/>
        </w:rPr>
      </w:pPr>
      <w:r>
        <w:rPr>
          <w:rFonts w:hint="eastAsia" w:eastAsia="宋体"/>
          <w:color w:val="000000"/>
          <w:lang w:val="en-US"/>
        </w:rPr>
        <w:t>（一）通过对此次抽查所匹配的抽查事项的检查，未发现违反本指引所列法律法规的，可认定为“未发现问题”。</w:t>
      </w:r>
    </w:p>
    <w:p>
      <w:pPr>
        <w:pStyle w:val="8"/>
        <w:spacing w:line="310" w:lineRule="exact"/>
        <w:ind w:firstLineChars="200"/>
        <w:jc w:val="both"/>
        <w:rPr>
          <w:rFonts w:hint="eastAsia" w:eastAsia="宋体"/>
          <w:color w:val="000000"/>
          <w:lang w:val="en-US"/>
        </w:rPr>
      </w:pPr>
      <w:r>
        <w:rPr>
          <w:rFonts w:hint="eastAsia" w:eastAsia="宋体"/>
          <w:color w:val="000000"/>
          <w:lang w:val="en-US"/>
        </w:rPr>
        <w:t>（二）有以下情形之一的，可认定为“通过登记的住所（经营场所）无法联系”：</w:t>
      </w:r>
    </w:p>
    <w:p>
      <w:pPr>
        <w:pStyle w:val="8"/>
        <w:spacing w:line="310" w:lineRule="exact"/>
        <w:ind w:firstLineChars="200"/>
        <w:jc w:val="both"/>
        <w:rPr>
          <w:rFonts w:hint="eastAsia" w:eastAsia="宋体"/>
          <w:color w:val="000000"/>
          <w:lang w:val="en-US"/>
        </w:rPr>
      </w:pPr>
      <w:r>
        <w:rPr>
          <w:rFonts w:hint="eastAsia" w:eastAsia="宋体"/>
          <w:color w:val="000000"/>
          <w:lang w:val="en-US"/>
        </w:rPr>
        <w:t>1.通过实地核查，确认实际不存在该企业，并由登记的住所或经营场所产权所有人、物管公司、相关部门等予以证明的；</w:t>
      </w:r>
    </w:p>
    <w:p>
      <w:pPr>
        <w:pStyle w:val="8"/>
        <w:spacing w:line="310" w:lineRule="exact"/>
        <w:ind w:firstLineChars="200"/>
        <w:jc w:val="both"/>
        <w:rPr>
          <w:rFonts w:hint="eastAsia" w:eastAsia="宋体"/>
          <w:color w:val="000000"/>
          <w:lang w:val="en-US"/>
        </w:rPr>
      </w:pPr>
      <w:r>
        <w:rPr>
          <w:rFonts w:hint="eastAsia" w:eastAsia="宋体"/>
          <w:color w:val="000000"/>
          <w:lang w:val="en-US"/>
        </w:rPr>
        <w:t>2.通过实地核查、第三方证明或邮寄等方式，能确认登记的住所或经营场所实际不存在的；</w:t>
      </w:r>
    </w:p>
    <w:p>
      <w:pPr>
        <w:pStyle w:val="8"/>
        <w:spacing w:line="310" w:lineRule="exact"/>
        <w:ind w:firstLineChars="200"/>
        <w:jc w:val="both"/>
        <w:rPr>
          <w:rFonts w:hint="eastAsia" w:eastAsia="宋体"/>
          <w:color w:val="000000"/>
          <w:lang w:val="en-US"/>
        </w:rPr>
      </w:pPr>
      <w:r>
        <w:rPr>
          <w:rFonts w:hint="eastAsia" w:eastAsia="宋体"/>
          <w:color w:val="000000"/>
          <w:lang w:val="en-US"/>
        </w:rPr>
        <w:t>3.经向企业登记的住所或经营场所两次邮寄专用信函，无人签收的。</w:t>
      </w:r>
    </w:p>
    <w:p>
      <w:pPr>
        <w:pStyle w:val="8"/>
        <w:spacing w:line="310" w:lineRule="exact"/>
        <w:ind w:firstLineChars="200"/>
        <w:jc w:val="both"/>
        <w:rPr>
          <w:rFonts w:hint="eastAsia" w:eastAsia="宋体"/>
          <w:color w:val="000000"/>
          <w:lang w:val="en-US"/>
        </w:rPr>
      </w:pPr>
      <w:r>
        <w:rPr>
          <w:rFonts w:hint="eastAsia" w:eastAsia="宋体"/>
          <w:color w:val="000000"/>
          <w:lang w:val="en-US"/>
        </w:rPr>
        <w:t>（三）对检查发现的违反本指引所列法律法规的行为，通过指导、提示、告诫等方式要求企业当场改正，且已当场改正的，可认定为“发现问题已责令改正”。</w:t>
      </w:r>
    </w:p>
    <w:p>
      <w:pPr>
        <w:pStyle w:val="8"/>
        <w:spacing w:line="310" w:lineRule="exact"/>
        <w:ind w:firstLineChars="200"/>
        <w:jc w:val="both"/>
        <w:rPr>
          <w:rFonts w:hint="eastAsia" w:eastAsia="宋体"/>
          <w:color w:val="000000"/>
          <w:lang w:val="en-US"/>
        </w:rPr>
      </w:pPr>
      <w:r>
        <w:rPr>
          <w:rFonts w:hint="eastAsia" w:eastAsia="宋体"/>
          <w:color w:val="000000"/>
          <w:lang w:val="en-US"/>
        </w:rPr>
        <w:t>（四）有以下情形之一的，可认定为“不配合检查情节严重”：</w:t>
      </w:r>
    </w:p>
    <w:p>
      <w:pPr>
        <w:pStyle w:val="8"/>
        <w:spacing w:line="310" w:lineRule="exact"/>
        <w:ind w:firstLineChars="200"/>
        <w:jc w:val="both"/>
        <w:rPr>
          <w:rFonts w:hint="eastAsia" w:eastAsia="宋体"/>
          <w:color w:val="000000"/>
          <w:lang w:val="en-US"/>
        </w:rPr>
      </w:pPr>
      <w:r>
        <w:rPr>
          <w:rFonts w:hint="eastAsia" w:eastAsia="宋体"/>
          <w:color w:val="000000"/>
          <w:lang w:val="en-US"/>
        </w:rPr>
        <w:t>1.拒绝检查人员或其委托的专业机构进入被检查场所的；</w:t>
      </w:r>
    </w:p>
    <w:p>
      <w:pPr>
        <w:pStyle w:val="8"/>
        <w:spacing w:line="310" w:lineRule="exact"/>
        <w:ind w:firstLineChars="200"/>
        <w:jc w:val="both"/>
        <w:rPr>
          <w:rFonts w:hint="eastAsia" w:eastAsia="宋体"/>
          <w:color w:val="000000"/>
          <w:lang w:val="en-US"/>
        </w:rPr>
      </w:pPr>
      <w:r>
        <w:rPr>
          <w:rFonts w:hint="eastAsia" w:eastAsia="宋体"/>
          <w:color w:val="000000"/>
          <w:lang w:val="en-US"/>
        </w:rPr>
        <w:t>2.拒绝向检查人员或其委托的专业机构提供相关材料的；</w:t>
      </w:r>
    </w:p>
    <w:p>
      <w:pPr>
        <w:pStyle w:val="8"/>
        <w:spacing w:line="310" w:lineRule="exact"/>
        <w:ind w:firstLineChars="200"/>
        <w:jc w:val="both"/>
        <w:rPr>
          <w:rFonts w:hint="eastAsia" w:eastAsia="宋体"/>
          <w:color w:val="000000"/>
          <w:lang w:val="en-US"/>
        </w:rPr>
      </w:pPr>
      <w:r>
        <w:rPr>
          <w:rFonts w:hint="eastAsia" w:eastAsia="宋体"/>
          <w:color w:val="000000"/>
          <w:lang w:val="en-US"/>
        </w:rPr>
        <w:t>3.其他阻扰、妨碍检查工作的行为，致使检查工作无法正常进行的。</w:t>
      </w:r>
    </w:p>
    <w:p>
      <w:pPr>
        <w:pStyle w:val="8"/>
        <w:spacing w:line="310" w:lineRule="exact"/>
        <w:ind w:firstLineChars="200"/>
        <w:jc w:val="both"/>
        <w:rPr>
          <w:rFonts w:hint="eastAsia" w:eastAsia="宋体"/>
          <w:color w:val="000000"/>
          <w:lang w:val="en-US"/>
        </w:rPr>
      </w:pPr>
      <w:r>
        <w:rPr>
          <w:rFonts w:hint="eastAsia" w:eastAsia="宋体"/>
          <w:color w:val="000000"/>
          <w:lang w:val="en-US"/>
        </w:rPr>
        <w:t>（五）未发现企业从事本次抽查匹配的检查事项，并经企业书面承诺的，可认定为“未发现开展本次抽查涉及的经营活动”。</w:t>
      </w:r>
    </w:p>
    <w:p>
      <w:pPr>
        <w:pStyle w:val="8"/>
        <w:spacing w:line="310" w:lineRule="exact"/>
        <w:ind w:firstLineChars="200"/>
        <w:jc w:val="both"/>
        <w:rPr>
          <w:rFonts w:hint="eastAsia" w:ascii="仿宋_GB2312" w:hAnsi="仿宋_GB2312" w:eastAsia="仿宋_GB2312" w:cs="仿宋_GB2312"/>
          <w:sz w:val="32"/>
          <w:szCs w:val="32"/>
        </w:rPr>
      </w:pPr>
      <w:r>
        <w:rPr>
          <w:rFonts w:hint="eastAsia" w:eastAsia="宋体"/>
          <w:color w:val="000000"/>
          <w:lang w:val="en-US"/>
        </w:rPr>
        <w:t>（六）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第一章  对互联网上网服务营业场所经营单位从事互联网上网服务经营活动的检查工作指引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一、对互联网上网服务营业场所经营单位从事互联网上网服务经营活动的检查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（一）对互联网上网服务营业场所经营单位依法设立的检查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（二）对互联网上网服务营业场所经营单位按要求实施经营管理技术措施的检查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（三）对互联网上网服务营业场所经营单位按规定核对、登记上网消费者的有效身份证件或者记录有关上网信息的检查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（四）对互联网上网服务营业场所经营单位落实未成年人保护的检查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（五）对互联网上网服务营业场所经营单位依法经营的检查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二、检查内容和方法</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检查内容：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（一）互联网互联网上网服务营业场所依法设立情况，变更名称、住所、法定代表人或主要负责人、网络地址或者终止经营活动，是否向文化行政部门办理有关手续或者备案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（二）实施经营管理技术措施情况</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（三）按规定核对、登记上网消费者的有效身份证件或者记录有关上网信息情况</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（四）悬挂《网络文化经营许可证》或未成年人禁入标志情况；互联网上网服务营业场所接纳未成年人进入营业场所情况</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（五）法律法规规章规定的其他事项履行情况</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检查方法：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现场检查、网络检查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三、检查依据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《互联网上网服务营业场所管理条例》（2019年修订）</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第七条　国家对互联网上网服务营业场所经营单位的经营活动实行许可制度。未经许可，任何组织和个人不得从事互联网上网服务经营活动。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第八条　互联网上网服务营业场所经营单位从事互联网上网服务经营活动，应当具备下列条件：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(一)有企业的名称、住所、组织机构和章程；</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(二)有与其经营活动相适应的资金；</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(三)有与其经营活动相适应并符合国家规定的消防安全条件的营业场所；</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(四)有健全、完善的信息网络安全管理制度和安全技术措施；</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(五)有固定的网络地址和与其经营活动相适应的计算机等装置及附属设备；</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(六)有与其经营活动相适应并取得从业资格的安全管理人员、经营管理人员、专业技术人员；</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(七)法律、行政法规和国务院有关部门规定的其他条件。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互联网上网服务营业场所的最低营业面积、计算机等装置及附属设备数量、单机面积的标准，由国务院文化行政部门规定。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第九条　中学、小学校园周围200米范围内和居民住宅楼(院)内不得设立互联网上网服务营业场所。</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第十条　互联网上网服务营业场所经营单位申请从事互联网上网服务经营活动，应当向县级以上地方人民政府文化行政部门提出申请，并提交下列文件：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(一)企业营业执照和章程；</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(二)法定代表人或者主要负责人的身份证明材料；</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(三)资金信用证明；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(四)营业场所产权证明或者租赁意向书；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(五)依法需要提交的其他文件。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第十一条　文化行政部门应当自收到申请之日起20个工作日内作出决定；经审查，符合条件的，发给同意筹建的批准文件。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申请人完成筹建后，应当向同级公安机关申请信息网络安全审核。公安机关应当自收到申请之日起20个工作日内作出决定；经实地检查并审核合格的，发给批准文件。申请人还应当依照有关消防管理法律法规的规定办理审批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申请人取得信息网络安全和消防安全批准文件后，向文化行政部门申请最终审核。文化行政部门应当自收到申请之日起15个工作日内依据本条例第八条的规定作出决定；经实地检查并审核合格的，发给《网络文化经营许可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对申请人的申请，有关部门经审查不符合条件的，或者经审核不合格的，应当分别向申请人书面说明理由。</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第十二条　互联网上网服务营业场所经营单位不得涂改、出租、出借或者以其他方式转让《网络文化经营许可证》。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第十三条　互联网上网服务营业场所经营单位变更营业场所地址或者对营业场所进行改建、扩建，变更计算机数量或者其他重要事项的，应当经原审核机关同意。</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第二十五条　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文化行政部门、公安机关、工商行政管理部门或者其他有关部门有前款所列行为的，对直接负责的主管人员和其他直接责任人员依照前款规定依法给予行政处分。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第二十八条　文化行政部门应当建立互联网上网服务营业场所经营单位的经营活动信用监管制度，建立健全信用约束机制，并及时公布行政处罚信息。</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上网消费者有前款违法行为，触犯刑律的，依法追究刑事责任；尚不够刑事处罚的，由公安机关依照治安管理处罚法的规定给予处罚。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第三十一条　互联网上网服务营业场所经营单位违反本条例的规定，有下列行为之一的，由文化行政部门给予警告，可以并处15000元以下的罚款；情节严重的，责令停业整顿，直至吊销《网络文化经营许可证》：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(一)在规定的营业时间以外营业的；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(二)接纳未成年人进入营业场所的；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(三)经营非网络游戏的；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(四)擅自停止实施经营管理技术措施的；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(五)未悬挂《网络文化经营许可证》或者未成年人禁入标志的。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(一)向上网消费者提供的计算机未通过局域网的方式接入互联网的；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(二)未建立场内巡查制度，或者发现上网消费者的违法行为未予制止并向文化行政部门、公安机关举报的；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(三)未按规定核对、登记上网消费者的有效身份证件或者记录有关上网信息的；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(四)未按规定时间保存登记内容、记录备份，或者在保存期内修改、删除登记内容、记录备份的；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(五)变更名称、住所、法定代表人或者主要负责人、注册资本、网络地址或者终止经营活动，未向文化行政部门、公安机关办理有关手续或者备案的。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第三十三条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(一)利用明火照明或者发现吸烟不予制止，或者未悬挂禁止吸烟标志的；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(二)允许带入或者存放易燃、易爆物品的；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(三)在营业场所安装固定的封闭门窗栅栏的；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(四)营业期间封堵或者锁闭门窗、安全疏散通道或者安全出口的；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(五)擅自停止实施安全技术措施的。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第三十四条　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第三十五条　互联网上网服务营业场所经营单位违反本条例的规定，被吊销《网络文化经营许可证》的，自被吊销《网络文化经营许可证》之日起5年内，其法定代表人或者主要负责人不得担任互联网上网服务营业场所经营单位的法定代表人或者主要负责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擅自设立的互联网上网服务营业场所经营单位被依法取缔的，自被取缔之日起5年内，其主要负责人不得担任互联网上网服务营业场所经营单位的法定代表人或者主要负责人。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第三十六条　依照本条例的规定实施罚款的行政处罚，应当依照有关法律、行政法规的规定，实行罚款决定与罚款收缴分离；收缴的罚款和违法所得必须全部上缴国库。</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第二章  对娱乐场所从事娱乐场所经营活动的检查工作指引</w:t>
      </w:r>
    </w:p>
    <w:p>
      <w:pPr>
        <w:pStyle w:val="8"/>
        <w:snapToGrid w:val="0"/>
        <w:spacing w:line="310" w:lineRule="exact"/>
        <w:ind w:firstLineChars="200"/>
        <w:textAlignment w:val="baseline"/>
        <w:rPr>
          <w:rFonts w:hint="eastAsia" w:eastAsia="黑体" w:cs="黑体"/>
          <w:color w:val="000000"/>
          <w:lang w:val="en-US"/>
        </w:rPr>
      </w:pPr>
      <w:r>
        <w:rPr>
          <w:rFonts w:hint="eastAsia" w:eastAsia="黑体" w:cs="黑体"/>
          <w:color w:val="000000"/>
          <w:lang w:val="en-US"/>
        </w:rPr>
        <w:t>一、检查事项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（一）对娱乐场所依法设立的检查。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（二）娱乐场所经营单位遵守《娱乐场所管理条例》的检查。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二、检查内容和方法</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检查内容：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（一）娱乐场所经营单位依法设立情况</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（二）娱乐场所经营单位遵守《娱乐场所管理条例》的有关情况。</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检查方法：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现场检查。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三、检查依据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《娱乐场所管理条例》（2020年修订）</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第七条 娱乐场所不得设在下列地点：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（一）居民楼、博物馆、图书馆和被核定为文物保护单位的建筑物内；</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（二）居民住宅区和学校、医院、机关周围；</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（三）车站、机场等人群密集的场所；</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（四）建筑物地下一层以下；</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（五）与危险化学品仓库毗连的区域。</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娱乐场所的边界噪声，应当符合国家规定的环境噪声标准。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第八条 娱乐场所的使用面积，不得低于国务院文化主管部门规定的最低标准；设立含有电子游戏机的游艺娱乐场所，应当符合国务院文化主管部门关于总量和布局的要求。</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娱乐场所申请从事娱乐场所经营活动，应当提交投资人员、拟任的法定代表人和其他负责人没有本条例第五条规定情形的书面声明。申请人应当对书面声明内容的真实性负责。</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有关法律、行政法规规定需要办理消防、卫生、环境保护等审批手续的，从其规定。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第十条 文化主管部门审批娱乐场所应当举行听证。有关听证的程序，依照《中华人民共和国行政许可法》的规定执行。</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第十一条 娱乐场所依法取得营业执照和相关批准文件、许可证后，应当在15日内向所在地县级公安部门备案。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第十二条 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第三十二条 文化主管部门、公安部门和其他有关部门的工作人员依法履行监督检查职责时，有权进入娱乐场所。娱乐场所应当予以配合，不得拒绝、阻挠。</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文化主管部门、公安部门和其他有关部门的工作人员依法履行监督检查职责时，需要查阅闭路电视监控录像资料、从业人员名簿、营业日志等资料的，娱乐场所应当及时提供。</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第三十三条 文化主管部门、公安部门和其他有关部门应当记录监督检查的情况和处理结果。监督检查记录由监督检查人员签字归档。公众有权查阅监督检查记录。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第三十四条 文化主管部门、公安部门和其他有关部门应当建立娱乐场所违法行为警示记录系统；对列入警示记录的娱乐场所，应当及时向社会公布，并加大监督检查力度。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第三十五条 文化主管部门应当建立娱乐场所的经营活动信用监管制度，建立健全信用约束机制，并及时公布行政处罚信息。</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第三十六条 文化主管部门、公安部门和其他有关部门应当建立相互间的信息通报制度，及时通报监督检查情况和处理结果。</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第三十七条 任何单位或者个人发现娱乐场所内有违反本条例行为的，有权向文化主管部门、公安部门等有关部门举报。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文化主管部门、公安部门等有关部门接到举报，应当记录，并及时依法调查、处理；对不属于本部门职责范围的，应当及时移送有关部门。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第三十八条 上级人民政府文化主管部门、公安部门在必要时，可以依照本条例的规定调查、处理由下级人民政府文化主管部门、公安部门调查、处理的案件。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下级人民政府文化主管部门、公安部门认为案件重大、复杂的，可以请求移送上级人民政府文化主管部门、公安部门调查、处理。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第三十九条 文化主管部门、公安部门和其他有关部门及其工作人员违反本条例规定的，任何单位或者个人可以向依法有权处理的本级或者上一级机关举报。接到举报的机关应当依法及时调查、处理。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第四十条 娱乐场所行业协会应当依照章程的规定，制定行业自律规范，加强对会员经营活动的指导、监督。</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第四十一条 违反本条例规定，擅自从事娱乐场所经营活动的，由文化主管部门依法予以取缔；公安部门在查处治安、刑事案件时，发现擅自从事娱乐场所经营活动的，应当依法予以取缔。</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第四十二条 违反本条例规定，以欺骗等不正当手段取得娱乐经营许可证的，由原发证机关撤销娱乐经营许可证。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第四十四条 娱乐场所违反本条例规定，有下列情形之一的，由县级公安部门责令改正，给予警告；情节严重的，责令停业整顿1个月至3个月：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（一）照明设施、包厢、包间的设置以及门窗的使用不符合本条例规定的；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（二）未按照本条例规定安装闭路电视监控设备或者中断使用的；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（三）未按照本条例规定留存监控录像资料或者删改监控录像资料的；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（四）未按照本条例规定配备安全检查设备或者未对进入营业场所的人员进行安全检查的；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（五）未按照本条例规定配备保安人员的。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第四十五条 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（一）设置具有赌博功能的电子游戏机机型、机种、电路板等游戏设施设备的；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（二）以现金、有价证券作为奖品，或者回购奖品的。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第四十六条 娱乐场所指使、纵容从业人员侵害消费者人身权利的，应当依法承担民事责任，并由县级公安部门责令停业整顿1个月至3个月；造成严重后果的，由原发证机关吊销娱乐经营许可证。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第四十七条 娱乐场所取得营业执照后，未按照本条例规定向公安部门备案的，由县级公安部门责令改正，给予警告。</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（一）歌舞娱乐场所的歌曲点播系统与境外的曲库联接的；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（二）歌舞娱乐场所播放的曲目、屏幕画面或者游艺娱乐场所电子游戏机内的游戏项目含有本条例第十三条禁止内容的；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（三）歌舞娱乐场所接纳未成年人的；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（四）游艺娱乐场所设置的电子游戏机在国家法定节假日外向未成年人提供的；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（五）娱乐场所容纳的消费者超过核定人数的。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第四十九条 娱乐场所违反本条例规定，有下列情形之一的，由县级人民政府文化主管部门责令改正，给予警告；情节严重的，责令停业整顿1个月至3个月：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（一）变更有关事项，未按照本条例规定申请重新核发娱乐经营许可证的；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（二）在本条例规定的禁止营业时间内营业的；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（三）从业人员在营业期间未统一着装并佩带工作标志的。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第五十一条 娱乐场所未按照本条例规定悬挂警示标志、未成年人禁入或者限入标志的，由县级人民政府文化主管部门、县级公安部门依据法定职权责令改正，给予警告。</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第五十二条 娱乐场所招用未成年人的，由劳动保障行政部门责令改正，并按照每招用一名未成年人每月处5000元罚款的标准给予处罚。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第五十三条 因擅自从事娱乐场所经营活动被依法取缔的，其投资人员和负责人终身不得投资开办娱乐场所或者担任娱乐场所的法定代表人、负责人。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娱乐场所因违反本条例规定，被吊销或者撤销娱乐经营许可证的，自被吊销或者撤销之日起，其法定代表人、负责人5年内不得担任娱乐场所的法定代表人、负责人。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第五十四条 娱乐场所违反有关治安管理或者消防管理法律、行政法规规定的，由公安部门依法予以处罚；构成犯罪的，依法追究刑事责任。</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娱乐场所违反有关卫生、环境保护、价格、劳动等法律、行政法规规定的，由有关部门依法予以处罚；构成犯罪的，依法追究刑事责任。</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娱乐场所及其从业人员与消费者发生争议的，应当依照消费者权益保护的法律规定解决；造成消费者人身、财产损害的，由娱乐场所依法予以赔偿。</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第三章  对从事艺术品经营活动的经营单位的检查工作指引</w:t>
      </w:r>
    </w:p>
    <w:p>
      <w:pPr>
        <w:pStyle w:val="8"/>
        <w:snapToGrid w:val="0"/>
        <w:spacing w:line="310" w:lineRule="exact"/>
        <w:ind w:firstLineChars="200"/>
        <w:textAlignment w:val="baseline"/>
        <w:rPr>
          <w:rFonts w:eastAsia="黑体" w:cs="黑体"/>
          <w:color w:val="000000"/>
          <w:lang w:val="en-US"/>
        </w:rPr>
      </w:pPr>
      <w:r>
        <w:rPr>
          <w:rFonts w:hint="eastAsia" w:eastAsia="黑体" w:cs="黑体"/>
          <w:color w:val="000000"/>
          <w:lang w:val="en-US"/>
        </w:rPr>
        <w:t>一、检查事项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（一）对艺术品经营单位依法设的检查。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（二）对艺术品经营单位遵守《艺术品经营管理办法》的检查。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二、检查内容和方法</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检查内容：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（一）艺术品经营单位依法设立情况。</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（二）艺术品经营单位遵守《艺术品经营管理办法》的有关情况。</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检查方法：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现场检查。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三、检查依据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《艺术品经营管理办法》（2016年修订）</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第五条 设立从事艺术品经营活动的经营单位，应当到其住所地县级以上人民政府工商行政管理部门申领营业执照，并在领取营业执照之日起15日内，到其住所地县级以上人民政府文化行政部门备案。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其他经营单位增设艺术品经营业务的，应当按前款办理备案手续。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第六条 禁止经营含有以下内容的艺术品：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(一)反对宪法确定的基本原则的；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(二)危害国家统一、主权和领土完整的；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(三)泄露国家秘密、危害国家安全或者损害国家荣誉和利益的；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(四)煽动民族仇恨、民族歧视，破坏民族团结，或者侵害民族风俗、习惯的；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(五)破坏国家宗教政策，宣扬邪教、迷信的；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(六)宣扬恐怖活动，散布谣言，扰乱社会秩序，破坏社会稳定的；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(七)宣扬淫秽、色情、赌博、暴力或者教唆犯罪的；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(八)侮辱或者诽谤他人，侵害他人合法权益的；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(九)违背社会公德或者民族优秀文化传统的；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(十)蓄意篡改历史、严重歪曲历史的；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(十一)有法律、法规和国家规定禁止的其他内容的。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第七条 禁止经营以下艺术品：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(一)走私、盗窃等来源不合法的艺术品；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(二)伪造、变造或者冒充他人名义的艺术品；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(三)除有合法手续、准许经营的以外，法律、法规禁止交易的动物、植物、矿物、金属、化石等为材质的艺术品；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(四)国家规定禁止交易的其他艺术品。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第八条 艺术品经营单位不得有以下经营行为：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(一)向消费者隐瞒艺术品来源，或者在艺术品说明中隐瞒重要事项，误导消费者的；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(二)伪造、变造艺术品来源证明、艺术品鉴定评估文件以及其他交易凭证的；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(三)以非法集资为目的或者以非法传销为手段进行经营的；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(四)未经批准，将艺术品权益拆分为均等份额公开发行，以集中竞价、做市商等集中交易方式进行交易的；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(五)法律、法规和国家规定禁止的其他经营行为。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第九条 艺术品经营单位应当遵守以下规定：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(一)对所经营的艺术品应当标明作者、年代、尺寸、材料、保存状况和销售价格等信息；</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(二)保留交易有关的原始凭证、销售合同、台账、账簿等销售记录，法律、法规要求有明确期限的，按照法律、法规规定执行；法律、法规没有明确规定的，保存期不得少于5年。</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第十条 艺术品经营单位应买受人要求，应当对买受人购买的艺术品进行尽职调查，提供以下证明材料之一：</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(一)艺术品创作者本人认可或者出具的原创证明文件；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(二)第三方鉴定评估机构出具的证明文件；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(三)其他能够证明或者追溯艺术品来源的证明文件。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第十一条 艺术品经营单位从事艺术品鉴定、评估等服务，应当遵守以下规定：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(一)与委托人签订书面协议，约定鉴定、评估的事项，鉴定、评估的结论适用范围以及被委托人应当承担的责任；</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(二)明示艺术品鉴定、评估程序或者需要告知、提示委托人的事项；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(三)书面出具鉴定、评估结论，鉴定、评估结论应当包括对委托艺术品的全面客观说明，鉴定、评估的程序，做出鉴定、评估结论的证据，鉴定、评估结论的责任说明，并对鉴定、评估结论的真实性负责；</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(四)保留书面鉴定、评估结论副本及鉴定、评估人签字等档案不得少于5年。</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第十二条 文化产权交易所和以艺术品为标的物的投资经营单位，非公开发行艺术品权益或者采取艺术品集中竞价交易的，应当执行国家有关规定。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第十九条 违反本办法第五条规定的，由县级以上人民政府文化行政部门或者依法授权的文化市场综合执法机构责令改正，并可根据情节轻重处10000元以下罚款。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第二十二条 违反本办法第九条、第十一条规定的，由县级以上人民政府文化行政部门或者依法授权的文化市场综合执法机构责令改正，并可根据情节轻重处30000元以下罚款。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第四章  对从事经营性互联网文化活动的检查工作指引</w:t>
      </w:r>
    </w:p>
    <w:p>
      <w:pPr>
        <w:pStyle w:val="8"/>
        <w:snapToGrid w:val="0"/>
        <w:spacing w:line="310" w:lineRule="exact"/>
        <w:ind w:firstLineChars="200"/>
        <w:textAlignment w:val="baseline"/>
        <w:rPr>
          <w:rFonts w:hint="eastAsia" w:eastAsia="黑体" w:cs="黑体"/>
          <w:color w:val="000000"/>
          <w:lang w:val="en-US"/>
        </w:rPr>
      </w:pPr>
      <w:r>
        <w:rPr>
          <w:rFonts w:hint="eastAsia" w:eastAsia="黑体" w:cs="黑体"/>
          <w:color w:val="000000"/>
          <w:lang w:val="en-US"/>
        </w:rPr>
        <w:t>一、检查事项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（一）对互联网文化经营单位依法设立的检查。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（二）对互联网文化经营单位遵守《互联网文化管理暂行规定》的检查。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二、检查内容和方法</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检查内容：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（一）互联网文化经营单位依法设立情况。</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（二）互联网文化经营单位遵守《互联网文化管理暂行规定》的有关情况。</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检查方法：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现场检查、网络检查。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三、检查依据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《互联网文化管理暂行规定》（2017年修订）</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第七条  申请从事经营性互联网文化活动，应当符合《互联网信息服务管理办法》的有关规定，并具备以下条件：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（一）有单位的名称、住所、组织机构和章程；</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（二）有确定的互联网文化活动范围；</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（三）有适应互联网文化活动需要的专业人员、设备、工作场所以及相应的经营管理技术措施；</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（四）有确定的域名；</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（五）符合法律、行政法规和国家有关规定的条件。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第八条  申请从事经营性互联网文化活动，应当向所在地省、自治区、直辖市人民政府文化行政部门提出申请，由省、自治区、直辖市人民政府文化行政部门审核批准。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第九条  申请从事经营性互联网文化活动，应当提交下列文件：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（一）申请表；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（二）营业执照和章程；</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（三）法定代表人或者主要负责人的身份证明文件；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（四）业务范围说明；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（五）专业人员、工作场所以及相应经营管理技术措施的说明材料；</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（六）域名登记证明；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（七）依法需要提交的其他文件。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对申请从事经营性互联网文化活动的，省、自治区、直辖市人民政府文化行政部门应当自受理申请之日起20日内做出批准或者不批准的决定。批准的，核发《网络文化经营许可证》，并向社会公告；不批准的，应当书面通知申请人并说明理由。</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《网络文化经营许可证》有效期为3年。有效期届满，需继续从事经营的，应当于有效期届满30日前申请续办。</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第十条  非经营性互联网文化单位，应当自设立之日起60日内向所在地省、自治区、直辖市人民政府文化行政部门备案，并提交下列文件：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（一）备案表；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（二）章程；</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（三）法定代表人或者主要负责人的身份证明文件；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（四）域名登记证明；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（五）依法需要提交的其他文件。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第十一条  申请从事经营性互联网文化活动经批准后，应当持《网络文化经营许可证》，按照《互联网信息服务管理办法》的有关规定，到所在地电信管理机构或者国务院信息产业主管部门办理相关手续。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第十二条 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第十三条  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非经营性互联网文化单位变更名称、地址、域名、法定代表人或者主要负责人、业务范围的，应当自变更之日起60日内到所在地省、自治区、直辖市人民政府文化行政部门办理备案手续。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第十四条  经营性互联网文化单位终止互联网文化活动的，应当自终止之日起30日内到所在地省、自治区、直辖市人民政府文化行政部门办理注销手续。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经营性互联网文化单位自取得《网络文化经营许可证》并依法办理企业登记之日起满180日未开展互联网文化活动的，由原审核的省、自治区、直辖市人民政府文化行政部门注销《网络文化经营许可证》，同时通知相关省、自治区、直辖市电信管理机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非经营性互联网文化单位停止互联网文化活动的，由原备案的省、自治区、直辖市人民政府文化行政部门注销备案，同时通知相关省、自治区、直辖市电信管理机构。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第二十条 互联网文化单位应当记录备份所提供的文化产品内容及其时间、互联网地址或者域名；记录备份应当保存60日，并在国家有关部门依法查询时予以提供。</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第二十二条 非经营性互联网文化单位违反本规定第十条，逾期未办理备案手续的，由县级以上人民政府文化行政部门或者文化市场综合执法机构责令限期改正；拒不改正的，责令停止互联网文化活动，并处1000元以下罚款。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第二十三条 经营性互联网文化单位违反本规定第十二条的，由县级以上人民政府文化行政部门或者文化市场综合执法机构责令限期改正，并可根据情节轻重处10000元以下罚款。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非经营性互联网文化单位违反本规定第十二条的，由县级以上人民政府文化行政部门或者文化市场综合执法机构责令限期改正；拒不改正的，责令停止互联网文化活动，并处500元以下罚款。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第二十四条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非经营性互联网文化单位违反本规定第十三条的，由县级以上人民政府文化行政部门或者文化市场综合执法机构责令限期改正；拒不改正的，责令停止互联网文化活动，并处1000元以下罚款。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第二十八条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第二十九条 经营性互联网文化单位违反本规定第十八条的，由县级以上人民政府文化行政部门或者文化市场综合执法机构责令改正，并可根据情节轻重处20000元以下罚款。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第三十条 经营性互联网文化单位违反本规定第十九条的，由县级以上人民政府文化行政部门或者文化市场综合执法机构予以警告，责令限期改正，并处10000元以下罚款。</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w:t>
      </w:r>
      <w:r>
        <w:rPr>
          <w:rFonts w:hint="eastAsia" w:ascii="黑体" w:hAnsi="黑体" w:eastAsia="黑体" w:cs="黑体"/>
          <w:color w:val="000000"/>
          <w:sz w:val="22"/>
          <w:szCs w:val="28"/>
          <w:lang w:val="en-US" w:eastAsia="zh-CN"/>
        </w:rPr>
        <w:t>五</w:t>
      </w:r>
      <w:r>
        <w:rPr>
          <w:rFonts w:hint="eastAsia" w:ascii="黑体" w:hAnsi="黑体" w:eastAsia="黑体" w:cs="黑体"/>
          <w:color w:val="000000"/>
          <w:sz w:val="22"/>
          <w:szCs w:val="28"/>
          <w:lang w:val="en-US"/>
        </w:rPr>
        <w:t>章  对营业性演出活动的检查工作指引</w:t>
      </w:r>
    </w:p>
    <w:p>
      <w:pPr>
        <w:pStyle w:val="8"/>
        <w:snapToGrid w:val="0"/>
        <w:spacing w:line="310" w:lineRule="exact"/>
        <w:ind w:firstLineChars="200"/>
        <w:textAlignment w:val="baseline"/>
        <w:rPr>
          <w:rFonts w:hint="eastAsia" w:eastAsia="黑体" w:cs="黑体"/>
          <w:color w:val="000000"/>
          <w:lang w:val="en-US"/>
        </w:rPr>
      </w:pPr>
      <w:r>
        <w:rPr>
          <w:rFonts w:hint="eastAsia" w:eastAsia="黑体" w:cs="黑体"/>
          <w:color w:val="000000"/>
          <w:lang w:val="en-US"/>
        </w:rPr>
        <w:t>一、对营业性演出活动的检查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（一）对营业性演出经营活动从业单位依法设立的检查。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（二）对营业性演出依法报批的检查。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（三）对演出经纪人遵守《演出经纪人员管理办法》的检查。</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（四）对营业性演出经营活动从业单位遵守依法经营的检查。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二、检查内容和方法</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检查内容：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（一）营业性演出经营活动从业单位取得许可证情况</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（二）举办营业性演出是否经过相关文化主管部门批准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（三）营业性演出经营活动从业单位中演出经纪人遵守《演出经纪人员管理办法》的有关情况</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（四）营业性演出经营活动从业单位遵守《营业性演出管理条例》《营业性演出管理条例实施细则》的有关情况。</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检查方法：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现场检查</w:t>
      </w:r>
    </w:p>
    <w:p>
      <w:pPr>
        <w:pStyle w:val="8"/>
        <w:snapToGrid w:val="0"/>
        <w:spacing w:line="310" w:lineRule="exact"/>
        <w:ind w:firstLineChars="200"/>
        <w:textAlignment w:val="baseline"/>
        <w:rPr>
          <w:rFonts w:hint="eastAsia" w:eastAsia="宋体"/>
          <w:color w:val="000000"/>
          <w:lang w:val="en-US"/>
        </w:rPr>
      </w:pPr>
      <w:r>
        <w:rPr>
          <w:rFonts w:hint="eastAsia" w:eastAsia="黑体" w:cs="黑体"/>
          <w:color w:val="000000"/>
          <w:lang w:val="en-US"/>
        </w:rPr>
        <w:t>三、检查依据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1.《营业性演出管理条例》（2020年修订）</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第七条　设立演出场所经营单位，应当依法到工商行政管理部门办理注册登记，领取营业执照，并依照有关消防、卫生管理等法律、行政法规的规定办理审批手续。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演出场所经营单位应当自领取营业执照之日起20日内向所在地县级人民政府文化主管部门备案。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第八条　文艺表演团体变更名称、住所、法定代表人或者主要负责人、营业性演出经营项目，应当向原发证机关申请换发营业性演出许可证，并依法到工商行政管理部门办理变更登记。</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演出场所经营单位变更名称、住所、法定代表人或者主要负责人，应当依法到工商行政管理部门办理变更登记，并向原备案机关重新备案。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个体演员、个体演出经纪人应当自领取营业执照之日起20日内向所在地县级人民政府文化主管部门备案。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第十条　外国投资者可以依法在中国境内设立演出经纪机构、演出场所经营单位；不得设立文艺表演团体。</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第十一条　香港特别行政区、澳门特别行政区的投资者可以在内地投资设立演出经纪机构、演出场所经营单位以及由内地方控股的文艺表演团体；香港特别行政区、澳门特别行政区的演出经纪机构可以在内地设立分支机构。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台湾地区的投资者可以在大陆投资设立演出经纪机构、演出场所经营单位，不得设立文艺表演团体。</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依照本条规定设立演出经纪机构、演出场所经营单位的，还应当遵守我国其他法律、法规的规定。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2.《演出经纪人员管理办法》（2012年修订）</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第一条 为规范演出经纪活动，加强演出经纪人员管理，明确演出经纪活动当事人的权利与义务，保障演出市场健康发展，根据《营业性演出管理条例》(以下简称《条例》)及《营业性演出管理条例实施细则》(以下简称《实施细则》)，制定本办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第二条 本办法所称演出经纪资格证书是专职演出经纪人员的从业资格证明，全国通用。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第三条 本办法所称演出经纪人员，包括在演出经纪机构中从事演出组织、制作、营销，演出居间、代理、行纪，演员签约、推广、代理等活动的从业人员；在县级文化主管部门备案的个体演出经纪人。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第四条 设立演出经纪机构，应当符合《条例》规定的条件，有3名以上取得演出经纪资格证书的专职演出经纪人员。</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个体演出经纪人在县级文化主管部门备案时，应当出具演出经纪资格证书。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第五条 演出经纪人员在演出经纪活动中应当遵守公平、公正、公开、诚信的原则。</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第六条 文化部指导监督中国演出行业协会组织实施演出经纪人员资格认定工作。各级文化主管部门负责本辖区内演出经纪人员经纪活动的监督管理。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第七条 中国演出行业协会负责演出经纪资格证书的核发与管理。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(一)制定演出经纪资格证书考试大纲。考试内容应当包括演出市场政策法规、演出市场基础知识、演出经纪实务以及从业规范、艺术基础理论。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(二)每年应当组织2次全国性考试。考试时间、考试地点应当提前2个月向社会公布，考试结束后30日内公布合格名单并核发演出经纪资格证书。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(三)统一印制演出经纪资格证书，证书全国统一编号。</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第八条 凡年满18周岁以上，中专以上文化程度，具有完全民事行为能力的(含我国香港特别行政区、澳门特别行政区、台湾地区人员)，可以通过考试取得演出经纪资格证书。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第九条 演出经纪资格证书有效期为5年。有效期满应当到原发证单位办理换证手续。逾期未办理的，应当注销演出经纪资格证书。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第十条 演出经纪人员从业单位发生变更的，演出经纪人员应当到原发证单位办理变更手续。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第十一条 任何单位和个人不得伪造、变造、出租、出借演出经纪资格证书。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第十二条 演出经纪人员应当遵守以下规定: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(一)根据《条例》、《实施细则》以及相关法规的规定提供演出经纪服务；</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(二)演出经纪合同中应当注明负责该项业务演出经纪人员的演出经纪资格证书证号；</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(三)保存经纪业务记录；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(四)对所经纪的演出项目进行内容自审，保证演出内容健康合法；</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(五)按规定参加演出经纪相关继续教育，提高业务素质和职业道德水平；</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(六)法律法规规定的其他行为规则。</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第十三条 演出经纪人员不得有下列行为: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(一)在演出经纪机构中从业的人员以个人名义从事演出经纪活动；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(二)在两家以上(含两家)演出经纪机构从业；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(三)隐瞒与经纪业务有关的重要事项，或者对经纪业务作虚假宣传；</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(四)为含有《条例》第二十六条禁止内容的演出提供经纪服务；</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 xml:space="preserve"> (五)法律法规禁止的其他行为。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第十四条 演出经纪人员在经纪活动中应当保障演员合法权益，规范演员从业行为，协助演员提高业务素质，督促演员遵守职业道德。</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第十五条 文化主管部门颁发、换发演出经纪机构营业性演出许可证时，应当核验并登记演出经纪人员的演出经纪资格证书。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第十六条 文化主管部门审批营业性演出活动，应当核验负责该项业务演出经纪人员的演出经纪资格证书。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第十七条 中国演出行业协会应当加强对演出经纪人员的信用管理，对演出经纪人员违反职业道德和行业规范的行为，应当在行业内按规定处理。演出经纪机构受到行政处罚的，中国演出行业协会应当对负责该项经纪业务的演出经纪人员予以通报批评，情节严重的，中国演出行业协会应当注销其演出经纪资格证书，自注销之日起5年内不得重新申请。</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第十八条 中国演出行业协会应当依托全国文化市场技术监管与服务平台，建立演出经纪人员档案，记录演出经纪资格证书取得、变更、撤销等信息，为行政审批、综合执法、公众查询提供服务。</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第十九条 中国演出行业协会应当根据演出经纪业务特点，制定演出经纪人员分类、分级管理细则，加强对演出经纪人员的服务，健全继续教育制度，提高演出经纪人员素质与水平。</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第二十条 中国演出行业协会组织演出经纪人员资格认定工作收取费用的，应当依法办理相关手续，接受社会监督。</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第二十一条 本办法自2013年3月1日起施行。</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3.《营业性演出管理条例实施细则》（2017年修订）</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第一条 根据《营业性演出管理条例》（以下简称《条例》），制定本实施细则。</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第二条 《条例》所称营业性演出是指以营利为目的、通过下列方式为公众举办的现场文艺表演活动：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（一）售票或者接受赞助的；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（二）支付演出单位或者个人报酬的；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（三）以演出为媒介进行广告宣传或者产品促销的；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（四）以其他营利方式组织演出的。</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第三条 国家依法维护营业性演出经营主体、演职员和观众的合法权益，禁止营业性演出中的不正当竞争行为。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第四条 文艺表演团体是指具备《条例》第六条规定条件，从事文艺表演活动的经营单位。</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第五条 演出经纪机构是指具备《条例》第六条规定条件，从事下列活动的经营单位：</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（一）演出组织、制作、营销等经营活动；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（二）演出居间、代理、行纪等经纪活动；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（三）演员签约、推广、代理等经纪活动。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第六条 演出场所经营单位是指具备《条例》第七条规定条件，为演出活动提供专业演出场地及服务的经营单位。</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第七条 依法登记的文艺表演团体申请从事营业性演出活动，应当向文化主管部门提交下列文件：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（一）申请书；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（二）营业执照和从事的艺术类型；</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（三）法定代表人或者主要负责人的身份证明；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（四）演员的艺术表演能力证明；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（五）与业务相适应的演出器材设备书面声明。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前款第四项所称演员的艺术表演能力证明，可以是下列文件之一：</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（一）中专以上学校文艺表演类专业毕业证书；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（二）职称证书；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（三）演出行业协会颁发的演员资格证明；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（四）其他有效证明。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第八条 依法登记的演出经纪机构申请从事营业性演出经营活动，应当向文化主管部门提交下列文件：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（一）申请书；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（二）营业执照；</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（三）法定代表人或者主要负责人的身份证明；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（四）演出经纪人员的资格证明。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法人或者其他组织申请增设演出经纪机构经营业务的，应当提交前款第（一）项、第（四）项规定的文件。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第九条 依法登记的演出场所经营单位，应当自领取证照之日起20日内，持证照和有关消防、卫生批准文件，向所在地县级文化主管部门备案，县级文化主管部门应当出具备案证明。备案证明式样由文化部设计，省级文化主管部门印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第十条 依法登记的中外合资经营、中外合作经营的演出经纪机构申请从事营业性演出经营活动，除了提交本实施细则第八条规定的文件外，还应当提交下列文件：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（一）可行性研究报告、合同、章程；</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（二）外商投资企业批准证书；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（三）合资、合作经营各方协商确定的董事长、副董事长、董事或者联合管理委员会主任、副主任、委员的人选名单及身份证明；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（四）其他依法需要提交的文件。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中外合资、合作经营演出经纪机构的董事长或者联合委员会的主任应当由中方代表担任，并且中方代表应当在董事会或者联合委员会中居多数。</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第十一条 依法登记的中外合资经营、中外合作经营的演出场所经营单位申请从事演出场所经营活动，应当提交下列文件：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（一）申请书；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（二）营业执照；</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（三）可行性研究报告、合同、章程；</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（四）外商投资企业批准证书；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（五）合资、合作经营各方协商确定的董事长、副董事长、董事或者联合管理委员会主任、副主任、委员的人选名单及身份证明；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（六）其他依法需要提交的文件。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中外合资、合作经营演出场所经营单位的董事长或者联合委员会的主任应当由中方代表担任，并且中方代表应当在董事会或者联合委员会中居多数。</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第十二条 香港特别行政区、澳门特别行政区的演出经纪机构经批准可以在内地设立分支机构，分支机构不具有企业法人资格。</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香港特别行政区、澳门特别行政区演出经纪机构在内地的分支机构可以依法从事营业性演出的居间、代理活动，但不得从事其他演出经营活动。香港特别行政区、澳门特别行政区的演出经纪机构对其分支机构的经营活动承担民事责任。</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香港特别行政区、澳门特别行政区的演出经纪机构在内地设立分支机构，必须在内地指定负责该分支机构的负责人，并向该分支机构拨付与其所从事的经营活动相适应的资金。</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第十三条 香港特别行政区、澳门特别行政区的投资者在内地依法登记的独资经营的演出经纪机构申请从事营业性演出经营活动，除提交本实施细则第八条规定文件外，还应当提交下列文件：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（一）可行性研究报告；</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（二）投资者的身份证明；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（三）台港澳侨投资企业批准证书；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（四）其他依法需要提交的文件。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第十四条 香港特别行政区、澳门特别行政区的投资者在内地依法登记的独资经营的演出场所经营单位申请从事演出场所经营活动，应当提交下列文件：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（一）申请书；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（二）营业执照；</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（三）可行性研究报告；</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（四）法定代表人的身份证明；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（五）台港澳侨投资企业批准证书；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（六）其他依法需要提交的文件。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第十五条 香港特别行政区、澳门特别行政区投资者在内地依法登记的合资、合作经营的演出经纪机构申请从事营业性演出经营活动，香港特别行政区、澳门特别行政区投资者在内地依法登记的合资、合作经营的演出场所经营单位申请从事演出场所经营活动，参照本实施细则第十条第一款、第十一条第一款的规定办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台湾地区的投资者在大陆依法登记的合资、合作经营的演出经纪机构申请从事营业性演出经营活动，台湾地区的投资者在大陆依法登记的合资、合作经营的演出场所经营单位申请从事演出场所经营活动，参照本实施细则第十条、第十一条的规定办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第十六条 申请举办营业性演出，应当在演出日期3日前将申请材料提交负责审批的文化主管部门。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申请举办营业性涉外或者涉港澳台演出，应当在演出日期20日前将申请材料提交负责审批的文化主管部门。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第十七条 申请举办营业性演出，应当持营业性演出许可证或者备案证明，向文化主管部门提交符合《条例》第十六条规定的文件。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申请举办临时搭建舞台、看台的营业性演出，还应当提交符合《条例》第二十条第（二）、（三）项规定的文件。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对经批准的临时搭建舞台、看台的演出活动，演出举办单位还应当在演出前向演出所在地县级文化主管部门提交符合《条例》第二十条第（一）项规定的文件，不符合规定条件的，演出活动不得举行。</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《条例》第二十条所称临时搭建舞台、看台的营业性演出是指符合《大型群众性活动安全管理条例》规定的营业性演出活动。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《条例》第二十条第（一）项所称演出场所合格证明，是指由演出举办单位组织有关承建单位进行竣工验收，并作出的验收合格证明材料。</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申请举办需要未成年人参加的营业性演出，应当符合国家有关规定。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第十八条 申请举办营业性涉外或者涉港澳台演出，除提交本实施细则第十七条规定的文件外，还应当提交下列文件：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（一）演员有效身份证明复印件；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（二）2年以上举办营业性演出经历的证明文件；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（三）近2年内无违反《条例》规定的书面声明。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文化主管部门审核涉外或者涉港澳台营业性演出项目，必要时可以依法组织专家进行论证。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第十九条 经省级文化主管部门批准的营业性涉外演出，在批准的时间内增加演出地的，举办单位或者与其合作的具有涉外演出资格的演出经纪机构，应当在演出日期10日前，持省级文化主管部门批准文件和本实施细则第十七条规定的文件，到增加地省级文化主管部门备案，省级文化主管部门应当出具备案证明。</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第二十条 经批准到艺术院校从事教学、研究工作的外国或者港澳台艺术人员从事营业性演出的，应当委托演出经纪机构承办。</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第二十一条 歌舞娱乐场所、旅游景区、主题公园、游乐园、宾馆、饭店、酒吧、餐饮场所等非演出场所经营单位需要在本场所内举办营业性演出的，应当委托演出经纪机构承办。</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在上述场所举办驻场涉外演出，应当报演出所在地省级文化主管部门审批。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第二十二条 申请举办含有内地演员和香港特别行政区、澳门特别行政区、台湾地区演员以及外国演员共同参加的营业性演出，可以报演出所在地省级文化主管部门审批，具体办法由省级文化主管部门制定。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国家另有规定的，从其规定。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第二十三条 在演播厅外从事电视文艺节目的现场录制，符合本实施细则第二条规定条件的，应当依照《条例》和本实施细则的规定办理审批手续。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第二十四条 举办募捐义演，应当依照《条例》和本实施细则的规定办理审批手续。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参加募捐义演的演职人员不得获取演出报酬；演出举办单位或者演员应当将扣除成本后的演出收入捐赠给社会公益事业，不得从中获取利润。</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演出收入是指门票收入、捐赠款物、赞助收入等与演出活动相关的全部收入。演出成本是指演职员食、宿、交通费用和舞台灯光音响、服装道具、场地、宣传等费用。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募捐义演结束后10日内，演出举办单位或者演员应当将演出收支结算报审批机关备案。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举办其他符合本实施细则第二条所述方式的公益性演出，参照本条规定执行。</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第二十五条 营业性演出经营主体举办营业性演出，应当履行下列义务：</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（一）办理演出申报手续；</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（二）安排演出节目内容；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（三）安排演出场地并负责演出现场管理；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（四）确定演出票价并负责演出活动的收支结算；</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（五）依法缴纳或者代扣代缴有关税费；</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（六）接受文化主管部门的监督管理；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（七）其他依法需要承担的义务。</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第二十六条 举办营业性涉外或者涉港澳台演出，举办单位应当负责统一办理外国或者港澳台文艺表演团体、个人的入出境手续，巡回演出的还要负责其全程联络和节目安排。</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第二十七条 营业性演出活动经批准后方可出售门票。</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第二十八条 营业性演出不得以假唱、假演奏等手段欺骗观众。</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前款所称假唱、假演奏是指演员在演出过程中，使用事先录制好的歌曲、乐曲代替现场演唱、演奏的行为。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演出举办单位应当派专人对演唱、演奏行为进行监督，并作出记录备查。记录内容包括演员、乐队、曲目的名称和演唱、演奏过程的基本情况，并由演出举办单位负责人和监督人员签字确认。</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第二十九条 举办营业性演出，应当根据舞台设计要求，优先选用境内演出器材。</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第三十条 举办营业性演出，举办单位或者个人可以为演出活动投保安全责任保险。</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第三十一条 鼓励演出经营主体协作经营，建立演出院线，共享演出资源。</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第三十二条 各级文化主管部门应当将营业性演出的审批事项向社会公布。</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第三十三条 文化主管部门对体现民族特色和国家水准的演出，应当依照有关规定给予补助和支持。</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县级以上人民政府有关部门可以依照《条例》的有关规定和财务管理制度，鼓励和支持体现民族特色和国家水准的演出。</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第三十四条 文化主管部门或者文化行政执法机构检查营业性演出现场，应当出示文化市场行政执法证件，演出举办单位应当配合。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第三十五条 文化主管部门可以采用技术手段，加强对营业性演出活动的监管。</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第三十六条 各级文化主管部门应当建立演出经营主体基本信息登记和公布制度、演出信息报送制度、演出市场巡查责任制度，加强对演出市场的管理和监督。</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第三十七条 演出行业协会是演出经营主体和演出从业人员的自律组织。</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全国性演出行业协会负责组织实施演员、演出经纪人员等演出从业人员的资格认定工作。</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各级文化主管部门可以委托演出行业协会开展有关工作，并加强指导和监督。</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第三十八条 文艺表演团体和演出经纪机构的营业性演出许可证包括1份正本和2份副本，有效期为2年。</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营业性演出许可证由文化部设计，省级文化主管部门印制，发证机关填写、盖章。</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第三十九条 文化主管部门吊销文艺表演团体或者演出经纪机构的营业性演出许可证，应当通知工商行政管理部门变更其经营范围或者吊销营业执照。</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文艺表演团体和演出经纪机构的营业性演出许可证，除文化主管部门可以依法暂扣或者吊销外，其他任何单位和个人不得收缴、扣押。</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第四十条 吊销、注销文艺表演团体营业性演出许可证的，应当报省级文化主管部门备案。吊销、注销演出经纪机构营业性演出许可证的，应当报文化部备案。</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第四十一条 文化主管部门对文艺表演团体和演出经纪机构实施行政处罚的，应当将处罚决定记录在营业性演出许可证副本上并加盖处罚机关公章，同时将处罚决定通知发证机关。</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第四十二条 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第四十三条 举办营业性涉外或者涉港澳台演出，隐瞒近2年内违反《条例》规定的记录，提交虚假书面声明的，由负责审批的文化主管部门处以3万元以下罚款。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第四十四条 违反本实施细则第十九条规定，经省级文化主管部门批准的涉外演出在批准的时间内增加演出地，未到演出所在地省级文化主管部门备案的，由县级文化主管部门依照《条例》第四十四条第一款的规定给予处罚。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第四十五条 违反本实施细则第二十条规定，经批准到艺术院校从事教学、研究工作的外国或者港澳台艺术人员擅自从事营业性演出的，由县级文化主管部门依照《条例》第四十三条规定给予处罚。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第四十六条 违反本实施细则第二十一条规定，非演出场所经营单位擅自举办演出的，由县级文化主管部门依照《条例》第四十三条规定给予处罚。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第四十七条 非演出场所经营单位为未经批准的营业性演出提供场地的，由县级文化主管部门移送有关部门处理。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第四十八条 违反本实施细则第二十三条规定，在演播厅外从事符合本实施细则第二条规定条件的电视文艺节目的现场录制，未办理审批手续的，由县级文化主管部门依照《条例》第四十三条规定给予处罚。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第四十九条 违反本实施细则第二十四条规定，擅自举办募捐义演或者其他公益性演出的，由县级以上文化主管部门依照《条例》第四十三条规定给予处罚。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第五十条 违反本实施细则第二十五条、第二十六条规定，在演出经营活动中，不履行应尽义务，倒卖、转让演出活动经营权的，由县级文化主管部门依照《条例》第四十五条规定给予处罚。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第五十一条 违反本实施细则第二十七条规定，未经批准，擅自出售演出门票的，由县级文化主管部门责令停止违法活动，并处3万元以下罚款。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第五十二条 违反本实施细则第二十八条规定，演出举办单位没有现场演唱、演奏记录的，由县级文化主管部门处以3000元以下罚款。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以假演奏等手段欺骗观众的，由县级文化主管部门依照《条例》第四十七条的规定给予处罚。</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第五十三条 县级以上文化主管部门或者文化行政执法机构检查营业性演出现场，演出举办单位拒不接受检查的，由县级以上文化主管部门或者文化行政执法机构处以3万元以下罚款。</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第五十四条 上级文化主管部门在必要时，可以依照《条例》和本实施细则的规定，调查、处理由下级文化主管部门调查、处理的案件。</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下级文化主管部门认为案件重大、复杂的，可以请求移送上级文化主管部门调查、处理。</w:t>
      </w:r>
    </w:p>
    <w:p>
      <w:pPr>
        <w:pStyle w:val="8"/>
        <w:snapToGrid w:val="0"/>
        <w:spacing w:line="310" w:lineRule="exact"/>
        <w:ind w:firstLineChars="200"/>
        <w:textAlignment w:val="baseline"/>
        <w:rPr>
          <w:rFonts w:hint="eastAsia" w:eastAsia="宋体"/>
          <w:color w:val="000000"/>
          <w:lang w:val="en-US"/>
        </w:rPr>
      </w:pPr>
      <w:r>
        <w:rPr>
          <w:rFonts w:hint="eastAsia" w:eastAsia="宋体"/>
          <w:color w:val="000000"/>
          <w:lang w:val="en-US"/>
        </w:rPr>
        <w:t>第五十五条 本实施细则由文化部负责解释。</w:t>
      </w:r>
    </w:p>
    <w:p>
      <w:pPr>
        <w:pStyle w:val="8"/>
        <w:snapToGrid w:val="0"/>
        <w:spacing w:line="310" w:lineRule="exact"/>
        <w:ind w:firstLineChars="200"/>
        <w:textAlignment w:val="baseline"/>
      </w:pPr>
      <w:r>
        <w:rPr>
          <w:rFonts w:hint="eastAsia" w:eastAsia="宋体"/>
          <w:color w:val="000000"/>
          <w:lang w:val="en-US"/>
        </w:rPr>
        <w:t>第五十六条 本实施细则自2009年10月1日起施行，2005年8月30日发布的《营业性演出管理条例实施细则》同时废止。</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6FB1"/>
    <w:rsid w:val="059A3C03"/>
    <w:rsid w:val="068648B3"/>
    <w:rsid w:val="140E6883"/>
    <w:rsid w:val="1AFB4109"/>
    <w:rsid w:val="1CAB3FC5"/>
    <w:rsid w:val="1DA21301"/>
    <w:rsid w:val="1FF95C9E"/>
    <w:rsid w:val="27B03F1C"/>
    <w:rsid w:val="28091653"/>
    <w:rsid w:val="2EEB534C"/>
    <w:rsid w:val="3381627F"/>
    <w:rsid w:val="528F1931"/>
    <w:rsid w:val="651135D8"/>
    <w:rsid w:val="73D10496"/>
    <w:rsid w:val="7C81261A"/>
    <w:rsid w:val="7DBA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next w:val="1"/>
    <w:unhideWhenUsed/>
    <w:qFormat/>
    <w:uiPriority w:val="39"/>
    <w:pPr>
      <w:widowControl w:val="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 #1|1"/>
    <w:qFormat/>
    <w:uiPriority w:val="0"/>
    <w:pPr>
      <w:widowControl w:val="0"/>
      <w:spacing w:before="950" w:after="500"/>
      <w:jc w:val="center"/>
      <w:outlineLvl w:val="0"/>
    </w:pPr>
    <w:rPr>
      <w:rFonts w:ascii="宋体" w:hAnsi="宋体" w:eastAsia="宋体" w:cs="宋体"/>
      <w:kern w:val="0"/>
      <w:sz w:val="34"/>
      <w:szCs w:val="34"/>
      <w:lang w:val="zh-CN" w:eastAsia="zh-CN" w:bidi="zh-CN"/>
    </w:rPr>
  </w:style>
  <w:style w:type="paragraph" w:customStyle="1" w:styleId="8">
    <w:name w:val="Body text|1"/>
    <w:qFormat/>
    <w:uiPriority w:val="0"/>
    <w:pPr>
      <w:widowControl w:val="0"/>
      <w:spacing w:line="319" w:lineRule="auto"/>
      <w:ind w:firstLine="400"/>
      <w:jc w:val="left"/>
    </w:pPr>
    <w:rPr>
      <w:rFonts w:ascii="宋体" w:hAnsi="宋体" w:eastAsia="宋体" w:cs="宋体"/>
      <w:kern w:val="0"/>
      <w:sz w:val="20"/>
      <w:szCs w:val="2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段文杰</cp:lastModifiedBy>
  <dcterms:modified xsi:type="dcterms:W3CDTF">2022-03-10T01:28:59Z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A8F4E55B44404D7CA0F139182764BD4B</vt:lpwstr>
  </property>
</Properties>
</file>