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line="600" w:lineRule="exact"/>
        <w:jc w:val="center"/>
        <w:rPr>
          <w:rFonts w:ascii="Times New Roman" w:hAnsi="Times New Roman" w:eastAsia="方正小标宋简体" w:cs="Times New Roman"/>
          <w:b w:val="0"/>
          <w:bCs w:val="0"/>
          <w:color w:val="000000" w:themeColor="text1"/>
          <w:spacing w:val="-3"/>
          <w:sz w:val="44"/>
          <w:szCs w:val="44"/>
          <w14:textFill>
            <w14:solidFill>
              <w14:schemeClr w14:val="tx1"/>
            </w14:solidFill>
          </w14:textFill>
        </w:rPr>
      </w:pPr>
      <w:bookmarkStart w:id="2" w:name="_GoBack"/>
      <w:bookmarkStart w:id="0" w:name="淄川区文化和旅游局2021年政府信息公开"/>
      <w:bookmarkEnd w:id="0"/>
      <w:r>
        <w:rPr>
          <w:rFonts w:ascii="Times New Roman" w:hAnsi="Times New Roman" w:eastAsia="方正小标宋简体" w:cs="Times New Roman"/>
          <w:b w:val="0"/>
          <w:bCs w:val="0"/>
          <w:color w:val="000000" w:themeColor="text1"/>
          <w:spacing w:val="-3"/>
          <w:sz w:val="44"/>
          <w:szCs w:val="44"/>
          <w14:textFill>
            <w14:solidFill>
              <w14:schemeClr w14:val="tx1"/>
            </w14:solidFill>
          </w14:textFill>
        </w:rPr>
        <w:t>淄博市淄川区文化和旅游局</w:t>
      </w:r>
    </w:p>
    <w:p>
      <w:pPr>
        <w:pStyle w:val="6"/>
        <w:spacing w:line="600" w:lineRule="exact"/>
        <w:jc w:val="center"/>
        <w:rPr>
          <w:rFonts w:ascii="Times New Roman" w:hAnsi="Times New Roman" w:eastAsia="方正小标宋简体" w:cs="Times New Roman"/>
          <w:b w:val="0"/>
          <w:bCs w:val="0"/>
          <w:color w:val="000000" w:themeColor="text1"/>
          <w:sz w:val="44"/>
          <w:szCs w:val="44"/>
          <w14:textFill>
            <w14:solidFill>
              <w14:schemeClr w14:val="tx1"/>
            </w14:solidFill>
          </w14:textFill>
        </w:rPr>
      </w:pPr>
      <w:r>
        <w:rPr>
          <w:rFonts w:ascii="Times New Roman" w:hAnsi="Times New Roman" w:eastAsia="方正小标宋简体" w:cs="Times New Roman"/>
          <w:b w:val="0"/>
          <w:bCs w:val="0"/>
          <w:color w:val="000000" w:themeColor="text1"/>
          <w:sz w:val="44"/>
          <w:szCs w:val="44"/>
          <w14:textFill>
            <w14:solidFill>
              <w14:schemeClr w14:val="tx1"/>
            </w14:solidFill>
          </w14:textFill>
        </w:rPr>
        <w:t>202</w:t>
      </w:r>
      <w:r>
        <w:rPr>
          <w:rFonts w:hint="eastAsia" w:ascii="Times New Roman" w:hAnsi="Times New Roman" w:eastAsia="方正小标宋简体" w:cs="Times New Roman"/>
          <w:b w:val="0"/>
          <w:bCs w:val="0"/>
          <w:color w:val="000000" w:themeColor="text1"/>
          <w:sz w:val="44"/>
          <w:szCs w:val="44"/>
          <w14:textFill>
            <w14:solidFill>
              <w14:schemeClr w14:val="tx1"/>
            </w14:solidFill>
          </w14:textFill>
        </w:rPr>
        <w:t>3</w:t>
      </w:r>
      <w:r>
        <w:rPr>
          <w:rFonts w:ascii="Times New Roman" w:hAnsi="Times New Roman" w:eastAsia="方正小标宋简体" w:cs="Times New Roman"/>
          <w:b w:val="0"/>
          <w:bCs w:val="0"/>
          <w:color w:val="000000" w:themeColor="text1"/>
          <w:spacing w:val="-6"/>
          <w:sz w:val="44"/>
          <w:szCs w:val="44"/>
          <w14:textFill>
            <w14:solidFill>
              <w14:schemeClr w14:val="tx1"/>
            </w14:solidFill>
          </w14:textFill>
        </w:rPr>
        <w:t>年政府信息公开</w:t>
      </w:r>
      <w:bookmarkStart w:id="1" w:name="工作年度报告"/>
      <w:bookmarkEnd w:id="1"/>
      <w:r>
        <w:rPr>
          <w:rFonts w:ascii="Times New Roman" w:hAnsi="Times New Roman" w:eastAsia="方正小标宋简体" w:cs="Times New Roman"/>
          <w:b w:val="0"/>
          <w:bCs w:val="0"/>
          <w:color w:val="000000" w:themeColor="text1"/>
          <w:sz w:val="44"/>
          <w:szCs w:val="44"/>
          <w14:textFill>
            <w14:solidFill>
              <w14:schemeClr w14:val="tx1"/>
            </w14:solidFill>
          </w14:textFill>
        </w:rPr>
        <w:t>工作年度报告</w:t>
      </w:r>
    </w:p>
    <w:p>
      <w:pPr>
        <w:pStyle w:val="4"/>
        <w:spacing w:before="199" w:line="600" w:lineRule="exact"/>
        <w:ind w:left="0" w:firstLine="640" w:firstLineChars="200"/>
        <w:jc w:val="both"/>
        <w:rPr>
          <w:rFonts w:ascii="Times New Roman" w:hAnsi="Times New Roman" w:eastAsia="仿宋_GB2312" w:cs="Times New Roman"/>
          <w:color w:val="000000" w:themeColor="text1"/>
          <w14:textFill>
            <w14:solidFill>
              <w14:schemeClr w14:val="tx1"/>
            </w14:solidFill>
          </w14:textFill>
        </w:rPr>
      </w:pPr>
    </w:p>
    <w:p>
      <w:pPr>
        <w:pStyle w:val="5"/>
        <w:widowControl/>
        <w:spacing w:beforeAutospacing="0" w:afterAutospacing="0" w:line="560" w:lineRule="exact"/>
        <w:ind w:firstLine="641"/>
        <w:jc w:val="both"/>
        <w:rPr>
          <w:rFonts w:ascii="Times New Roman" w:hAnsi="Times New Roman" w:eastAsia="仿宋_GB2312"/>
          <w:color w:val="000000"/>
          <w:sz w:val="32"/>
          <w:szCs w:val="32"/>
          <w:shd w:val="clear" w:color="auto" w:fill="FFFFFF"/>
        </w:rPr>
      </w:pPr>
      <w:r>
        <w:rPr>
          <w:rFonts w:ascii="Times New Roman" w:hAnsi="Times New Roman" w:eastAsia="仿宋_GB2312"/>
          <w:color w:val="000000" w:themeColor="text1"/>
          <w:sz w:val="32"/>
          <w:szCs w:val="32"/>
          <w14:textFill>
            <w14:solidFill>
              <w14:schemeClr w14:val="tx1"/>
            </w14:solidFill>
          </w14:textFill>
        </w:rPr>
        <w:t>本报告所列数据统计期限为202</w:t>
      </w:r>
      <w:r>
        <w:rPr>
          <w:rFonts w:hint="eastAsia" w:ascii="Times New Roman" w:hAnsi="Times New Roman" w:eastAsia="仿宋_GB2312"/>
          <w:color w:val="000000" w:themeColor="text1"/>
          <w:sz w:val="32"/>
          <w:szCs w:val="32"/>
          <w14:textFill>
            <w14:solidFill>
              <w14:schemeClr w14:val="tx1"/>
            </w14:solidFill>
          </w14:textFill>
        </w:rPr>
        <w:t>3</w:t>
      </w:r>
      <w:r>
        <w:rPr>
          <w:rFonts w:ascii="Times New Roman" w:hAnsi="Times New Roman" w:eastAsia="仿宋_GB2312"/>
          <w:color w:val="000000" w:themeColor="text1"/>
          <w:sz w:val="32"/>
          <w:szCs w:val="32"/>
          <w14:textFill>
            <w14:solidFill>
              <w14:schemeClr w14:val="tx1"/>
            </w14:solidFill>
          </w14:textFill>
        </w:rPr>
        <w:t>年1月1日至202</w:t>
      </w:r>
      <w:r>
        <w:rPr>
          <w:rFonts w:hint="eastAsia" w:ascii="Times New Roman" w:hAnsi="Times New Roman" w:eastAsia="仿宋_GB2312"/>
          <w:color w:val="000000" w:themeColor="text1"/>
          <w:sz w:val="32"/>
          <w:szCs w:val="32"/>
          <w14:textFill>
            <w14:solidFill>
              <w14:schemeClr w14:val="tx1"/>
            </w14:solidFill>
          </w14:textFill>
        </w:rPr>
        <w:t>3</w:t>
      </w:r>
      <w:r>
        <w:rPr>
          <w:rFonts w:ascii="Times New Roman" w:hAnsi="Times New Roman" w:eastAsia="仿宋_GB2312"/>
          <w:color w:val="000000" w:themeColor="text1"/>
          <w:sz w:val="32"/>
          <w:szCs w:val="32"/>
          <w14:textFill>
            <w14:solidFill>
              <w14:schemeClr w14:val="tx1"/>
            </w14:solidFill>
          </w14:textFill>
        </w:rPr>
        <w:t>年12月31日。如对报告内容有疑问，请与淄博市淄川区文化和旅游局联系（</w:t>
      </w:r>
      <w:r>
        <w:rPr>
          <w:rFonts w:ascii="Times New Roman" w:hAnsi="Times New Roman" w:eastAsia="仿宋_GB2312"/>
          <w:color w:val="000000"/>
          <w:sz w:val="32"/>
          <w:szCs w:val="32"/>
          <w:shd w:val="clear" w:color="auto" w:fill="FFFFFF"/>
        </w:rPr>
        <w:t>地址：山东省淄博市淄川区般阳路230号；邮编：255100；电话：0533-5282980；邮箱：zcwhlyjbgs@zb.shandong.cn）。</w:t>
      </w:r>
    </w:p>
    <w:p>
      <w:pPr>
        <w:pStyle w:val="5"/>
        <w:widowControl/>
        <w:numPr>
          <w:ilvl w:val="0"/>
          <w:numId w:val="1"/>
        </w:numPr>
        <w:spacing w:beforeAutospacing="0" w:afterAutospacing="0" w:line="560" w:lineRule="exact"/>
        <w:ind w:firstLine="641"/>
        <w:jc w:val="both"/>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总体情况</w:t>
      </w:r>
    </w:p>
    <w:p>
      <w:pPr>
        <w:pStyle w:val="4"/>
        <w:snapToGrid w:val="0"/>
        <w:spacing w:line="600" w:lineRule="exact"/>
        <w:ind w:left="0" w:firstLine="640" w:firstLineChars="200"/>
        <w:jc w:val="both"/>
        <w:rPr>
          <w:rFonts w:ascii="Times New Roman" w:hAnsi="Times New Roman" w:eastAsia="仿宋_GB2312" w:cs="Times New Roman"/>
          <w:color w:val="000000" w:themeColor="text1"/>
          <w14:textFill>
            <w14:solidFill>
              <w14:schemeClr w14:val="tx1"/>
            </w14:solidFill>
          </w14:textFill>
        </w:rPr>
      </w:pPr>
      <w:r>
        <w:rPr>
          <w:rFonts w:ascii="Times New Roman" w:hAnsi="Times New Roman" w:eastAsia="楷体_GB2312" w:cs="Times New Roman"/>
          <w:color w:val="000000" w:themeColor="text1"/>
          <w14:textFill>
            <w14:solidFill>
              <w14:schemeClr w14:val="tx1"/>
            </w14:solidFill>
          </w14:textFill>
        </w:rPr>
        <w:t>1.主动公开情况。</w:t>
      </w:r>
      <w:r>
        <w:rPr>
          <w:rFonts w:ascii="Times New Roman" w:hAnsi="Times New Roman" w:eastAsia="仿宋_GB2312" w:cs="Times New Roman"/>
          <w:color w:val="000000" w:themeColor="text1"/>
          <w14:textFill>
            <w14:solidFill>
              <w14:schemeClr w14:val="tx1"/>
            </w14:solidFill>
          </w14:textFill>
        </w:rPr>
        <w:t>202</w:t>
      </w:r>
      <w:r>
        <w:rPr>
          <w:rFonts w:hint="eastAsia" w:ascii="Times New Roman" w:hAnsi="Times New Roman" w:eastAsia="仿宋_GB2312" w:cs="Times New Roman"/>
          <w:color w:val="000000" w:themeColor="text1"/>
          <w14:textFill>
            <w14:solidFill>
              <w14:schemeClr w14:val="tx1"/>
            </w14:solidFill>
          </w14:textFill>
        </w:rPr>
        <w:t>3</w:t>
      </w:r>
      <w:r>
        <w:rPr>
          <w:rFonts w:ascii="Times New Roman" w:hAnsi="Times New Roman" w:eastAsia="仿宋_GB2312" w:cs="Times New Roman"/>
          <w:color w:val="000000" w:themeColor="text1"/>
          <w14:textFill>
            <w14:solidFill>
              <w14:schemeClr w14:val="tx1"/>
            </w14:solidFill>
          </w14:textFill>
        </w:rPr>
        <w:t>年我局主动公开包括</w:t>
      </w:r>
      <w:r>
        <w:rPr>
          <w:rFonts w:hint="eastAsia" w:ascii="Times New Roman" w:hAnsi="Times New Roman" w:eastAsia="仿宋_GB2312" w:cs="Times New Roman"/>
          <w:color w:val="000000" w:themeColor="text1"/>
          <w14:textFill>
            <w14:solidFill>
              <w14:schemeClr w14:val="tx1"/>
            </w14:solidFill>
          </w14:textFill>
        </w:rPr>
        <w:t>部门单位职能配置</w:t>
      </w:r>
      <w:r>
        <w:rPr>
          <w:rFonts w:ascii="Times New Roman" w:hAnsi="Times New Roman" w:eastAsia="仿宋_GB2312" w:cs="Times New Roman"/>
          <w:color w:val="000000" w:themeColor="text1"/>
          <w14:textFill>
            <w14:solidFill>
              <w14:schemeClr w14:val="tx1"/>
            </w14:solidFill>
          </w14:textFill>
        </w:rPr>
        <w:t>、职责</w:t>
      </w:r>
      <w:r>
        <w:rPr>
          <w:rFonts w:hint="eastAsia" w:ascii="Times New Roman" w:hAnsi="Times New Roman" w:eastAsia="仿宋_GB2312" w:cs="Times New Roman"/>
          <w:color w:val="000000" w:themeColor="text1"/>
          <w14:textFill>
            <w14:solidFill>
              <w14:schemeClr w14:val="tx1"/>
            </w14:solidFill>
          </w14:textFill>
        </w:rPr>
        <w:t>任务</w:t>
      </w:r>
      <w:r>
        <w:rPr>
          <w:rFonts w:ascii="Times New Roman" w:hAnsi="Times New Roman" w:eastAsia="仿宋_GB2312" w:cs="Times New Roman"/>
          <w:color w:val="000000" w:themeColor="text1"/>
          <w14:textFill>
            <w14:solidFill>
              <w14:schemeClr w14:val="tx1"/>
            </w14:solidFill>
          </w14:textFill>
        </w:rPr>
        <w:t>清单、职责边界清单、</w:t>
      </w:r>
      <w:r>
        <w:rPr>
          <w:rFonts w:hint="eastAsia" w:ascii="Times New Roman" w:hAnsi="Times New Roman" w:eastAsia="仿宋_GB2312" w:cs="Times New Roman"/>
          <w:color w:val="000000" w:themeColor="text1"/>
          <w14:textFill>
            <w14:solidFill>
              <w14:schemeClr w14:val="tx1"/>
            </w14:solidFill>
          </w14:textFill>
        </w:rPr>
        <w:t>部门文件</w:t>
      </w:r>
      <w:r>
        <w:rPr>
          <w:rFonts w:ascii="Times New Roman" w:hAnsi="Times New Roman" w:eastAsia="仿宋_GB2312" w:cs="Times New Roman"/>
          <w:color w:val="000000" w:themeColor="text1"/>
          <w14:textFill>
            <w14:solidFill>
              <w14:schemeClr w14:val="tx1"/>
            </w14:solidFill>
          </w14:textFill>
        </w:rPr>
        <w:t>、</w:t>
      </w:r>
      <w:r>
        <w:rPr>
          <w:rFonts w:hint="eastAsia" w:ascii="Times New Roman" w:hAnsi="Times New Roman" w:eastAsia="仿宋_GB2312" w:cs="Times New Roman"/>
          <w:color w:val="000000" w:themeColor="text1"/>
          <w14:textFill>
            <w14:solidFill>
              <w14:schemeClr w14:val="tx1"/>
            </w14:solidFill>
          </w14:textFill>
        </w:rPr>
        <w:t>文旅领域重要政策及解读、</w:t>
      </w:r>
      <w:r>
        <w:rPr>
          <w:rFonts w:ascii="Times New Roman" w:hAnsi="Times New Roman" w:eastAsia="仿宋_GB2312" w:cs="Times New Roman"/>
          <w:color w:val="000000" w:themeColor="text1"/>
          <w14:textFill>
            <w14:solidFill>
              <w14:schemeClr w14:val="tx1"/>
            </w14:solidFill>
          </w14:textFill>
        </w:rPr>
        <w:t>重要部署执行情况、</w:t>
      </w:r>
      <w:r>
        <w:rPr>
          <w:rFonts w:hint="eastAsia" w:ascii="Times New Roman" w:hAnsi="Times New Roman" w:eastAsia="仿宋_GB2312" w:cs="Times New Roman"/>
          <w:color w:val="000000" w:themeColor="text1"/>
          <w14:textFill>
            <w14:solidFill>
              <w14:schemeClr w14:val="tx1"/>
            </w14:solidFill>
          </w14:textFill>
        </w:rPr>
        <w:t>建议提案办理情况、</w:t>
      </w:r>
      <w:r>
        <w:rPr>
          <w:rFonts w:ascii="Times New Roman" w:hAnsi="Times New Roman" w:eastAsia="仿宋_GB2312" w:cs="Times New Roman"/>
          <w:color w:val="000000" w:themeColor="text1"/>
          <w14:textFill>
            <w14:solidFill>
              <w14:schemeClr w14:val="tx1"/>
            </w14:solidFill>
          </w14:textFill>
        </w:rPr>
        <w:t>财政信息、行政执法公示、双随机一公开、公共文化服务、旅游服务、广播电视服务、新闻出版版权服务、</w:t>
      </w:r>
      <w:r>
        <w:rPr>
          <w:rFonts w:hint="eastAsia" w:ascii="Times New Roman" w:hAnsi="Times New Roman" w:eastAsia="仿宋_GB2312" w:cs="Times New Roman"/>
          <w:color w:val="000000" w:themeColor="text1"/>
          <w14:textFill>
            <w14:solidFill>
              <w14:schemeClr w14:val="tx1"/>
            </w14:solidFill>
          </w14:textFill>
        </w:rPr>
        <w:t>法治政府建设年度报告</w:t>
      </w:r>
      <w:r>
        <w:rPr>
          <w:rFonts w:ascii="Times New Roman" w:hAnsi="Times New Roman" w:eastAsia="仿宋_GB2312" w:cs="Times New Roman"/>
          <w:color w:val="000000" w:themeColor="text1"/>
          <w14:textFill>
            <w14:solidFill>
              <w14:schemeClr w14:val="tx1"/>
            </w14:solidFill>
          </w14:textFill>
        </w:rPr>
        <w:t>和其他等20余项，共1</w:t>
      </w:r>
      <w:r>
        <w:rPr>
          <w:rFonts w:hint="eastAsia" w:ascii="Times New Roman" w:hAnsi="Times New Roman" w:eastAsia="仿宋_GB2312" w:cs="Times New Roman"/>
          <w:color w:val="000000" w:themeColor="text1"/>
          <w14:textFill>
            <w14:solidFill>
              <w14:schemeClr w14:val="tx1"/>
            </w14:solidFill>
          </w14:textFill>
        </w:rPr>
        <w:t>7</w:t>
      </w:r>
      <w:r>
        <w:rPr>
          <w:rFonts w:ascii="Times New Roman" w:hAnsi="Times New Roman" w:eastAsia="仿宋_GB2312" w:cs="Times New Roman"/>
          <w:color w:val="000000" w:themeColor="text1"/>
          <w14:textFill>
            <w14:solidFill>
              <w14:schemeClr w14:val="tx1"/>
            </w14:solidFill>
          </w14:textFill>
        </w:rPr>
        <w:t>0余条信息。</w:t>
      </w:r>
    </w:p>
    <w:p>
      <w:pPr>
        <w:pStyle w:val="4"/>
        <w:snapToGrid w:val="0"/>
        <w:spacing w:line="600" w:lineRule="exact"/>
        <w:ind w:left="0" w:firstLine="640" w:firstLineChars="200"/>
        <w:jc w:val="both"/>
        <w:rPr>
          <w:rFonts w:ascii="Times New Roman" w:hAnsi="Times New Roman" w:eastAsia="仿宋_GB2312" w:cs="Times New Roman"/>
          <w:color w:val="000000" w:themeColor="text1"/>
          <w14:textFill>
            <w14:solidFill>
              <w14:schemeClr w14:val="tx1"/>
            </w14:solidFill>
          </w14:textFill>
        </w:rPr>
      </w:pPr>
      <w:r>
        <w:rPr>
          <w:rFonts w:ascii="Times New Roman" w:hAnsi="Times New Roman" w:eastAsia="楷体_GB2312" w:cs="Times New Roman"/>
          <w:color w:val="000000" w:themeColor="text1"/>
          <w14:textFill>
            <w14:solidFill>
              <w14:schemeClr w14:val="tx1"/>
            </w14:solidFill>
          </w14:textFill>
        </w:rPr>
        <w:t>2.依申请公开政府信息情况。</w:t>
      </w:r>
      <w:r>
        <w:rPr>
          <w:rFonts w:hint="eastAsia" w:ascii="仿宋_GB2312" w:hAnsi="仿宋_GB2312" w:eastAsia="仿宋_GB2312" w:cs="仿宋_GB2312"/>
          <w:color w:val="000000" w:themeColor="text1"/>
          <w14:textFill>
            <w14:solidFill>
              <w14:schemeClr w14:val="tx1"/>
            </w14:solidFill>
          </w14:textFill>
        </w:rPr>
        <w:t>完善信息公开申请受理渠道和方式，健全受理、办理、答复工作机制，依照《条例》，坚持“以公开为常态、不公开为例外”原则，切实做好依申请公开工作。本年度，我局收到当面申请0条，通过区政府网站申请0条，信函申请0条，</w:t>
      </w:r>
      <w:r>
        <w:rPr>
          <w:rFonts w:ascii="Times New Roman" w:hAnsi="Times New Roman" w:eastAsia="仿宋_GB2312" w:cs="Times New Roman"/>
          <w:color w:val="000000" w:themeColor="text1"/>
          <w14:textFill>
            <w14:solidFill>
              <w14:schemeClr w14:val="tx1"/>
            </w14:solidFill>
          </w14:textFill>
        </w:rPr>
        <w:t>没有因政府信息公开工作被申请行政复议和提起行政诉讼情况发生。</w:t>
      </w:r>
    </w:p>
    <w:p>
      <w:pPr>
        <w:pStyle w:val="4"/>
        <w:snapToGrid w:val="0"/>
        <w:spacing w:line="600" w:lineRule="exact"/>
        <w:ind w:left="0" w:firstLine="640" w:firstLineChars="200"/>
        <w:jc w:val="both"/>
        <w:rPr>
          <w:rFonts w:ascii="Times New Roman" w:hAnsi="Times New Roman" w:eastAsia="仿宋_GB2312" w:cs="Times New Roman"/>
          <w:color w:val="000000" w:themeColor="text1"/>
          <w14:textFill>
            <w14:solidFill>
              <w14:schemeClr w14:val="tx1"/>
            </w14:solidFill>
          </w14:textFill>
        </w:rPr>
      </w:pPr>
      <w:r>
        <w:rPr>
          <w:rFonts w:ascii="Times New Roman" w:hAnsi="Times New Roman" w:eastAsia="楷体_GB2312" w:cs="Times New Roman"/>
          <w:color w:val="000000" w:themeColor="text1"/>
          <w14:textFill>
            <w14:solidFill>
              <w14:schemeClr w14:val="tx1"/>
            </w14:solidFill>
          </w14:textFill>
        </w:rPr>
        <w:t>3.政府信息管理情况</w:t>
      </w:r>
      <w:r>
        <w:rPr>
          <w:rFonts w:ascii="Times New Roman" w:hAnsi="Times New Roman" w:eastAsia="仿宋_GB2312" w:cs="Times New Roman"/>
          <w:color w:val="000000" w:themeColor="text1"/>
          <w14:textFill>
            <w14:solidFill>
              <w14:schemeClr w14:val="tx1"/>
            </w14:solidFill>
          </w14:textFill>
        </w:rPr>
        <w:t>。202</w:t>
      </w:r>
      <w:r>
        <w:rPr>
          <w:rFonts w:hint="eastAsia" w:ascii="Times New Roman" w:hAnsi="Times New Roman" w:eastAsia="仿宋_GB2312" w:cs="Times New Roman"/>
          <w:color w:val="000000" w:themeColor="text1"/>
          <w14:textFill>
            <w14:solidFill>
              <w14:schemeClr w14:val="tx1"/>
            </w14:solidFill>
          </w14:textFill>
        </w:rPr>
        <w:t>3</w:t>
      </w:r>
      <w:r>
        <w:rPr>
          <w:rFonts w:ascii="Times New Roman" w:hAnsi="Times New Roman" w:eastAsia="仿宋_GB2312" w:cs="Times New Roman"/>
          <w:color w:val="000000" w:themeColor="text1"/>
          <w14:textFill>
            <w14:solidFill>
              <w14:schemeClr w14:val="tx1"/>
            </w14:solidFill>
          </w14:textFill>
        </w:rPr>
        <w:t>年，我局进一步完善政府信息公开保密审查机制，对拟发布政府信息依法依规做好保密审查，明确职责，规范流程，确保安全；严格按照“谁提供、谁审核、谁负责”原则，规范政府信息公开审核与发布流程，确保信息发布准确性。</w:t>
      </w:r>
    </w:p>
    <w:p>
      <w:pPr>
        <w:pStyle w:val="4"/>
        <w:snapToGrid w:val="0"/>
        <w:spacing w:line="600" w:lineRule="exact"/>
        <w:ind w:left="0" w:firstLine="640" w:firstLineChars="200"/>
        <w:jc w:val="both"/>
        <w:rPr>
          <w:rFonts w:ascii="Times New Roman" w:hAnsi="Times New Roman" w:eastAsia="仿宋_GB2312" w:cs="Times New Roman"/>
          <w:color w:val="000000" w:themeColor="text1"/>
          <w14:textFill>
            <w14:solidFill>
              <w14:schemeClr w14:val="tx1"/>
            </w14:solidFill>
          </w14:textFill>
        </w:rPr>
      </w:pPr>
      <w:r>
        <w:rPr>
          <w:rFonts w:ascii="Times New Roman" w:hAnsi="Times New Roman" w:eastAsia="楷体_GB2312" w:cs="Times New Roman"/>
          <w:color w:val="000000" w:themeColor="text1"/>
          <w14:textFill>
            <w14:solidFill>
              <w14:schemeClr w14:val="tx1"/>
            </w14:solidFill>
          </w14:textFill>
        </w:rPr>
        <w:t>4.平台建设情况。</w:t>
      </w:r>
      <w:r>
        <w:rPr>
          <w:rFonts w:ascii="Times New Roman" w:hAnsi="Times New Roman" w:eastAsia="仿宋_GB2312" w:cs="Times New Roman"/>
          <w:color w:val="000000" w:themeColor="text1"/>
          <w14:textFill>
            <w14:solidFill>
              <w14:schemeClr w14:val="tx1"/>
            </w14:solidFill>
          </w14:textFill>
        </w:rPr>
        <w:t>通过局及局属事业单位微信公众号“淄川文化旅游”“淄川文化云”“淄川图书馆”“淄川文博”与区政府网站政务公开平台互为补充，及时向公众公开相关政策法规、新闻动态等信息。认真落实政府信息公开平台建设的有关要求，统一规范信息公开平台的名称、格式、页面设计和栏目设置等。</w:t>
      </w:r>
    </w:p>
    <w:p>
      <w:pPr>
        <w:pStyle w:val="4"/>
        <w:snapToGrid w:val="0"/>
        <w:spacing w:line="600" w:lineRule="exact"/>
        <w:ind w:left="0" w:firstLine="640" w:firstLineChars="200"/>
        <w:jc w:val="both"/>
        <w:rPr>
          <w:rFonts w:ascii="Times New Roman" w:hAnsi="Times New Roman" w:eastAsia="仿宋_GB2312" w:cs="Times New Roman"/>
          <w:color w:val="000000" w:themeColor="text1"/>
          <w14:textFill>
            <w14:solidFill>
              <w14:schemeClr w14:val="tx1"/>
            </w14:solidFill>
          </w14:textFill>
        </w:rPr>
      </w:pPr>
      <w:r>
        <w:rPr>
          <w:rFonts w:ascii="Times New Roman" w:hAnsi="Times New Roman" w:eastAsia="楷体_GB2312" w:cs="Times New Roman"/>
          <w:color w:val="000000" w:themeColor="text1"/>
          <w14:textFill>
            <w14:solidFill>
              <w14:schemeClr w14:val="tx1"/>
            </w14:solidFill>
          </w14:textFill>
        </w:rPr>
        <w:t>5.监督保障情况。</w:t>
      </w:r>
      <w:r>
        <w:rPr>
          <w:rFonts w:ascii="Times New Roman" w:hAnsi="Times New Roman" w:eastAsia="仿宋_GB2312" w:cs="Times New Roman"/>
          <w:color w:val="000000" w:themeColor="text1"/>
          <w14:textFill>
            <w14:solidFill>
              <w14:schemeClr w14:val="tx1"/>
            </w14:solidFill>
          </w14:textFill>
        </w:rPr>
        <w:t>我局成立政府信息公开领导小组，主要领导任组长，分管领导任副组长。平台发布的信息发布必须遵循相关的审核程序，负责平台内容人数有2人，其中专职1人，兼职1人。严格执行政府信息发布审核制度，规范网站信息发布流程</w:t>
      </w:r>
      <w:r>
        <w:rPr>
          <w:rFonts w:hint="eastAsia" w:ascii="Times New Roman" w:hAnsi="Times New Roman" w:eastAsia="仿宋_GB2312" w:cs="Times New Roman"/>
          <w:color w:val="000000" w:themeColor="text1"/>
          <w14:textFill>
            <w14:solidFill>
              <w14:schemeClr w14:val="tx1"/>
            </w14:solidFill>
          </w14:textFill>
        </w:rPr>
        <w:t>，保障各类应公开信息按时公开，全面提升政务公开整体质量。</w:t>
      </w:r>
    </w:p>
    <w:p>
      <w:pPr>
        <w:pStyle w:val="4"/>
        <w:snapToGrid w:val="0"/>
        <w:spacing w:line="600" w:lineRule="exact"/>
        <w:ind w:left="0" w:firstLine="640" w:firstLineChars="200"/>
        <w:jc w:val="both"/>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二、主动公开政府信息情况</w:t>
      </w:r>
    </w:p>
    <w:tbl>
      <w:tblPr>
        <w:tblStyle w:val="7"/>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66"/>
        <w:gridCol w:w="1997"/>
        <w:gridCol w:w="2177"/>
        <w:gridCol w:w="2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416" w:type="pct"/>
            <w:tcBorders>
              <w:top w:val="single" w:color="auto" w:sz="4" w:space="0"/>
              <w:left w:val="single" w:color="auto" w:sz="4" w:space="0"/>
              <w:bottom w:val="single" w:color="auto" w:sz="4" w:space="0"/>
              <w:right w:val="single" w:color="auto" w:sz="4" w:space="0"/>
              <w:tl2br w:val="nil"/>
              <w:tr2bl w:val="nil"/>
            </w:tcBorders>
            <w:shd w:val="clear" w:color="auto" w:fill="C5D9F0"/>
          </w:tcPr>
          <w:p>
            <w:pPr>
              <w:snapToGrid w:val="0"/>
              <w:spacing w:line="600" w:lineRule="exact"/>
              <w:jc w:val="both"/>
              <w:rPr>
                <w:rFonts w:ascii="Times New Roman" w:hAnsi="Times New Roman" w:cs="Times New Roman"/>
                <w:color w:val="000000" w:themeColor="text1"/>
                <w:sz w:val="24"/>
                <w:szCs w:val="24"/>
                <w14:textFill>
                  <w14:solidFill>
                    <w14:schemeClr w14:val="tx1"/>
                  </w14:solidFill>
                </w14:textFill>
              </w:rPr>
            </w:pPr>
          </w:p>
        </w:tc>
        <w:tc>
          <w:tcPr>
            <w:tcW w:w="3583" w:type="pct"/>
            <w:gridSpan w:val="3"/>
            <w:tcBorders>
              <w:top w:val="single" w:color="auto" w:sz="4" w:space="0"/>
              <w:left w:val="single" w:color="auto" w:sz="4" w:space="0"/>
              <w:bottom w:val="single" w:color="auto" w:sz="4" w:space="0"/>
              <w:right w:val="single" w:color="auto" w:sz="4" w:space="0"/>
              <w:tl2br w:val="nil"/>
              <w:tr2bl w:val="nil"/>
            </w:tcBorders>
            <w:shd w:val="clear" w:color="auto" w:fill="C5D9F0"/>
            <w:vAlign w:val="center"/>
          </w:tcPr>
          <w:p>
            <w:pPr>
              <w:snapToGrid w:val="0"/>
              <w:spacing w:line="600" w:lineRule="exact"/>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第二十条第（ 一）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416" w:type="pct"/>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line="600" w:lineRule="exact"/>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信息内容</w:t>
            </w:r>
          </w:p>
        </w:tc>
        <w:tc>
          <w:tcPr>
            <w:tcW w:w="1102" w:type="pct"/>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line="600" w:lineRule="exact"/>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本年制发件数</w:t>
            </w:r>
          </w:p>
        </w:tc>
        <w:tc>
          <w:tcPr>
            <w:tcW w:w="1201" w:type="pct"/>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line="600" w:lineRule="exact"/>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本年废止件数</w:t>
            </w:r>
          </w:p>
        </w:tc>
        <w:tc>
          <w:tcPr>
            <w:tcW w:w="1280" w:type="pct"/>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line="600" w:lineRule="exact"/>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416" w:type="pct"/>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line="600" w:lineRule="exact"/>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规章</w:t>
            </w:r>
          </w:p>
        </w:tc>
        <w:tc>
          <w:tcPr>
            <w:tcW w:w="1102" w:type="pct"/>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line="600" w:lineRule="exact"/>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0</w:t>
            </w:r>
          </w:p>
        </w:tc>
        <w:tc>
          <w:tcPr>
            <w:tcW w:w="1201" w:type="pct"/>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line="600" w:lineRule="exact"/>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0</w:t>
            </w:r>
          </w:p>
        </w:tc>
        <w:tc>
          <w:tcPr>
            <w:tcW w:w="1280" w:type="pct"/>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line="600" w:lineRule="exact"/>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416" w:type="pct"/>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line="600" w:lineRule="exact"/>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行政规范性文件</w:t>
            </w:r>
          </w:p>
        </w:tc>
        <w:tc>
          <w:tcPr>
            <w:tcW w:w="1102" w:type="pct"/>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line="600" w:lineRule="exact"/>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0</w:t>
            </w:r>
          </w:p>
        </w:tc>
        <w:tc>
          <w:tcPr>
            <w:tcW w:w="1201" w:type="pct"/>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line="600" w:lineRule="exact"/>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0</w:t>
            </w:r>
          </w:p>
        </w:tc>
        <w:tc>
          <w:tcPr>
            <w:tcW w:w="1280" w:type="pct"/>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line="600" w:lineRule="exact"/>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5000" w:type="pct"/>
            <w:gridSpan w:val="4"/>
            <w:tcBorders>
              <w:top w:val="single" w:color="auto" w:sz="4" w:space="0"/>
              <w:left w:val="single" w:color="auto" w:sz="4" w:space="0"/>
              <w:bottom w:val="single" w:color="auto" w:sz="4" w:space="0"/>
              <w:right w:val="single" w:color="auto" w:sz="4" w:space="0"/>
              <w:tl2br w:val="nil"/>
              <w:tr2bl w:val="nil"/>
            </w:tcBorders>
            <w:shd w:val="clear" w:color="auto" w:fill="C5D9F0"/>
            <w:vAlign w:val="center"/>
          </w:tcPr>
          <w:p>
            <w:pPr>
              <w:snapToGrid w:val="0"/>
              <w:spacing w:line="600" w:lineRule="exact"/>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第二十条第（ 五）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416" w:type="pct"/>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line="600" w:lineRule="exact"/>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信息内容</w:t>
            </w:r>
          </w:p>
        </w:tc>
        <w:tc>
          <w:tcPr>
            <w:tcW w:w="3583" w:type="pct"/>
            <w:gridSpan w:val="3"/>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line="600" w:lineRule="exact"/>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416" w:type="pct"/>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line="600" w:lineRule="exact"/>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行政许可</w:t>
            </w:r>
          </w:p>
        </w:tc>
        <w:tc>
          <w:tcPr>
            <w:tcW w:w="3583" w:type="pct"/>
            <w:gridSpan w:val="3"/>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line="600" w:lineRule="exact"/>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5000" w:type="pct"/>
            <w:gridSpan w:val="4"/>
            <w:tcBorders>
              <w:top w:val="single" w:color="auto" w:sz="4" w:space="0"/>
              <w:left w:val="single" w:color="auto" w:sz="4" w:space="0"/>
              <w:bottom w:val="single" w:color="auto" w:sz="4" w:space="0"/>
              <w:right w:val="single" w:color="auto" w:sz="4" w:space="0"/>
              <w:tl2br w:val="nil"/>
              <w:tr2bl w:val="nil"/>
            </w:tcBorders>
            <w:shd w:val="clear" w:color="auto" w:fill="C5D9F0"/>
            <w:vAlign w:val="center"/>
          </w:tcPr>
          <w:p>
            <w:pPr>
              <w:snapToGrid w:val="0"/>
              <w:spacing w:line="600" w:lineRule="exact"/>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第二十条第（ 六）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416" w:type="pct"/>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line="600" w:lineRule="exact"/>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信息内容</w:t>
            </w:r>
          </w:p>
        </w:tc>
        <w:tc>
          <w:tcPr>
            <w:tcW w:w="3583" w:type="pct"/>
            <w:gridSpan w:val="3"/>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line="600" w:lineRule="exact"/>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416" w:type="pct"/>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line="600" w:lineRule="exact"/>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行政处罚</w:t>
            </w:r>
          </w:p>
        </w:tc>
        <w:tc>
          <w:tcPr>
            <w:tcW w:w="3583" w:type="pct"/>
            <w:gridSpan w:val="3"/>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line="600" w:lineRule="exact"/>
              <w:jc w:val="both"/>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416" w:type="pct"/>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line="600" w:lineRule="exact"/>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行政强制</w:t>
            </w:r>
          </w:p>
        </w:tc>
        <w:tc>
          <w:tcPr>
            <w:tcW w:w="3583" w:type="pct"/>
            <w:gridSpan w:val="3"/>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line="600" w:lineRule="exact"/>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5000" w:type="pct"/>
            <w:gridSpan w:val="4"/>
            <w:tcBorders>
              <w:top w:val="single" w:color="auto" w:sz="4" w:space="0"/>
              <w:left w:val="single" w:color="auto" w:sz="4" w:space="0"/>
              <w:bottom w:val="single" w:color="auto" w:sz="4" w:space="0"/>
              <w:right w:val="single" w:color="auto" w:sz="4" w:space="0"/>
              <w:tl2br w:val="nil"/>
              <w:tr2bl w:val="nil"/>
            </w:tcBorders>
            <w:shd w:val="clear" w:color="auto" w:fill="C5D9F0"/>
            <w:vAlign w:val="center"/>
          </w:tcPr>
          <w:p>
            <w:pPr>
              <w:snapToGrid w:val="0"/>
              <w:spacing w:line="600" w:lineRule="exact"/>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第二十条第（ 八）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416" w:type="pct"/>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line="600" w:lineRule="exact"/>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信息内容</w:t>
            </w:r>
          </w:p>
        </w:tc>
        <w:tc>
          <w:tcPr>
            <w:tcW w:w="3583" w:type="pct"/>
            <w:gridSpan w:val="3"/>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line="600" w:lineRule="exact"/>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416" w:type="pct"/>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line="600" w:lineRule="exact"/>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行政事业性收费</w:t>
            </w:r>
          </w:p>
        </w:tc>
        <w:tc>
          <w:tcPr>
            <w:tcW w:w="3583" w:type="pct"/>
            <w:gridSpan w:val="3"/>
            <w:tcBorders>
              <w:top w:val="single" w:color="auto" w:sz="4" w:space="0"/>
              <w:left w:val="single" w:color="auto" w:sz="4" w:space="0"/>
              <w:bottom w:val="single" w:color="auto" w:sz="4" w:space="0"/>
              <w:right w:val="single" w:color="auto" w:sz="4" w:space="0"/>
              <w:tl2br w:val="nil"/>
              <w:tr2bl w:val="nil"/>
            </w:tcBorders>
          </w:tcPr>
          <w:p>
            <w:pPr>
              <w:snapToGrid w:val="0"/>
              <w:spacing w:line="600" w:lineRule="exact"/>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0</w:t>
            </w:r>
          </w:p>
        </w:tc>
      </w:tr>
    </w:tbl>
    <w:p>
      <w:pPr>
        <w:pStyle w:val="4"/>
        <w:snapToGrid w:val="0"/>
        <w:spacing w:line="600" w:lineRule="exact"/>
        <w:ind w:left="0"/>
        <w:jc w:val="both"/>
        <w:rPr>
          <w:rFonts w:ascii="Times New Roman" w:hAnsi="Times New Roman" w:eastAsia="黑体" w:cs="Times New Roman"/>
          <w:color w:val="000000" w:themeColor="text1"/>
          <w14:textFill>
            <w14:solidFill>
              <w14:schemeClr w14:val="tx1"/>
            </w14:solidFill>
          </w14:textFill>
        </w:rPr>
      </w:pPr>
    </w:p>
    <w:p>
      <w:pPr>
        <w:pStyle w:val="4"/>
        <w:numPr>
          <w:ilvl w:val="0"/>
          <w:numId w:val="2"/>
        </w:numPr>
        <w:snapToGrid w:val="0"/>
        <w:spacing w:line="600" w:lineRule="exact"/>
        <w:ind w:left="0" w:firstLine="640" w:firstLineChars="200"/>
        <w:jc w:val="both"/>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收到和处理政府信息公开申请情况</w:t>
      </w:r>
    </w:p>
    <w:tbl>
      <w:tblPr>
        <w:tblStyle w:val="7"/>
        <w:tblW w:w="92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866"/>
        <w:gridCol w:w="3075"/>
        <w:gridCol w:w="666"/>
        <w:gridCol w:w="666"/>
        <w:gridCol w:w="666"/>
        <w:gridCol w:w="666"/>
        <w:gridCol w:w="666"/>
        <w:gridCol w:w="666"/>
        <w:gridCol w:w="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4577" w:type="dxa"/>
            <w:gridSpan w:val="3"/>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both"/>
              <w:rPr>
                <w:rFonts w:ascii="Times New Roman" w:hAnsi="Times New Roman" w:eastAsia="楷体_GB2312" w:cs="Times New Roman"/>
                <w:color w:val="000000"/>
              </w:rPr>
            </w:pPr>
            <w:r>
              <w:rPr>
                <w:rFonts w:ascii="Times New Roman" w:hAnsi="Times New Roman" w:eastAsia="楷体_GB2312" w:cs="Times New Roman"/>
                <w:color w:val="000000"/>
              </w:rPr>
              <w:t>（本列数据的勾稽关系为：第一项加第二项之和，等于第三项加第四项之和）</w:t>
            </w:r>
          </w:p>
        </w:tc>
        <w:tc>
          <w:tcPr>
            <w:tcW w:w="4665" w:type="dxa"/>
            <w:gridSpan w:val="7"/>
            <w:tcBorders>
              <w:top w:val="single" w:color="auto" w:sz="4" w:space="0"/>
              <w:left w:val="single" w:color="auto" w:sz="4" w:space="0"/>
              <w:bottom w:val="single" w:color="auto" w:sz="4" w:space="0"/>
              <w:right w:val="single" w:color="auto" w:sz="4" w:space="0"/>
              <w:tl2br w:val="nil"/>
              <w:tr2bl w:val="nil"/>
            </w:tcBorders>
            <w:vAlign w:val="center"/>
          </w:tcPr>
          <w:p>
            <w:pPr>
              <w:jc w:val="both"/>
              <w:rPr>
                <w:rFonts w:ascii="Times New Roman" w:hAnsi="Times New Roman" w:eastAsia="黑体" w:cs="Times New Roman"/>
                <w:color w:val="000000"/>
              </w:rPr>
            </w:pPr>
            <w:r>
              <w:rPr>
                <w:rFonts w:ascii="Times New Roman" w:hAnsi="Times New Roman" w:eastAsia="黑体" w:cs="Times New Roman"/>
                <w:color w:val="000000"/>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4577" w:type="dxa"/>
            <w:gridSpan w:val="3"/>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both"/>
              <w:rPr>
                <w:rFonts w:ascii="Times New Roman" w:hAnsi="Times New Roman" w:cs="Times New Roman"/>
              </w:rPr>
            </w:pPr>
          </w:p>
        </w:tc>
        <w:tc>
          <w:tcPr>
            <w:tcW w:w="66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both"/>
              <w:rPr>
                <w:rFonts w:ascii="Times New Roman" w:hAnsi="Times New Roman" w:eastAsia="黑体" w:cs="Times New Roman"/>
                <w:color w:val="000000"/>
              </w:rPr>
            </w:pPr>
            <w:r>
              <w:rPr>
                <w:rFonts w:ascii="Times New Roman" w:hAnsi="Times New Roman" w:eastAsia="黑体" w:cs="Times New Roman"/>
                <w:color w:val="000000"/>
              </w:rPr>
              <w:t>自然人</w:t>
            </w:r>
          </w:p>
        </w:tc>
        <w:tc>
          <w:tcPr>
            <w:tcW w:w="3330" w:type="dxa"/>
            <w:gridSpan w:val="5"/>
            <w:tcBorders>
              <w:top w:val="single" w:color="auto" w:sz="4" w:space="0"/>
              <w:left w:val="single" w:color="auto" w:sz="4" w:space="0"/>
              <w:bottom w:val="single" w:color="auto" w:sz="4" w:space="0"/>
              <w:right w:val="single" w:color="auto" w:sz="4" w:space="0"/>
              <w:tl2br w:val="nil"/>
              <w:tr2bl w:val="nil"/>
            </w:tcBorders>
            <w:vAlign w:val="center"/>
          </w:tcPr>
          <w:p>
            <w:pPr>
              <w:jc w:val="both"/>
              <w:rPr>
                <w:rFonts w:ascii="Times New Roman" w:hAnsi="Times New Roman" w:eastAsia="黑体" w:cs="Times New Roman"/>
                <w:color w:val="000000"/>
              </w:rPr>
            </w:pPr>
            <w:r>
              <w:rPr>
                <w:rFonts w:ascii="Times New Roman" w:hAnsi="Times New Roman" w:eastAsia="黑体" w:cs="Times New Roman"/>
                <w:color w:val="000000"/>
              </w:rPr>
              <w:t>法人或其他组织</w:t>
            </w:r>
          </w:p>
        </w:tc>
        <w:tc>
          <w:tcPr>
            <w:tcW w:w="669"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both"/>
              <w:rPr>
                <w:rFonts w:ascii="Times New Roman" w:hAnsi="Times New Roman" w:eastAsia="黑体" w:cs="Times New Roman"/>
                <w:color w:val="000000"/>
              </w:rPr>
            </w:pPr>
            <w:r>
              <w:rPr>
                <w:rFonts w:ascii="Times New Roman" w:hAnsi="Times New Roman" w:eastAsia="黑体" w:cs="Times New Roman"/>
                <w:color w:val="000000"/>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4577" w:type="dxa"/>
            <w:gridSpan w:val="3"/>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both"/>
              <w:rPr>
                <w:rFonts w:ascii="Times New Roman" w:hAnsi="Times New Roman" w:cs="Times New Roman"/>
              </w:rPr>
            </w:pPr>
          </w:p>
        </w:tc>
        <w:tc>
          <w:tcPr>
            <w:tcW w:w="6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both"/>
              <w:rPr>
                <w:rFonts w:ascii="Times New Roman" w:hAnsi="Times New Roman" w:cs="Times New Roman"/>
              </w:rPr>
            </w:pP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both"/>
              <w:rPr>
                <w:rFonts w:ascii="Times New Roman" w:hAnsi="Times New Roman" w:eastAsia="黑体" w:cs="Times New Roman"/>
                <w:color w:val="000000"/>
              </w:rPr>
            </w:pPr>
            <w:r>
              <w:rPr>
                <w:rFonts w:ascii="Times New Roman" w:hAnsi="Times New Roman" w:eastAsia="黑体" w:cs="Times New Roman"/>
                <w:color w:val="000000"/>
              </w:rPr>
              <w:t>商业企业</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both"/>
              <w:rPr>
                <w:rFonts w:ascii="Times New Roman" w:hAnsi="Times New Roman" w:eastAsia="黑体" w:cs="Times New Roman"/>
                <w:color w:val="000000"/>
              </w:rPr>
            </w:pPr>
            <w:r>
              <w:rPr>
                <w:rFonts w:ascii="Times New Roman" w:hAnsi="Times New Roman" w:eastAsia="黑体" w:cs="Times New Roman"/>
                <w:color w:val="000000"/>
              </w:rPr>
              <w:t>科研机构</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both"/>
              <w:rPr>
                <w:rFonts w:ascii="Times New Roman" w:hAnsi="Times New Roman" w:eastAsia="黑体" w:cs="Times New Roman"/>
                <w:color w:val="000000"/>
              </w:rPr>
            </w:pPr>
            <w:r>
              <w:rPr>
                <w:rFonts w:ascii="Times New Roman" w:hAnsi="Times New Roman" w:eastAsia="黑体" w:cs="Times New Roman"/>
                <w:color w:val="000000"/>
              </w:rPr>
              <w:t>社会公益组织</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both"/>
              <w:rPr>
                <w:rFonts w:ascii="Times New Roman" w:hAnsi="Times New Roman" w:eastAsia="黑体" w:cs="Times New Roman"/>
                <w:color w:val="000000"/>
              </w:rPr>
            </w:pPr>
            <w:r>
              <w:rPr>
                <w:rFonts w:ascii="Times New Roman" w:hAnsi="Times New Roman" w:eastAsia="黑体" w:cs="Times New Roman"/>
                <w:color w:val="000000"/>
              </w:rPr>
              <w:t>法律服务机构</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both"/>
              <w:rPr>
                <w:rFonts w:ascii="Times New Roman" w:hAnsi="Times New Roman" w:eastAsia="黑体" w:cs="Times New Roman"/>
                <w:color w:val="000000"/>
              </w:rPr>
            </w:pPr>
            <w:r>
              <w:rPr>
                <w:rFonts w:ascii="Times New Roman" w:hAnsi="Times New Roman" w:eastAsia="黑体" w:cs="Times New Roman"/>
                <w:color w:val="000000"/>
              </w:rPr>
              <w:t>其他</w:t>
            </w:r>
          </w:p>
        </w:tc>
        <w:tc>
          <w:tcPr>
            <w:tcW w:w="669"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both"/>
              <w:rPr>
                <w:rFonts w:ascii="Times New Roman" w:hAnsi="Times New Roman" w:eastAsia="黑体" w:cs="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4577" w:type="dxa"/>
            <w:gridSpan w:val="3"/>
            <w:tcBorders>
              <w:top w:val="single" w:color="auto" w:sz="4" w:space="0"/>
              <w:left w:val="single" w:color="auto" w:sz="4" w:space="0"/>
              <w:bottom w:val="single" w:color="auto" w:sz="4" w:space="0"/>
              <w:right w:val="single" w:color="auto" w:sz="4" w:space="0"/>
              <w:tl2br w:val="nil"/>
              <w:tr2bl w:val="nil"/>
            </w:tcBorders>
            <w:vAlign w:val="center"/>
          </w:tcPr>
          <w:p>
            <w:pPr>
              <w:jc w:val="both"/>
              <w:rPr>
                <w:rFonts w:ascii="Times New Roman" w:hAnsi="Times New Roman" w:eastAsia="黑体" w:cs="Times New Roman"/>
                <w:color w:val="000000"/>
              </w:rPr>
            </w:pPr>
            <w:r>
              <w:rPr>
                <w:rFonts w:ascii="Times New Roman" w:hAnsi="Times New Roman" w:eastAsia="黑体" w:cs="Times New Roman"/>
                <w:color w:val="000000"/>
              </w:rPr>
              <w:t>一、本年新收政府信息公开申请数量</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both"/>
              <w:rPr>
                <w:rFonts w:ascii="Times New Roman" w:hAnsi="Times New Roman" w:cs="Times New Roman"/>
              </w:rPr>
            </w:pPr>
            <w:r>
              <w:rPr>
                <w:rFonts w:hint="eastAsia"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both"/>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both"/>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both"/>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both"/>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both"/>
              <w:rPr>
                <w:rFonts w:ascii="Times New Roman" w:hAnsi="Times New Roman" w:cs="Times New Roman"/>
              </w:rPr>
            </w:pPr>
            <w:r>
              <w:rPr>
                <w:rFonts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both"/>
              <w:rPr>
                <w:rFonts w:ascii="Times New Roman" w:hAnsi="Times New Roman" w:cs="Times New Roman"/>
              </w:rPr>
            </w:pPr>
            <w:r>
              <w:rPr>
                <w:rFonts w:hint="eastAsia"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4577" w:type="dxa"/>
            <w:gridSpan w:val="3"/>
            <w:tcBorders>
              <w:top w:val="single" w:color="auto" w:sz="4" w:space="0"/>
              <w:left w:val="single" w:color="auto" w:sz="4" w:space="0"/>
              <w:bottom w:val="single" w:color="auto" w:sz="4" w:space="0"/>
              <w:right w:val="single" w:color="auto" w:sz="4" w:space="0"/>
              <w:tl2br w:val="nil"/>
              <w:tr2bl w:val="nil"/>
            </w:tcBorders>
            <w:vAlign w:val="center"/>
          </w:tcPr>
          <w:p>
            <w:pPr>
              <w:jc w:val="both"/>
              <w:rPr>
                <w:rFonts w:ascii="Times New Roman" w:hAnsi="Times New Roman" w:eastAsia="黑体" w:cs="Times New Roman"/>
                <w:color w:val="000000"/>
              </w:rPr>
            </w:pPr>
            <w:r>
              <w:rPr>
                <w:rFonts w:ascii="Times New Roman" w:hAnsi="Times New Roman" w:eastAsia="黑体" w:cs="Times New Roman"/>
                <w:color w:val="000000"/>
              </w:rPr>
              <w:t>二、上年结转政府信息公开申请数量</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both"/>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both"/>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both"/>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both"/>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both"/>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both"/>
              <w:rPr>
                <w:rFonts w:ascii="Times New Roman" w:hAnsi="Times New Roman" w:cs="Times New Roman"/>
              </w:rPr>
            </w:pPr>
            <w:r>
              <w:rPr>
                <w:rFonts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both"/>
              <w:rPr>
                <w:rFonts w:ascii="Times New Roman" w:hAnsi="Times New Roman" w:cs="Times New Roman"/>
              </w:rPr>
            </w:pP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63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both"/>
              <w:rPr>
                <w:rFonts w:ascii="Times New Roman" w:hAnsi="Times New Roman" w:eastAsia="黑体" w:cs="Times New Roman"/>
                <w:color w:val="000000"/>
              </w:rPr>
            </w:pPr>
            <w:r>
              <w:rPr>
                <w:rFonts w:ascii="Times New Roman" w:hAnsi="Times New Roman" w:eastAsia="黑体" w:cs="Times New Roman"/>
                <w:color w:val="000000"/>
              </w:rPr>
              <w:t>三、本年度办理结果</w:t>
            </w:r>
          </w:p>
        </w:tc>
        <w:tc>
          <w:tcPr>
            <w:tcW w:w="3941" w:type="dxa"/>
            <w:gridSpan w:val="2"/>
            <w:tcBorders>
              <w:top w:val="single" w:color="auto" w:sz="4" w:space="0"/>
              <w:left w:val="single" w:color="auto" w:sz="4" w:space="0"/>
              <w:bottom w:val="single" w:color="auto" w:sz="4" w:space="0"/>
              <w:right w:val="single" w:color="auto" w:sz="4" w:space="0"/>
              <w:tl2br w:val="nil"/>
              <w:tr2bl w:val="nil"/>
            </w:tcBorders>
            <w:vAlign w:val="center"/>
          </w:tcPr>
          <w:p>
            <w:pPr>
              <w:jc w:val="both"/>
              <w:rPr>
                <w:rFonts w:ascii="Times New Roman" w:hAnsi="Times New Roman" w:eastAsia="黑体" w:cs="Times New Roman"/>
                <w:color w:val="000000"/>
              </w:rPr>
            </w:pPr>
            <w:r>
              <w:rPr>
                <w:rFonts w:ascii="Times New Roman" w:hAnsi="Times New Roman" w:eastAsia="黑体" w:cs="Times New Roman"/>
                <w:color w:val="000000"/>
              </w:rPr>
              <w:t>（ 一） 予以公开</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both"/>
              <w:rPr>
                <w:rFonts w:ascii="Times New Roman" w:hAnsi="Times New Roman" w:cs="Times New Roman"/>
              </w:rPr>
            </w:pPr>
            <w:r>
              <w:rPr>
                <w:rFonts w:hint="eastAsia"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both"/>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both"/>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both"/>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both"/>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both"/>
              <w:rPr>
                <w:rFonts w:ascii="Times New Roman" w:hAnsi="Times New Roman" w:cs="Times New Roman"/>
              </w:rPr>
            </w:pPr>
            <w:r>
              <w:rPr>
                <w:rFonts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both"/>
              <w:rPr>
                <w:rFonts w:ascii="Times New Roman" w:hAnsi="Times New Roman" w:cs="Times New Roman"/>
              </w:rPr>
            </w:pPr>
            <w:r>
              <w:rPr>
                <w:rFonts w:hint="eastAsia"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both"/>
              <w:rPr>
                <w:rFonts w:ascii="Times New Roman" w:hAnsi="Times New Roman" w:cs="Times New Roman"/>
              </w:rPr>
            </w:pPr>
          </w:p>
        </w:tc>
        <w:tc>
          <w:tcPr>
            <w:tcW w:w="3941" w:type="dxa"/>
            <w:gridSpan w:val="2"/>
            <w:tcBorders>
              <w:top w:val="single" w:color="auto" w:sz="4" w:space="0"/>
              <w:left w:val="single" w:color="auto" w:sz="4" w:space="0"/>
              <w:bottom w:val="single" w:color="auto" w:sz="4" w:space="0"/>
              <w:right w:val="single" w:color="auto" w:sz="4" w:space="0"/>
              <w:tl2br w:val="nil"/>
              <w:tr2bl w:val="nil"/>
            </w:tcBorders>
            <w:vAlign w:val="center"/>
          </w:tcPr>
          <w:p>
            <w:pPr>
              <w:jc w:val="both"/>
              <w:rPr>
                <w:rFonts w:ascii="Times New Roman" w:hAnsi="Times New Roman" w:eastAsia="黑体" w:cs="Times New Roman"/>
                <w:color w:val="000000"/>
              </w:rPr>
            </w:pPr>
            <w:r>
              <w:rPr>
                <w:rFonts w:ascii="Times New Roman" w:hAnsi="Times New Roman" w:eastAsia="黑体" w:cs="Times New Roman"/>
                <w:color w:val="000000"/>
              </w:rPr>
              <w:t>（二）部分公开（区分处理的，只计这一情形，不计其他情形）</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both"/>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both"/>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both"/>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both"/>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both"/>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both"/>
              <w:rPr>
                <w:rFonts w:ascii="Times New Roman" w:hAnsi="Times New Roman" w:cs="Times New Roman"/>
              </w:rPr>
            </w:pPr>
            <w:r>
              <w:rPr>
                <w:rFonts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both"/>
              <w:rPr>
                <w:rFonts w:ascii="Times New Roman" w:hAnsi="Times New Roman" w:cs="Times New Roman"/>
              </w:rPr>
            </w:pP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both"/>
              <w:rPr>
                <w:rFonts w:ascii="Times New Roman" w:hAnsi="Times New Roman" w:cs="Times New Roman"/>
              </w:rPr>
            </w:pPr>
          </w:p>
        </w:tc>
        <w:tc>
          <w:tcPr>
            <w:tcW w:w="86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both"/>
              <w:rPr>
                <w:rFonts w:ascii="Times New Roman" w:hAnsi="Times New Roman" w:eastAsia="黑体" w:cs="Times New Roman"/>
                <w:color w:val="000000"/>
              </w:rPr>
            </w:pPr>
            <w:r>
              <w:rPr>
                <w:rFonts w:ascii="Times New Roman" w:hAnsi="Times New Roman" w:eastAsia="黑体" w:cs="Times New Roman"/>
                <w:color w:val="000000"/>
              </w:rPr>
              <w:t>（ 三） 不予公开</w:t>
            </w: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both"/>
              <w:rPr>
                <w:rFonts w:ascii="Times New Roman" w:hAnsi="Times New Roman" w:eastAsia="仿宋_GB2312" w:cs="Times New Roman"/>
                <w:color w:val="000000"/>
              </w:rPr>
            </w:pPr>
            <w:r>
              <w:rPr>
                <w:rFonts w:ascii="Times New Roman" w:hAnsi="Times New Roman" w:eastAsia="仿宋_GB2312" w:cs="Times New Roman"/>
                <w:color w:val="000000"/>
              </w:rPr>
              <w:t>1. 属于国家秘密</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both"/>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both"/>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both"/>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both"/>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both"/>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both"/>
              <w:rPr>
                <w:rFonts w:ascii="Times New Roman" w:hAnsi="Times New Roman" w:cs="Times New Roman"/>
              </w:rPr>
            </w:pPr>
            <w:r>
              <w:rPr>
                <w:rFonts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both"/>
              <w:rPr>
                <w:rFonts w:ascii="Times New Roman" w:hAnsi="Times New Roman" w:cs="Times New Roman"/>
              </w:rPr>
            </w:pP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both"/>
              <w:rPr>
                <w:rFonts w:ascii="Times New Roman" w:hAnsi="Times New Roman" w:cs="Times New Roman"/>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both"/>
              <w:rPr>
                <w:rFonts w:ascii="Times New Roman" w:hAnsi="Times New Roman" w:cs="Times New Roman"/>
              </w:rPr>
            </w:p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both"/>
              <w:rPr>
                <w:rFonts w:ascii="Times New Roman" w:hAnsi="Times New Roman" w:eastAsia="仿宋_GB2312" w:cs="Times New Roman"/>
                <w:color w:val="000000"/>
              </w:rPr>
            </w:pPr>
            <w:r>
              <w:rPr>
                <w:rFonts w:ascii="Times New Roman" w:hAnsi="Times New Roman" w:eastAsia="仿宋_GB2312" w:cs="Times New Roman"/>
                <w:color w:val="000000"/>
              </w:rPr>
              <w:t>2. 其他法律行政法规禁止公开</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both"/>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both"/>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both"/>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both"/>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both"/>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both"/>
              <w:rPr>
                <w:rFonts w:ascii="Times New Roman" w:hAnsi="Times New Roman" w:cs="Times New Roman"/>
              </w:rPr>
            </w:pPr>
            <w:r>
              <w:rPr>
                <w:rFonts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both"/>
              <w:rPr>
                <w:rFonts w:ascii="Times New Roman" w:hAnsi="Times New Roman" w:cs="Times New Roman"/>
              </w:rPr>
            </w:pP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both"/>
              <w:rPr>
                <w:rFonts w:ascii="Times New Roman" w:hAnsi="Times New Roman" w:cs="Times New Roman"/>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both"/>
              <w:rPr>
                <w:rFonts w:ascii="Times New Roman" w:hAnsi="Times New Roman" w:cs="Times New Roman"/>
              </w:rPr>
            </w:p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both"/>
              <w:rPr>
                <w:rFonts w:ascii="Times New Roman" w:hAnsi="Times New Roman" w:eastAsia="仿宋_GB2312" w:cs="Times New Roman"/>
                <w:color w:val="000000"/>
              </w:rPr>
            </w:pPr>
            <w:r>
              <w:rPr>
                <w:rFonts w:ascii="Times New Roman" w:hAnsi="Times New Roman" w:eastAsia="仿宋_GB2312" w:cs="Times New Roman"/>
                <w:color w:val="000000"/>
              </w:rPr>
              <w:t>3.危及“三安全一稳定”</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both"/>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both"/>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both"/>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both"/>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both"/>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both"/>
              <w:rPr>
                <w:rFonts w:ascii="Times New Roman" w:hAnsi="Times New Roman" w:cs="Times New Roman"/>
              </w:rPr>
            </w:pPr>
            <w:r>
              <w:rPr>
                <w:rFonts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both"/>
              <w:rPr>
                <w:rFonts w:ascii="Times New Roman" w:hAnsi="Times New Roman" w:cs="Times New Roman"/>
              </w:rPr>
            </w:pP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both"/>
              <w:rPr>
                <w:rFonts w:ascii="Times New Roman" w:hAnsi="Times New Roman" w:cs="Times New Roman"/>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both"/>
              <w:rPr>
                <w:rFonts w:ascii="Times New Roman" w:hAnsi="Times New Roman" w:cs="Times New Roman"/>
              </w:rPr>
            </w:p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both"/>
              <w:rPr>
                <w:rFonts w:ascii="Times New Roman" w:hAnsi="Times New Roman" w:eastAsia="仿宋_GB2312" w:cs="Times New Roman"/>
                <w:color w:val="000000"/>
              </w:rPr>
            </w:pPr>
            <w:r>
              <w:rPr>
                <w:rFonts w:ascii="Times New Roman" w:hAnsi="Times New Roman" w:eastAsia="仿宋_GB2312" w:cs="Times New Roman"/>
                <w:color w:val="000000"/>
              </w:rPr>
              <w:t>4. 保护第三方合法权益</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both"/>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both"/>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both"/>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both"/>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both"/>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both"/>
              <w:rPr>
                <w:rFonts w:ascii="Times New Roman" w:hAnsi="Times New Roman" w:cs="Times New Roman"/>
              </w:rPr>
            </w:pPr>
            <w:r>
              <w:rPr>
                <w:rFonts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both"/>
              <w:rPr>
                <w:rFonts w:ascii="Times New Roman" w:hAnsi="Times New Roman" w:cs="Times New Roman"/>
              </w:rPr>
            </w:pP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both"/>
              <w:rPr>
                <w:rFonts w:ascii="Times New Roman" w:hAnsi="Times New Roman" w:cs="Times New Roman"/>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both"/>
              <w:rPr>
                <w:rFonts w:ascii="Times New Roman" w:hAnsi="Times New Roman" w:cs="Times New Roman"/>
              </w:rPr>
            </w:p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both"/>
              <w:rPr>
                <w:rFonts w:ascii="Times New Roman" w:hAnsi="Times New Roman" w:eastAsia="仿宋_GB2312" w:cs="Times New Roman"/>
                <w:color w:val="000000"/>
              </w:rPr>
            </w:pPr>
            <w:r>
              <w:rPr>
                <w:rFonts w:ascii="Times New Roman" w:hAnsi="Times New Roman" w:eastAsia="仿宋_GB2312" w:cs="Times New Roman"/>
                <w:color w:val="000000"/>
              </w:rPr>
              <w:t>5. 属于三类内部事务信息</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both"/>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both"/>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both"/>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both"/>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both"/>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both"/>
              <w:rPr>
                <w:rFonts w:ascii="Times New Roman" w:hAnsi="Times New Roman" w:cs="Times New Roman"/>
              </w:rPr>
            </w:pPr>
            <w:r>
              <w:rPr>
                <w:rFonts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both"/>
              <w:rPr>
                <w:rFonts w:ascii="Times New Roman" w:hAnsi="Times New Roman" w:cs="Times New Roman"/>
              </w:rPr>
            </w:pP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both"/>
              <w:rPr>
                <w:rFonts w:ascii="Times New Roman" w:hAnsi="Times New Roman" w:cs="Times New Roman"/>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both"/>
              <w:rPr>
                <w:rFonts w:ascii="Times New Roman" w:hAnsi="Times New Roman" w:cs="Times New Roman"/>
              </w:rPr>
            </w:p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both"/>
              <w:rPr>
                <w:rFonts w:ascii="Times New Roman" w:hAnsi="Times New Roman" w:eastAsia="仿宋_GB2312" w:cs="Times New Roman"/>
                <w:color w:val="000000"/>
              </w:rPr>
            </w:pPr>
            <w:r>
              <w:rPr>
                <w:rFonts w:ascii="Times New Roman" w:hAnsi="Times New Roman" w:eastAsia="仿宋_GB2312" w:cs="Times New Roman"/>
                <w:color w:val="000000"/>
              </w:rPr>
              <w:t>6. 属于四类过程性信息</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both"/>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both"/>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both"/>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both"/>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both"/>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both"/>
              <w:rPr>
                <w:rFonts w:ascii="Times New Roman" w:hAnsi="Times New Roman" w:cs="Times New Roman"/>
              </w:rPr>
            </w:pPr>
            <w:r>
              <w:rPr>
                <w:rFonts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both"/>
              <w:rPr>
                <w:rFonts w:ascii="Times New Roman" w:hAnsi="Times New Roman" w:cs="Times New Roman"/>
              </w:rPr>
            </w:pP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both"/>
              <w:rPr>
                <w:rFonts w:ascii="Times New Roman" w:hAnsi="Times New Roman" w:cs="Times New Roman"/>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both"/>
              <w:rPr>
                <w:rFonts w:ascii="Times New Roman" w:hAnsi="Times New Roman" w:cs="Times New Roman"/>
              </w:rPr>
            </w:p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both"/>
              <w:rPr>
                <w:rFonts w:ascii="Times New Roman" w:hAnsi="Times New Roman" w:eastAsia="仿宋_GB2312" w:cs="Times New Roman"/>
                <w:color w:val="000000"/>
              </w:rPr>
            </w:pPr>
            <w:r>
              <w:rPr>
                <w:rFonts w:ascii="Times New Roman" w:hAnsi="Times New Roman" w:eastAsia="仿宋_GB2312" w:cs="Times New Roman"/>
                <w:color w:val="000000"/>
              </w:rPr>
              <w:t>7. 属于行政执法案卷</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both"/>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both"/>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both"/>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both"/>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both"/>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both"/>
              <w:rPr>
                <w:rFonts w:ascii="Times New Roman" w:hAnsi="Times New Roman" w:cs="Times New Roman"/>
              </w:rPr>
            </w:pPr>
            <w:r>
              <w:rPr>
                <w:rFonts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both"/>
              <w:rPr>
                <w:rFonts w:ascii="Times New Roman" w:hAnsi="Times New Roman" w:cs="Times New Roman"/>
              </w:rPr>
            </w:pP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both"/>
              <w:rPr>
                <w:rFonts w:ascii="Times New Roman" w:hAnsi="Times New Roman" w:cs="Times New Roman"/>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both"/>
              <w:rPr>
                <w:rFonts w:ascii="Times New Roman" w:hAnsi="Times New Roman" w:cs="Times New Roman"/>
              </w:rPr>
            </w:p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both"/>
              <w:rPr>
                <w:rFonts w:ascii="Times New Roman" w:hAnsi="Times New Roman" w:eastAsia="仿宋_GB2312" w:cs="Times New Roman"/>
                <w:color w:val="000000"/>
              </w:rPr>
            </w:pPr>
            <w:r>
              <w:rPr>
                <w:rFonts w:ascii="Times New Roman" w:hAnsi="Times New Roman" w:eastAsia="仿宋_GB2312" w:cs="Times New Roman"/>
                <w:color w:val="000000"/>
              </w:rPr>
              <w:t>8. 属于行政查询事项</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both"/>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both"/>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both"/>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both"/>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both"/>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both"/>
              <w:rPr>
                <w:rFonts w:ascii="Times New Roman" w:hAnsi="Times New Roman" w:cs="Times New Roman"/>
              </w:rPr>
            </w:pPr>
            <w:r>
              <w:rPr>
                <w:rFonts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both"/>
              <w:rPr>
                <w:rFonts w:ascii="Times New Roman" w:hAnsi="Times New Roman" w:cs="Times New Roman"/>
              </w:rPr>
            </w:pP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both"/>
              <w:rPr>
                <w:rFonts w:ascii="Times New Roman" w:hAnsi="Times New Roman" w:cs="Times New Roman"/>
              </w:rPr>
            </w:pPr>
          </w:p>
        </w:tc>
        <w:tc>
          <w:tcPr>
            <w:tcW w:w="86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both"/>
              <w:rPr>
                <w:rFonts w:ascii="Times New Roman" w:hAnsi="Times New Roman" w:eastAsia="黑体" w:cs="Times New Roman"/>
                <w:color w:val="000000"/>
              </w:rPr>
            </w:pPr>
            <w:r>
              <w:rPr>
                <w:rFonts w:ascii="Times New Roman" w:hAnsi="Times New Roman" w:eastAsia="黑体" w:cs="Times New Roman"/>
                <w:color w:val="000000"/>
              </w:rPr>
              <w:t>（ 四） 无法提供</w:t>
            </w: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both"/>
              <w:rPr>
                <w:rFonts w:ascii="Times New Roman" w:hAnsi="Times New Roman" w:eastAsia="仿宋_GB2312" w:cs="Times New Roman"/>
                <w:color w:val="000000"/>
              </w:rPr>
            </w:pPr>
            <w:r>
              <w:rPr>
                <w:rFonts w:ascii="Times New Roman" w:hAnsi="Times New Roman" w:eastAsia="仿宋_GB2312" w:cs="Times New Roman"/>
                <w:color w:val="000000"/>
              </w:rPr>
              <w:t>1. 本机关不掌握相关政府信息</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both"/>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both"/>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both"/>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both"/>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both"/>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both"/>
              <w:rPr>
                <w:rFonts w:ascii="Times New Roman" w:hAnsi="Times New Roman" w:cs="Times New Roman"/>
              </w:rPr>
            </w:pPr>
            <w:r>
              <w:rPr>
                <w:rFonts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both"/>
              <w:rPr>
                <w:rFonts w:ascii="Times New Roman" w:hAnsi="Times New Roman" w:cs="Times New Roman"/>
              </w:rPr>
            </w:pP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both"/>
              <w:rPr>
                <w:rFonts w:ascii="Times New Roman" w:hAnsi="Times New Roman" w:cs="Times New Roman"/>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both"/>
              <w:rPr>
                <w:rFonts w:ascii="Times New Roman" w:hAnsi="Times New Roman" w:cs="Times New Roman"/>
              </w:rPr>
            </w:p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both"/>
              <w:rPr>
                <w:rFonts w:ascii="Times New Roman" w:hAnsi="Times New Roman" w:eastAsia="仿宋_GB2312" w:cs="Times New Roman"/>
                <w:color w:val="000000"/>
              </w:rPr>
            </w:pPr>
            <w:r>
              <w:rPr>
                <w:rFonts w:ascii="Times New Roman" w:hAnsi="Times New Roman" w:eastAsia="仿宋_GB2312" w:cs="Times New Roman"/>
                <w:color w:val="000000"/>
              </w:rPr>
              <w:t>2. 没有现成信息需要另行制作</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both"/>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both"/>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both"/>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both"/>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both"/>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both"/>
              <w:rPr>
                <w:rFonts w:ascii="Times New Roman" w:hAnsi="Times New Roman" w:cs="Times New Roman"/>
              </w:rPr>
            </w:pPr>
            <w:r>
              <w:rPr>
                <w:rFonts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both"/>
              <w:rPr>
                <w:rFonts w:ascii="Times New Roman" w:hAnsi="Times New Roman" w:cs="Times New Roman"/>
              </w:rPr>
            </w:pP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both"/>
              <w:rPr>
                <w:rFonts w:ascii="Times New Roman" w:hAnsi="Times New Roman" w:cs="Times New Roman"/>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both"/>
              <w:rPr>
                <w:rFonts w:ascii="Times New Roman" w:hAnsi="Times New Roman" w:cs="Times New Roman"/>
              </w:rPr>
            </w:p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both"/>
              <w:rPr>
                <w:rFonts w:ascii="Times New Roman" w:hAnsi="Times New Roman" w:eastAsia="仿宋_GB2312" w:cs="Times New Roman"/>
                <w:color w:val="000000"/>
              </w:rPr>
            </w:pPr>
            <w:r>
              <w:rPr>
                <w:rFonts w:ascii="Times New Roman" w:hAnsi="Times New Roman" w:eastAsia="仿宋_GB2312" w:cs="Times New Roman"/>
                <w:color w:val="000000"/>
              </w:rPr>
              <w:t>3. 补正后申请内容仍不明确</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both"/>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both"/>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both"/>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both"/>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both"/>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both"/>
              <w:rPr>
                <w:rFonts w:ascii="Times New Roman" w:hAnsi="Times New Roman" w:cs="Times New Roman"/>
              </w:rPr>
            </w:pPr>
            <w:r>
              <w:rPr>
                <w:rFonts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both"/>
              <w:rPr>
                <w:rFonts w:ascii="Times New Roman" w:hAnsi="Times New Roman" w:cs="Times New Roman"/>
              </w:rPr>
            </w:pP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both"/>
              <w:rPr>
                <w:rFonts w:ascii="Times New Roman" w:hAnsi="Times New Roman" w:cs="Times New Roman"/>
              </w:rPr>
            </w:pPr>
          </w:p>
        </w:tc>
        <w:tc>
          <w:tcPr>
            <w:tcW w:w="86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both"/>
              <w:rPr>
                <w:rFonts w:ascii="Times New Roman" w:hAnsi="Times New Roman" w:eastAsia="黑体" w:cs="Times New Roman"/>
                <w:color w:val="000000"/>
              </w:rPr>
            </w:pPr>
            <w:r>
              <w:rPr>
                <w:rFonts w:ascii="Times New Roman" w:hAnsi="Times New Roman" w:eastAsia="黑体" w:cs="Times New Roman"/>
                <w:color w:val="000000"/>
              </w:rPr>
              <w:t>（ 五） 不予处理</w:t>
            </w: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both"/>
              <w:rPr>
                <w:rFonts w:ascii="Times New Roman" w:hAnsi="Times New Roman" w:eastAsia="仿宋_GB2312" w:cs="Times New Roman"/>
                <w:color w:val="000000"/>
              </w:rPr>
            </w:pPr>
            <w:r>
              <w:rPr>
                <w:rFonts w:ascii="Times New Roman" w:hAnsi="Times New Roman" w:eastAsia="仿宋_GB2312" w:cs="Times New Roman"/>
                <w:color w:val="000000"/>
              </w:rPr>
              <w:t>1. 信访举报投诉类申请</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both"/>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both"/>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both"/>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both"/>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both"/>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both"/>
              <w:rPr>
                <w:rFonts w:ascii="Times New Roman" w:hAnsi="Times New Roman" w:cs="Times New Roman"/>
              </w:rPr>
            </w:pPr>
            <w:r>
              <w:rPr>
                <w:rFonts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both"/>
              <w:rPr>
                <w:rFonts w:ascii="Times New Roman" w:hAnsi="Times New Roman" w:cs="Times New Roman"/>
              </w:rPr>
            </w:pP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both"/>
              <w:rPr>
                <w:rFonts w:ascii="Times New Roman" w:hAnsi="Times New Roman" w:cs="Times New Roman"/>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both"/>
              <w:rPr>
                <w:rFonts w:ascii="Times New Roman" w:hAnsi="Times New Roman" w:cs="Times New Roman"/>
              </w:rPr>
            </w:p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both"/>
              <w:rPr>
                <w:rFonts w:ascii="Times New Roman" w:hAnsi="Times New Roman" w:eastAsia="仿宋_GB2312" w:cs="Times New Roman"/>
                <w:color w:val="000000"/>
              </w:rPr>
            </w:pPr>
            <w:r>
              <w:rPr>
                <w:rFonts w:ascii="Times New Roman" w:hAnsi="Times New Roman" w:eastAsia="仿宋_GB2312" w:cs="Times New Roman"/>
                <w:color w:val="000000"/>
              </w:rPr>
              <w:t>2. 重复申请</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both"/>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both"/>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both"/>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both"/>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both"/>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both"/>
              <w:rPr>
                <w:rFonts w:ascii="Times New Roman" w:hAnsi="Times New Roman" w:cs="Times New Roman"/>
              </w:rPr>
            </w:pPr>
            <w:r>
              <w:rPr>
                <w:rFonts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both"/>
              <w:rPr>
                <w:rFonts w:ascii="Times New Roman" w:hAnsi="Times New Roman" w:cs="Times New Roman"/>
              </w:rPr>
            </w:pP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both"/>
              <w:rPr>
                <w:rFonts w:ascii="Times New Roman" w:hAnsi="Times New Roman" w:cs="Times New Roman"/>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both"/>
              <w:rPr>
                <w:rFonts w:ascii="Times New Roman" w:hAnsi="Times New Roman" w:cs="Times New Roman"/>
              </w:rPr>
            </w:p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both"/>
              <w:rPr>
                <w:rFonts w:ascii="Times New Roman" w:hAnsi="Times New Roman" w:eastAsia="仿宋_GB2312" w:cs="Times New Roman"/>
                <w:color w:val="000000"/>
              </w:rPr>
            </w:pPr>
            <w:r>
              <w:rPr>
                <w:rFonts w:ascii="Times New Roman" w:hAnsi="Times New Roman" w:eastAsia="仿宋_GB2312" w:cs="Times New Roman"/>
                <w:color w:val="000000"/>
              </w:rPr>
              <w:t>3. 要求提供公开出版物</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both"/>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both"/>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both"/>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both"/>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both"/>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both"/>
              <w:rPr>
                <w:rFonts w:ascii="Times New Roman" w:hAnsi="Times New Roman" w:cs="Times New Roman"/>
              </w:rPr>
            </w:pPr>
            <w:r>
              <w:rPr>
                <w:rFonts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both"/>
              <w:rPr>
                <w:rFonts w:ascii="Times New Roman" w:hAnsi="Times New Roman" w:cs="Times New Roman"/>
              </w:rPr>
            </w:pP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both"/>
              <w:rPr>
                <w:rFonts w:ascii="Times New Roman" w:hAnsi="Times New Roman" w:cs="Times New Roman"/>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both"/>
              <w:rPr>
                <w:rFonts w:ascii="Times New Roman" w:hAnsi="Times New Roman" w:cs="Times New Roman"/>
              </w:rPr>
            </w:p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both"/>
              <w:rPr>
                <w:rFonts w:ascii="Times New Roman" w:hAnsi="Times New Roman" w:eastAsia="仿宋_GB2312" w:cs="Times New Roman"/>
                <w:color w:val="000000"/>
              </w:rPr>
            </w:pPr>
            <w:r>
              <w:rPr>
                <w:rFonts w:ascii="Times New Roman" w:hAnsi="Times New Roman" w:eastAsia="仿宋_GB2312" w:cs="Times New Roman"/>
                <w:color w:val="000000"/>
              </w:rPr>
              <w:t>4. 无正当理由大量反复申请</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both"/>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both"/>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both"/>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both"/>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both"/>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both"/>
              <w:rPr>
                <w:rFonts w:ascii="Times New Roman" w:hAnsi="Times New Roman" w:cs="Times New Roman"/>
              </w:rPr>
            </w:pPr>
            <w:r>
              <w:rPr>
                <w:rFonts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both"/>
              <w:rPr>
                <w:rFonts w:ascii="Times New Roman" w:hAnsi="Times New Roman" w:cs="Times New Roman"/>
              </w:rPr>
            </w:pP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both"/>
              <w:rPr>
                <w:rFonts w:ascii="Times New Roman" w:hAnsi="Times New Roman" w:cs="Times New Roman"/>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both"/>
              <w:rPr>
                <w:rFonts w:ascii="Times New Roman" w:hAnsi="Times New Roman" w:cs="Times New Roman"/>
              </w:rPr>
            </w:p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both"/>
              <w:rPr>
                <w:rFonts w:ascii="Times New Roman" w:hAnsi="Times New Roman" w:eastAsia="仿宋_GB2312" w:cs="Times New Roman"/>
                <w:color w:val="000000"/>
              </w:rPr>
            </w:pPr>
            <w:r>
              <w:rPr>
                <w:rFonts w:ascii="Times New Roman" w:hAnsi="Times New Roman" w:eastAsia="仿宋_GB2312" w:cs="Times New Roman"/>
                <w:color w:val="000000"/>
              </w:rPr>
              <w:t>5. 要求行政机关确认或重新出具已获取信息</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both"/>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both"/>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both"/>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both"/>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both"/>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both"/>
              <w:rPr>
                <w:rFonts w:ascii="Times New Roman" w:hAnsi="Times New Roman" w:cs="Times New Roman"/>
              </w:rPr>
            </w:pPr>
            <w:r>
              <w:rPr>
                <w:rFonts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both"/>
              <w:rPr>
                <w:rFonts w:ascii="Times New Roman" w:hAnsi="Times New Roman" w:cs="Times New Roman"/>
              </w:rPr>
            </w:pP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both"/>
              <w:rPr>
                <w:rFonts w:ascii="Times New Roman" w:hAnsi="Times New Roman" w:cs="Times New Roman"/>
              </w:rPr>
            </w:pPr>
          </w:p>
        </w:tc>
        <w:tc>
          <w:tcPr>
            <w:tcW w:w="86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both"/>
              <w:rPr>
                <w:rFonts w:ascii="Times New Roman" w:hAnsi="Times New Roman" w:eastAsia="黑体" w:cs="Times New Roman"/>
                <w:color w:val="000000"/>
              </w:rPr>
            </w:pPr>
            <w:r>
              <w:rPr>
                <w:rFonts w:ascii="Times New Roman" w:hAnsi="Times New Roman" w:eastAsia="黑体" w:cs="Times New Roman"/>
                <w:color w:val="000000"/>
              </w:rPr>
              <w:t>（ 六） 其他处理</w:t>
            </w: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both"/>
              <w:rPr>
                <w:rFonts w:ascii="Times New Roman" w:hAnsi="Times New Roman" w:eastAsia="仿宋_GB2312" w:cs="Times New Roman"/>
                <w:color w:val="000000"/>
              </w:rPr>
            </w:pPr>
            <w:r>
              <w:rPr>
                <w:rFonts w:ascii="Times New Roman" w:hAnsi="Times New Roman" w:eastAsia="仿宋_GB2312" w:cs="Times New Roman"/>
                <w:color w:val="000000"/>
              </w:rPr>
              <w:t>1. 申请人无正当理由逾期不补正、行政机关不再处理其政府信息公开申请</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both"/>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both"/>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both"/>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both"/>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both"/>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both"/>
              <w:rPr>
                <w:rFonts w:ascii="Times New Roman" w:hAnsi="Times New Roman" w:cs="Times New Roman"/>
              </w:rPr>
            </w:pPr>
            <w:r>
              <w:rPr>
                <w:rFonts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both"/>
              <w:rPr>
                <w:rFonts w:ascii="Times New Roman" w:hAnsi="Times New Roman" w:cs="Times New Roman"/>
              </w:rPr>
            </w:pP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tcPr>
          <w:p>
            <w:pPr>
              <w:jc w:val="both"/>
              <w:rPr>
                <w:rFonts w:ascii="Times New Roman" w:hAnsi="Times New Roman" w:cs="Times New Roman"/>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tcPr>
          <w:p>
            <w:pPr>
              <w:jc w:val="both"/>
              <w:rPr>
                <w:rFonts w:ascii="Times New Roman" w:hAnsi="Times New Roman" w:cs="Times New Roman"/>
              </w:rPr>
            </w:pPr>
          </w:p>
        </w:tc>
        <w:tc>
          <w:tcPr>
            <w:tcW w:w="3075" w:type="dxa"/>
            <w:tcBorders>
              <w:top w:val="single" w:color="auto" w:sz="4" w:space="0"/>
              <w:left w:val="single" w:color="auto" w:sz="4" w:space="0"/>
              <w:bottom w:val="single" w:color="auto" w:sz="4" w:space="0"/>
              <w:right w:val="single" w:color="auto" w:sz="4" w:space="0"/>
              <w:tl2br w:val="nil"/>
              <w:tr2bl w:val="nil"/>
            </w:tcBorders>
          </w:tcPr>
          <w:p>
            <w:pPr>
              <w:jc w:val="both"/>
              <w:rPr>
                <w:rFonts w:ascii="Times New Roman" w:hAnsi="Times New Roman" w:eastAsia="仿宋_GB2312" w:cs="Times New Roman"/>
                <w:color w:val="000000"/>
              </w:rPr>
            </w:pPr>
            <w:r>
              <w:rPr>
                <w:rFonts w:ascii="Times New Roman" w:hAnsi="Times New Roman" w:eastAsia="仿宋_GB2312" w:cs="Times New Roman"/>
                <w:color w:val="000000"/>
              </w:rPr>
              <w:t>2. 申请人逾期未按收费通知要求缴纳费用、行政机关不再处理其政府信息公开申请</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both"/>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both"/>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both"/>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both"/>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both"/>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both"/>
              <w:rPr>
                <w:rFonts w:ascii="Times New Roman" w:hAnsi="Times New Roman" w:cs="Times New Roman"/>
              </w:rPr>
            </w:pPr>
            <w:r>
              <w:rPr>
                <w:rFonts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both"/>
              <w:rPr>
                <w:rFonts w:ascii="Times New Roman" w:hAnsi="Times New Roman" w:cs="Times New Roman"/>
              </w:rPr>
            </w:pP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tcPr>
          <w:p>
            <w:pPr>
              <w:jc w:val="both"/>
              <w:rPr>
                <w:rFonts w:ascii="Times New Roman" w:hAnsi="Times New Roman" w:cs="Times New Roman"/>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tcPr>
          <w:p>
            <w:pPr>
              <w:jc w:val="both"/>
              <w:rPr>
                <w:rFonts w:ascii="Times New Roman" w:hAnsi="Times New Roman" w:cs="Times New Roman"/>
              </w:rPr>
            </w:p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both"/>
              <w:rPr>
                <w:rFonts w:ascii="Times New Roman" w:hAnsi="Times New Roman" w:eastAsia="仿宋_GB2312" w:cs="Times New Roman"/>
                <w:color w:val="000000"/>
              </w:rPr>
            </w:pPr>
            <w:r>
              <w:rPr>
                <w:rFonts w:ascii="Times New Roman" w:hAnsi="Times New Roman" w:eastAsia="仿宋_GB2312" w:cs="Times New Roman"/>
                <w:color w:val="000000"/>
              </w:rPr>
              <w:t>3. 其他</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both"/>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both"/>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both"/>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both"/>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both"/>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both"/>
              <w:rPr>
                <w:rFonts w:ascii="Times New Roman" w:hAnsi="Times New Roman" w:cs="Times New Roman"/>
              </w:rPr>
            </w:pPr>
            <w:r>
              <w:rPr>
                <w:rFonts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both"/>
              <w:rPr>
                <w:rFonts w:ascii="Times New Roman" w:hAnsi="Times New Roman" w:cs="Times New Roman"/>
              </w:rPr>
            </w:pP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tcPr>
          <w:p>
            <w:pPr>
              <w:jc w:val="both"/>
              <w:rPr>
                <w:rFonts w:ascii="Times New Roman" w:hAnsi="Times New Roman" w:cs="Times New Roman"/>
              </w:rPr>
            </w:pPr>
          </w:p>
        </w:tc>
        <w:tc>
          <w:tcPr>
            <w:tcW w:w="3941" w:type="dxa"/>
            <w:gridSpan w:val="2"/>
            <w:tcBorders>
              <w:top w:val="single" w:color="auto" w:sz="4" w:space="0"/>
              <w:left w:val="single" w:color="auto" w:sz="4" w:space="0"/>
              <w:bottom w:val="single" w:color="auto" w:sz="4" w:space="0"/>
              <w:right w:val="single" w:color="auto" w:sz="4" w:space="0"/>
              <w:tl2br w:val="nil"/>
              <w:tr2bl w:val="nil"/>
            </w:tcBorders>
            <w:vAlign w:val="center"/>
          </w:tcPr>
          <w:p>
            <w:pPr>
              <w:jc w:val="both"/>
              <w:rPr>
                <w:rFonts w:ascii="Times New Roman" w:hAnsi="Times New Roman" w:eastAsia="黑体" w:cs="Times New Roman"/>
                <w:color w:val="000000"/>
              </w:rPr>
            </w:pPr>
            <w:r>
              <w:rPr>
                <w:rFonts w:ascii="Times New Roman" w:hAnsi="Times New Roman" w:eastAsia="黑体" w:cs="Times New Roman"/>
                <w:color w:val="000000"/>
              </w:rPr>
              <w:t>（ 七） 总计</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both"/>
              <w:rPr>
                <w:rFonts w:ascii="Times New Roman" w:hAnsi="Times New Roman" w:cs="Times New Roman"/>
              </w:rPr>
            </w:pPr>
            <w:r>
              <w:rPr>
                <w:rFonts w:hint="eastAsia"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both"/>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both"/>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both"/>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both"/>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both"/>
              <w:rPr>
                <w:rFonts w:ascii="Times New Roman" w:hAnsi="Times New Roman" w:cs="Times New Roman"/>
              </w:rPr>
            </w:pPr>
            <w:r>
              <w:rPr>
                <w:rFonts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both"/>
              <w:rPr>
                <w:rFonts w:ascii="Times New Roman" w:hAnsi="Times New Roman" w:cs="Times New Roman"/>
              </w:rPr>
            </w:pPr>
            <w:r>
              <w:rPr>
                <w:rFonts w:hint="eastAsia"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4577" w:type="dxa"/>
            <w:gridSpan w:val="3"/>
            <w:tcBorders>
              <w:top w:val="single" w:color="auto" w:sz="4" w:space="0"/>
              <w:left w:val="single" w:color="auto" w:sz="4" w:space="0"/>
              <w:bottom w:val="single" w:color="auto" w:sz="4" w:space="0"/>
              <w:right w:val="single" w:color="auto" w:sz="4" w:space="0"/>
              <w:tl2br w:val="nil"/>
              <w:tr2bl w:val="nil"/>
            </w:tcBorders>
            <w:vAlign w:val="center"/>
          </w:tcPr>
          <w:p>
            <w:pPr>
              <w:jc w:val="both"/>
              <w:rPr>
                <w:rFonts w:ascii="Times New Roman" w:hAnsi="Times New Roman" w:eastAsia="黑体" w:cs="Times New Roman"/>
                <w:color w:val="000000"/>
              </w:rPr>
            </w:pPr>
            <w:r>
              <w:rPr>
                <w:rFonts w:ascii="Times New Roman" w:hAnsi="Times New Roman" w:eastAsia="黑体" w:cs="Times New Roman"/>
                <w:color w:val="000000"/>
              </w:rPr>
              <w:t>四、结转下年度继续办理</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both"/>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both"/>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both"/>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both"/>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both"/>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both"/>
              <w:rPr>
                <w:rFonts w:ascii="Times New Roman" w:hAnsi="Times New Roman" w:cs="Times New Roman"/>
              </w:rPr>
            </w:pPr>
            <w:r>
              <w:rPr>
                <w:rFonts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both"/>
              <w:rPr>
                <w:rFonts w:ascii="Times New Roman" w:hAnsi="Times New Roman" w:cs="Times New Roman"/>
              </w:rPr>
            </w:pPr>
            <w:r>
              <w:rPr>
                <w:rFonts w:ascii="Times New Roman" w:hAnsi="Times New Roman" w:cs="Times New Roman"/>
              </w:rPr>
              <w:t>0</w:t>
            </w:r>
          </w:p>
        </w:tc>
      </w:tr>
    </w:tbl>
    <w:p>
      <w:pPr>
        <w:pStyle w:val="4"/>
        <w:snapToGrid w:val="0"/>
        <w:spacing w:line="600" w:lineRule="exact"/>
        <w:ind w:left="440" w:leftChars="200"/>
        <w:jc w:val="both"/>
        <w:rPr>
          <w:rFonts w:ascii="Times New Roman" w:hAnsi="Times New Roman" w:eastAsia="黑体" w:cs="Times New Roman"/>
          <w:color w:val="000000" w:themeColor="text1"/>
          <w14:textFill>
            <w14:solidFill>
              <w14:schemeClr w14:val="tx1"/>
            </w14:solidFill>
          </w14:textFill>
        </w:rPr>
      </w:pPr>
    </w:p>
    <w:p>
      <w:pPr>
        <w:pStyle w:val="4"/>
        <w:snapToGrid w:val="0"/>
        <w:spacing w:line="600" w:lineRule="exact"/>
        <w:ind w:left="0" w:firstLine="640" w:firstLineChars="200"/>
        <w:jc w:val="both"/>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四、政府信息公开行政复议、行政诉讼情况</w:t>
      </w:r>
    </w:p>
    <w:tbl>
      <w:tblPr>
        <w:tblStyle w:val="7"/>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1"/>
        <w:gridCol w:w="601"/>
        <w:gridCol w:w="602"/>
        <w:gridCol w:w="602"/>
        <w:gridCol w:w="609"/>
        <w:gridCol w:w="602"/>
        <w:gridCol w:w="602"/>
        <w:gridCol w:w="602"/>
        <w:gridCol w:w="602"/>
        <w:gridCol w:w="609"/>
        <w:gridCol w:w="602"/>
        <w:gridCol w:w="602"/>
        <w:gridCol w:w="602"/>
        <w:gridCol w:w="602"/>
        <w:gridCol w:w="6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664" w:type="pct"/>
            <w:gridSpan w:val="5"/>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line="600" w:lineRule="exact"/>
              <w:jc w:val="both"/>
              <w:rPr>
                <w:rFonts w:ascii="Times New Roman" w:hAnsi="Times New Roman" w:cs="Times New Roman"/>
                <w:color w:val="000000" w:themeColor="text1"/>
                <w:sz w:val="21"/>
                <w:szCs w:val="24"/>
                <w14:textFill>
                  <w14:solidFill>
                    <w14:schemeClr w14:val="tx1"/>
                  </w14:solidFill>
                </w14:textFill>
              </w:rPr>
            </w:pPr>
            <w:r>
              <w:rPr>
                <w:rFonts w:ascii="Times New Roman" w:hAnsi="Times New Roman" w:eastAsia="黑体" w:cs="Times New Roman"/>
                <w:color w:val="000000" w:themeColor="text1"/>
                <w:sz w:val="21"/>
                <w:szCs w:val="24"/>
                <w14:textFill>
                  <w14:solidFill>
                    <w14:schemeClr w14:val="tx1"/>
                  </w14:solidFill>
                </w14:textFill>
              </w:rPr>
              <w:t>行政复议</w:t>
            </w:r>
          </w:p>
        </w:tc>
        <w:tc>
          <w:tcPr>
            <w:tcW w:w="3335" w:type="pct"/>
            <w:gridSpan w:val="10"/>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line="600" w:lineRule="exact"/>
              <w:jc w:val="both"/>
              <w:rPr>
                <w:rFonts w:ascii="Times New Roman" w:hAnsi="Times New Roman" w:cs="Times New Roman"/>
                <w:color w:val="000000" w:themeColor="text1"/>
                <w:sz w:val="21"/>
                <w:szCs w:val="24"/>
                <w14:textFill>
                  <w14:solidFill>
                    <w14:schemeClr w14:val="tx1"/>
                  </w14:solidFill>
                </w14:textFill>
              </w:rPr>
            </w:pPr>
            <w:r>
              <w:rPr>
                <w:rFonts w:ascii="Times New Roman" w:hAnsi="Times New Roman" w:eastAsia="黑体" w:cs="Times New Roman"/>
                <w:color w:val="000000" w:themeColor="text1"/>
                <w:sz w:val="21"/>
                <w:szCs w:val="24"/>
                <w14:textFill>
                  <w14:solidFill>
                    <w14:schemeClr w14:val="tx1"/>
                  </w14:solidFill>
                </w14:textFill>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332" w:type="pct"/>
            <w:vMerge w:val="restart"/>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line="600" w:lineRule="exact"/>
              <w:jc w:val="both"/>
              <w:rPr>
                <w:rFonts w:ascii="Times New Roman" w:hAnsi="Times New Roman" w:eastAsia="黑体" w:cs="Times New Roman"/>
                <w:color w:val="000000" w:themeColor="text1"/>
                <w:sz w:val="21"/>
                <w:szCs w:val="24"/>
                <w14:textFill>
                  <w14:solidFill>
                    <w14:schemeClr w14:val="tx1"/>
                  </w14:solidFill>
                </w14:textFill>
              </w:rPr>
            </w:pPr>
            <w:r>
              <w:rPr>
                <w:rFonts w:ascii="Times New Roman" w:hAnsi="Times New Roman" w:eastAsia="黑体" w:cs="Times New Roman"/>
                <w:color w:val="000000" w:themeColor="text1"/>
                <w:sz w:val="21"/>
                <w:szCs w:val="24"/>
                <w14:textFill>
                  <w14:solidFill>
                    <w14:schemeClr w14:val="tx1"/>
                  </w14:solidFill>
                </w14:textFill>
              </w:rPr>
              <w:t>结果维持</w:t>
            </w:r>
          </w:p>
        </w:tc>
        <w:tc>
          <w:tcPr>
            <w:tcW w:w="332" w:type="pct"/>
            <w:vMerge w:val="restart"/>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line="600" w:lineRule="exact"/>
              <w:jc w:val="both"/>
              <w:rPr>
                <w:rFonts w:ascii="Times New Roman" w:hAnsi="Times New Roman" w:eastAsia="黑体" w:cs="Times New Roman"/>
                <w:color w:val="000000" w:themeColor="text1"/>
                <w:sz w:val="21"/>
                <w:szCs w:val="24"/>
                <w14:textFill>
                  <w14:solidFill>
                    <w14:schemeClr w14:val="tx1"/>
                  </w14:solidFill>
                </w14:textFill>
              </w:rPr>
            </w:pPr>
            <w:r>
              <w:rPr>
                <w:rFonts w:ascii="Times New Roman" w:hAnsi="Times New Roman" w:eastAsia="黑体" w:cs="Times New Roman"/>
                <w:color w:val="000000" w:themeColor="text1"/>
                <w:sz w:val="21"/>
                <w:szCs w:val="24"/>
                <w14:textFill>
                  <w14:solidFill>
                    <w14:schemeClr w14:val="tx1"/>
                  </w14:solidFill>
                </w14:textFill>
              </w:rPr>
              <w:t>结果纠正</w:t>
            </w:r>
          </w:p>
        </w:tc>
        <w:tc>
          <w:tcPr>
            <w:tcW w:w="332" w:type="pct"/>
            <w:vMerge w:val="restart"/>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line="600" w:lineRule="exact"/>
              <w:jc w:val="both"/>
              <w:rPr>
                <w:rFonts w:ascii="Times New Roman" w:hAnsi="Times New Roman" w:eastAsia="黑体" w:cs="Times New Roman"/>
                <w:color w:val="000000" w:themeColor="text1"/>
                <w:sz w:val="21"/>
                <w:szCs w:val="24"/>
                <w14:textFill>
                  <w14:solidFill>
                    <w14:schemeClr w14:val="tx1"/>
                  </w14:solidFill>
                </w14:textFill>
              </w:rPr>
            </w:pPr>
            <w:r>
              <w:rPr>
                <w:rFonts w:ascii="Times New Roman" w:hAnsi="Times New Roman" w:eastAsia="黑体" w:cs="Times New Roman"/>
                <w:color w:val="000000" w:themeColor="text1"/>
                <w:sz w:val="21"/>
                <w:szCs w:val="24"/>
                <w14:textFill>
                  <w14:solidFill>
                    <w14:schemeClr w14:val="tx1"/>
                  </w14:solidFill>
                </w14:textFill>
              </w:rPr>
              <w:t>其他结果</w:t>
            </w:r>
          </w:p>
        </w:tc>
        <w:tc>
          <w:tcPr>
            <w:tcW w:w="332" w:type="pct"/>
            <w:vMerge w:val="restart"/>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line="600" w:lineRule="exact"/>
              <w:jc w:val="both"/>
              <w:rPr>
                <w:rFonts w:ascii="Times New Roman" w:hAnsi="Times New Roman" w:eastAsia="黑体" w:cs="Times New Roman"/>
                <w:color w:val="000000" w:themeColor="text1"/>
                <w:sz w:val="21"/>
                <w:szCs w:val="24"/>
                <w14:textFill>
                  <w14:solidFill>
                    <w14:schemeClr w14:val="tx1"/>
                  </w14:solidFill>
                </w14:textFill>
              </w:rPr>
            </w:pPr>
            <w:r>
              <w:rPr>
                <w:rFonts w:ascii="Times New Roman" w:hAnsi="Times New Roman" w:eastAsia="黑体" w:cs="Times New Roman"/>
                <w:color w:val="000000" w:themeColor="text1"/>
                <w:sz w:val="21"/>
                <w:szCs w:val="24"/>
                <w14:textFill>
                  <w14:solidFill>
                    <w14:schemeClr w14:val="tx1"/>
                  </w14:solidFill>
                </w14:textFill>
              </w:rPr>
              <w:t>尚未审结</w:t>
            </w:r>
          </w:p>
        </w:tc>
        <w:tc>
          <w:tcPr>
            <w:tcW w:w="334" w:type="pct"/>
            <w:vMerge w:val="restart"/>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line="600" w:lineRule="exact"/>
              <w:jc w:val="both"/>
              <w:rPr>
                <w:rFonts w:ascii="Times New Roman" w:hAnsi="Times New Roman" w:eastAsia="黑体" w:cs="Times New Roman"/>
                <w:color w:val="000000" w:themeColor="text1"/>
                <w:sz w:val="21"/>
                <w:szCs w:val="24"/>
                <w14:textFill>
                  <w14:solidFill>
                    <w14:schemeClr w14:val="tx1"/>
                  </w14:solidFill>
                </w14:textFill>
              </w:rPr>
            </w:pPr>
            <w:r>
              <w:rPr>
                <w:rFonts w:ascii="Times New Roman" w:hAnsi="Times New Roman" w:eastAsia="黑体" w:cs="Times New Roman"/>
                <w:color w:val="000000" w:themeColor="text1"/>
                <w:sz w:val="21"/>
                <w:szCs w:val="24"/>
                <w14:textFill>
                  <w14:solidFill>
                    <w14:schemeClr w14:val="tx1"/>
                  </w14:solidFill>
                </w14:textFill>
              </w:rPr>
              <w:t>总计</w:t>
            </w:r>
          </w:p>
        </w:tc>
        <w:tc>
          <w:tcPr>
            <w:tcW w:w="1664" w:type="pct"/>
            <w:gridSpan w:val="5"/>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line="600" w:lineRule="exact"/>
              <w:jc w:val="both"/>
              <w:rPr>
                <w:rFonts w:ascii="Times New Roman" w:hAnsi="Times New Roman" w:cs="Times New Roman"/>
                <w:color w:val="000000" w:themeColor="text1"/>
                <w:sz w:val="21"/>
                <w:szCs w:val="24"/>
                <w14:textFill>
                  <w14:solidFill>
                    <w14:schemeClr w14:val="tx1"/>
                  </w14:solidFill>
                </w14:textFill>
              </w:rPr>
            </w:pPr>
            <w:r>
              <w:rPr>
                <w:rFonts w:ascii="Times New Roman" w:hAnsi="Times New Roman" w:eastAsia="黑体" w:cs="Times New Roman"/>
                <w:color w:val="000000" w:themeColor="text1"/>
                <w:sz w:val="21"/>
                <w:szCs w:val="24"/>
                <w14:textFill>
                  <w14:solidFill>
                    <w14:schemeClr w14:val="tx1"/>
                  </w14:solidFill>
                </w14:textFill>
              </w:rPr>
              <w:t>未经复议直接起诉</w:t>
            </w:r>
          </w:p>
        </w:tc>
        <w:tc>
          <w:tcPr>
            <w:tcW w:w="1671" w:type="pct"/>
            <w:gridSpan w:val="5"/>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line="600" w:lineRule="exact"/>
              <w:jc w:val="both"/>
              <w:rPr>
                <w:rFonts w:ascii="Times New Roman" w:hAnsi="Times New Roman" w:cs="Times New Roman"/>
                <w:color w:val="000000" w:themeColor="text1"/>
                <w:sz w:val="21"/>
                <w:szCs w:val="24"/>
                <w14:textFill>
                  <w14:solidFill>
                    <w14:schemeClr w14:val="tx1"/>
                  </w14:solidFill>
                </w14:textFill>
              </w:rPr>
            </w:pPr>
            <w:r>
              <w:rPr>
                <w:rFonts w:ascii="Times New Roman" w:hAnsi="Times New Roman" w:eastAsia="黑体" w:cs="Times New Roman"/>
                <w:color w:val="000000" w:themeColor="text1"/>
                <w:sz w:val="21"/>
                <w:szCs w:val="24"/>
                <w14:textFill>
                  <w14:solidFill>
                    <w14:schemeClr w14:val="tx1"/>
                  </w14:solidFill>
                </w14:textFill>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332" w:type="pct"/>
            <w:vMerge w:val="continue"/>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line="600" w:lineRule="exact"/>
              <w:jc w:val="both"/>
              <w:rPr>
                <w:rFonts w:ascii="Times New Roman" w:hAnsi="Times New Roman" w:cs="Times New Roman"/>
                <w:color w:val="000000" w:themeColor="text1"/>
                <w:sz w:val="21"/>
                <w:szCs w:val="24"/>
                <w14:textFill>
                  <w14:solidFill>
                    <w14:schemeClr w14:val="tx1"/>
                  </w14:solidFill>
                </w14:textFill>
              </w:rPr>
            </w:pPr>
          </w:p>
        </w:tc>
        <w:tc>
          <w:tcPr>
            <w:tcW w:w="332" w:type="pct"/>
            <w:vMerge w:val="continue"/>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line="600" w:lineRule="exact"/>
              <w:jc w:val="both"/>
              <w:rPr>
                <w:rFonts w:ascii="Times New Roman" w:hAnsi="Times New Roman" w:cs="Times New Roman"/>
                <w:color w:val="000000" w:themeColor="text1"/>
                <w:sz w:val="21"/>
                <w:szCs w:val="24"/>
                <w14:textFill>
                  <w14:solidFill>
                    <w14:schemeClr w14:val="tx1"/>
                  </w14:solidFill>
                </w14:textFill>
              </w:rPr>
            </w:pPr>
          </w:p>
        </w:tc>
        <w:tc>
          <w:tcPr>
            <w:tcW w:w="332" w:type="pct"/>
            <w:vMerge w:val="continue"/>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line="600" w:lineRule="exact"/>
              <w:jc w:val="both"/>
              <w:rPr>
                <w:rFonts w:ascii="Times New Roman" w:hAnsi="Times New Roman" w:cs="Times New Roman"/>
                <w:color w:val="000000" w:themeColor="text1"/>
                <w:sz w:val="21"/>
                <w:szCs w:val="24"/>
                <w14:textFill>
                  <w14:solidFill>
                    <w14:schemeClr w14:val="tx1"/>
                  </w14:solidFill>
                </w14:textFill>
              </w:rPr>
            </w:pPr>
          </w:p>
        </w:tc>
        <w:tc>
          <w:tcPr>
            <w:tcW w:w="332" w:type="pct"/>
            <w:vMerge w:val="continue"/>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line="600" w:lineRule="exact"/>
              <w:jc w:val="both"/>
              <w:rPr>
                <w:rFonts w:ascii="Times New Roman" w:hAnsi="Times New Roman" w:cs="Times New Roman"/>
                <w:color w:val="000000" w:themeColor="text1"/>
                <w:sz w:val="21"/>
                <w:szCs w:val="24"/>
                <w14:textFill>
                  <w14:solidFill>
                    <w14:schemeClr w14:val="tx1"/>
                  </w14:solidFill>
                </w14:textFill>
              </w:rPr>
            </w:pPr>
          </w:p>
        </w:tc>
        <w:tc>
          <w:tcPr>
            <w:tcW w:w="334" w:type="pct"/>
            <w:vMerge w:val="continue"/>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line="600" w:lineRule="exact"/>
              <w:jc w:val="both"/>
              <w:rPr>
                <w:rFonts w:ascii="Times New Roman" w:hAnsi="Times New Roman" w:cs="Times New Roman"/>
                <w:color w:val="000000" w:themeColor="text1"/>
                <w:sz w:val="21"/>
                <w:szCs w:val="24"/>
                <w14:textFill>
                  <w14:solidFill>
                    <w14:schemeClr w14:val="tx1"/>
                  </w14:solidFill>
                </w14:textFill>
              </w:rPr>
            </w:pPr>
          </w:p>
        </w:tc>
        <w:tc>
          <w:tcPr>
            <w:tcW w:w="332" w:type="pct"/>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line="600" w:lineRule="exact"/>
              <w:jc w:val="both"/>
              <w:rPr>
                <w:rFonts w:ascii="Times New Roman" w:hAnsi="Times New Roman" w:eastAsia="黑体" w:cs="Times New Roman"/>
                <w:color w:val="000000" w:themeColor="text1"/>
                <w:sz w:val="21"/>
                <w:szCs w:val="24"/>
                <w14:textFill>
                  <w14:solidFill>
                    <w14:schemeClr w14:val="tx1"/>
                  </w14:solidFill>
                </w14:textFill>
              </w:rPr>
            </w:pPr>
            <w:r>
              <w:rPr>
                <w:rFonts w:ascii="Times New Roman" w:hAnsi="Times New Roman" w:eastAsia="黑体" w:cs="Times New Roman"/>
                <w:color w:val="000000" w:themeColor="text1"/>
                <w:sz w:val="21"/>
                <w:szCs w:val="24"/>
                <w14:textFill>
                  <w14:solidFill>
                    <w14:schemeClr w14:val="tx1"/>
                  </w14:solidFill>
                </w14:textFill>
              </w:rPr>
              <w:t>结果维持</w:t>
            </w:r>
          </w:p>
        </w:tc>
        <w:tc>
          <w:tcPr>
            <w:tcW w:w="332" w:type="pct"/>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line="600" w:lineRule="exact"/>
              <w:jc w:val="both"/>
              <w:rPr>
                <w:rFonts w:ascii="Times New Roman" w:hAnsi="Times New Roman" w:eastAsia="黑体" w:cs="Times New Roman"/>
                <w:color w:val="000000" w:themeColor="text1"/>
                <w:sz w:val="21"/>
                <w:szCs w:val="24"/>
                <w14:textFill>
                  <w14:solidFill>
                    <w14:schemeClr w14:val="tx1"/>
                  </w14:solidFill>
                </w14:textFill>
              </w:rPr>
            </w:pPr>
            <w:r>
              <w:rPr>
                <w:rFonts w:ascii="Times New Roman" w:hAnsi="Times New Roman" w:eastAsia="黑体" w:cs="Times New Roman"/>
                <w:color w:val="000000" w:themeColor="text1"/>
                <w:sz w:val="21"/>
                <w:szCs w:val="24"/>
                <w14:textFill>
                  <w14:solidFill>
                    <w14:schemeClr w14:val="tx1"/>
                  </w14:solidFill>
                </w14:textFill>
              </w:rPr>
              <w:t>结果纠正</w:t>
            </w:r>
          </w:p>
        </w:tc>
        <w:tc>
          <w:tcPr>
            <w:tcW w:w="332" w:type="pct"/>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line="600" w:lineRule="exact"/>
              <w:jc w:val="both"/>
              <w:rPr>
                <w:rFonts w:ascii="Times New Roman" w:hAnsi="Times New Roman" w:eastAsia="黑体" w:cs="Times New Roman"/>
                <w:color w:val="000000" w:themeColor="text1"/>
                <w:sz w:val="21"/>
                <w:szCs w:val="24"/>
                <w14:textFill>
                  <w14:solidFill>
                    <w14:schemeClr w14:val="tx1"/>
                  </w14:solidFill>
                </w14:textFill>
              </w:rPr>
            </w:pPr>
            <w:r>
              <w:rPr>
                <w:rFonts w:ascii="Times New Roman" w:hAnsi="Times New Roman" w:eastAsia="黑体" w:cs="Times New Roman"/>
                <w:color w:val="000000" w:themeColor="text1"/>
                <w:sz w:val="21"/>
                <w:szCs w:val="24"/>
                <w14:textFill>
                  <w14:solidFill>
                    <w14:schemeClr w14:val="tx1"/>
                  </w14:solidFill>
                </w14:textFill>
              </w:rPr>
              <w:t>其他结果</w:t>
            </w:r>
          </w:p>
        </w:tc>
        <w:tc>
          <w:tcPr>
            <w:tcW w:w="332" w:type="pct"/>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line="600" w:lineRule="exact"/>
              <w:jc w:val="both"/>
              <w:rPr>
                <w:rFonts w:ascii="Times New Roman" w:hAnsi="Times New Roman" w:eastAsia="黑体" w:cs="Times New Roman"/>
                <w:color w:val="000000" w:themeColor="text1"/>
                <w:sz w:val="21"/>
                <w:szCs w:val="24"/>
                <w14:textFill>
                  <w14:solidFill>
                    <w14:schemeClr w14:val="tx1"/>
                  </w14:solidFill>
                </w14:textFill>
              </w:rPr>
            </w:pPr>
            <w:r>
              <w:rPr>
                <w:rFonts w:ascii="Times New Roman" w:hAnsi="Times New Roman" w:eastAsia="黑体" w:cs="Times New Roman"/>
                <w:color w:val="000000" w:themeColor="text1"/>
                <w:sz w:val="21"/>
                <w:szCs w:val="24"/>
                <w14:textFill>
                  <w14:solidFill>
                    <w14:schemeClr w14:val="tx1"/>
                  </w14:solidFill>
                </w14:textFill>
              </w:rPr>
              <w:t>尚未审结</w:t>
            </w:r>
          </w:p>
        </w:tc>
        <w:tc>
          <w:tcPr>
            <w:tcW w:w="334" w:type="pct"/>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line="600" w:lineRule="exact"/>
              <w:jc w:val="both"/>
              <w:rPr>
                <w:rFonts w:ascii="Times New Roman" w:hAnsi="Times New Roman" w:eastAsia="黑体" w:cs="Times New Roman"/>
                <w:color w:val="000000" w:themeColor="text1"/>
                <w:sz w:val="21"/>
                <w:szCs w:val="24"/>
                <w14:textFill>
                  <w14:solidFill>
                    <w14:schemeClr w14:val="tx1"/>
                  </w14:solidFill>
                </w14:textFill>
              </w:rPr>
            </w:pPr>
            <w:r>
              <w:rPr>
                <w:rFonts w:ascii="Times New Roman" w:hAnsi="Times New Roman" w:eastAsia="黑体" w:cs="Times New Roman"/>
                <w:color w:val="000000" w:themeColor="text1"/>
                <w:sz w:val="21"/>
                <w:szCs w:val="24"/>
                <w14:textFill>
                  <w14:solidFill>
                    <w14:schemeClr w14:val="tx1"/>
                  </w14:solidFill>
                </w14:textFill>
              </w:rPr>
              <w:t>总计</w:t>
            </w:r>
          </w:p>
        </w:tc>
        <w:tc>
          <w:tcPr>
            <w:tcW w:w="332" w:type="pct"/>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line="600" w:lineRule="exact"/>
              <w:jc w:val="both"/>
              <w:rPr>
                <w:rFonts w:ascii="Times New Roman" w:hAnsi="Times New Roman" w:eastAsia="黑体" w:cs="Times New Roman"/>
                <w:color w:val="000000" w:themeColor="text1"/>
                <w:sz w:val="21"/>
                <w:szCs w:val="24"/>
                <w14:textFill>
                  <w14:solidFill>
                    <w14:schemeClr w14:val="tx1"/>
                  </w14:solidFill>
                </w14:textFill>
              </w:rPr>
            </w:pPr>
            <w:r>
              <w:rPr>
                <w:rFonts w:ascii="Times New Roman" w:hAnsi="Times New Roman" w:eastAsia="黑体" w:cs="Times New Roman"/>
                <w:color w:val="000000" w:themeColor="text1"/>
                <w:sz w:val="21"/>
                <w:szCs w:val="24"/>
                <w14:textFill>
                  <w14:solidFill>
                    <w14:schemeClr w14:val="tx1"/>
                  </w14:solidFill>
                </w14:textFill>
              </w:rPr>
              <w:t>结果维持</w:t>
            </w:r>
          </w:p>
        </w:tc>
        <w:tc>
          <w:tcPr>
            <w:tcW w:w="332" w:type="pct"/>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line="600" w:lineRule="exact"/>
              <w:jc w:val="both"/>
              <w:rPr>
                <w:rFonts w:ascii="Times New Roman" w:hAnsi="Times New Roman" w:eastAsia="黑体" w:cs="Times New Roman"/>
                <w:color w:val="000000" w:themeColor="text1"/>
                <w:sz w:val="21"/>
                <w:szCs w:val="24"/>
                <w14:textFill>
                  <w14:solidFill>
                    <w14:schemeClr w14:val="tx1"/>
                  </w14:solidFill>
                </w14:textFill>
              </w:rPr>
            </w:pPr>
            <w:r>
              <w:rPr>
                <w:rFonts w:ascii="Times New Roman" w:hAnsi="Times New Roman" w:eastAsia="黑体" w:cs="Times New Roman"/>
                <w:color w:val="000000" w:themeColor="text1"/>
                <w:sz w:val="21"/>
                <w:szCs w:val="24"/>
                <w14:textFill>
                  <w14:solidFill>
                    <w14:schemeClr w14:val="tx1"/>
                  </w14:solidFill>
                </w14:textFill>
              </w:rPr>
              <w:t>结果纠正</w:t>
            </w:r>
          </w:p>
        </w:tc>
        <w:tc>
          <w:tcPr>
            <w:tcW w:w="332" w:type="pct"/>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line="600" w:lineRule="exact"/>
              <w:jc w:val="both"/>
              <w:rPr>
                <w:rFonts w:ascii="Times New Roman" w:hAnsi="Times New Roman" w:eastAsia="黑体" w:cs="Times New Roman"/>
                <w:color w:val="000000" w:themeColor="text1"/>
                <w:sz w:val="21"/>
                <w:szCs w:val="24"/>
                <w14:textFill>
                  <w14:solidFill>
                    <w14:schemeClr w14:val="tx1"/>
                  </w14:solidFill>
                </w14:textFill>
              </w:rPr>
            </w:pPr>
            <w:r>
              <w:rPr>
                <w:rFonts w:ascii="Times New Roman" w:hAnsi="Times New Roman" w:eastAsia="黑体" w:cs="Times New Roman"/>
                <w:color w:val="000000" w:themeColor="text1"/>
                <w:sz w:val="21"/>
                <w:szCs w:val="24"/>
                <w14:textFill>
                  <w14:solidFill>
                    <w14:schemeClr w14:val="tx1"/>
                  </w14:solidFill>
                </w14:textFill>
              </w:rPr>
              <w:t>其他结果</w:t>
            </w:r>
          </w:p>
        </w:tc>
        <w:tc>
          <w:tcPr>
            <w:tcW w:w="332" w:type="pct"/>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line="600" w:lineRule="exact"/>
              <w:jc w:val="both"/>
              <w:rPr>
                <w:rFonts w:ascii="Times New Roman" w:hAnsi="Times New Roman" w:eastAsia="黑体" w:cs="Times New Roman"/>
                <w:color w:val="000000" w:themeColor="text1"/>
                <w:sz w:val="21"/>
                <w:szCs w:val="24"/>
                <w14:textFill>
                  <w14:solidFill>
                    <w14:schemeClr w14:val="tx1"/>
                  </w14:solidFill>
                </w14:textFill>
              </w:rPr>
            </w:pPr>
            <w:r>
              <w:rPr>
                <w:rFonts w:ascii="Times New Roman" w:hAnsi="Times New Roman" w:eastAsia="黑体" w:cs="Times New Roman"/>
                <w:color w:val="000000" w:themeColor="text1"/>
                <w:sz w:val="21"/>
                <w:szCs w:val="24"/>
                <w14:textFill>
                  <w14:solidFill>
                    <w14:schemeClr w14:val="tx1"/>
                  </w14:solidFill>
                </w14:textFill>
              </w:rPr>
              <w:t>尚未审结</w:t>
            </w:r>
          </w:p>
        </w:tc>
        <w:tc>
          <w:tcPr>
            <w:tcW w:w="342" w:type="pct"/>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line="600" w:lineRule="exact"/>
              <w:jc w:val="both"/>
              <w:rPr>
                <w:rFonts w:ascii="Times New Roman" w:hAnsi="Times New Roman" w:eastAsia="黑体" w:cs="Times New Roman"/>
                <w:color w:val="000000" w:themeColor="text1"/>
                <w:sz w:val="21"/>
                <w:szCs w:val="24"/>
                <w14:textFill>
                  <w14:solidFill>
                    <w14:schemeClr w14:val="tx1"/>
                  </w14:solidFill>
                </w14:textFill>
              </w:rPr>
            </w:pPr>
            <w:r>
              <w:rPr>
                <w:rFonts w:ascii="Times New Roman" w:hAnsi="Times New Roman" w:eastAsia="黑体" w:cs="Times New Roman"/>
                <w:color w:val="000000" w:themeColor="text1"/>
                <w:sz w:val="21"/>
                <w:szCs w:val="24"/>
                <w14:textFill>
                  <w14:solidFill>
                    <w14:schemeClr w14:val="tx1"/>
                  </w14:solidFill>
                </w14:textFill>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332" w:type="pct"/>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line="600" w:lineRule="exact"/>
              <w:jc w:val="both"/>
              <w:rPr>
                <w:rFonts w:ascii="Times New Roman" w:hAnsi="Times New Roman" w:cs="Times New Roman"/>
                <w:color w:val="000000" w:themeColor="text1"/>
                <w:sz w:val="21"/>
                <w:szCs w:val="24"/>
                <w14:textFill>
                  <w14:solidFill>
                    <w14:schemeClr w14:val="tx1"/>
                  </w14:solidFill>
                </w14:textFill>
              </w:rPr>
            </w:pPr>
            <w:r>
              <w:rPr>
                <w:rFonts w:ascii="Times New Roman" w:hAnsi="Times New Roman" w:cs="Times New Roman"/>
                <w:color w:val="000000" w:themeColor="text1"/>
                <w:sz w:val="21"/>
                <w:szCs w:val="24"/>
                <w14:textFill>
                  <w14:solidFill>
                    <w14:schemeClr w14:val="tx1"/>
                  </w14:solidFill>
                </w14:textFill>
              </w:rPr>
              <w:t>0</w:t>
            </w:r>
          </w:p>
        </w:tc>
        <w:tc>
          <w:tcPr>
            <w:tcW w:w="332" w:type="pct"/>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line="600" w:lineRule="exact"/>
              <w:jc w:val="both"/>
              <w:rPr>
                <w:rFonts w:ascii="Times New Roman" w:hAnsi="Times New Roman" w:cs="Times New Roman"/>
                <w:color w:val="000000" w:themeColor="text1"/>
                <w:sz w:val="21"/>
                <w:szCs w:val="24"/>
                <w14:textFill>
                  <w14:solidFill>
                    <w14:schemeClr w14:val="tx1"/>
                  </w14:solidFill>
                </w14:textFill>
              </w:rPr>
            </w:pPr>
            <w:r>
              <w:rPr>
                <w:rFonts w:ascii="Times New Roman" w:hAnsi="Times New Roman" w:cs="Times New Roman"/>
                <w:color w:val="000000" w:themeColor="text1"/>
                <w:sz w:val="21"/>
                <w:szCs w:val="24"/>
                <w14:textFill>
                  <w14:solidFill>
                    <w14:schemeClr w14:val="tx1"/>
                  </w14:solidFill>
                </w14:textFill>
              </w:rPr>
              <w:t>0</w:t>
            </w:r>
          </w:p>
        </w:tc>
        <w:tc>
          <w:tcPr>
            <w:tcW w:w="332" w:type="pct"/>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line="600" w:lineRule="exact"/>
              <w:jc w:val="both"/>
              <w:rPr>
                <w:rFonts w:ascii="Times New Roman" w:hAnsi="Times New Roman" w:cs="Times New Roman"/>
                <w:color w:val="000000" w:themeColor="text1"/>
                <w:sz w:val="21"/>
                <w:szCs w:val="24"/>
                <w14:textFill>
                  <w14:solidFill>
                    <w14:schemeClr w14:val="tx1"/>
                  </w14:solidFill>
                </w14:textFill>
              </w:rPr>
            </w:pPr>
            <w:r>
              <w:rPr>
                <w:rFonts w:ascii="Times New Roman" w:hAnsi="Times New Roman" w:cs="Times New Roman"/>
                <w:color w:val="000000" w:themeColor="text1"/>
                <w:sz w:val="21"/>
                <w:szCs w:val="24"/>
                <w14:textFill>
                  <w14:solidFill>
                    <w14:schemeClr w14:val="tx1"/>
                  </w14:solidFill>
                </w14:textFill>
              </w:rPr>
              <w:t>0</w:t>
            </w:r>
          </w:p>
        </w:tc>
        <w:tc>
          <w:tcPr>
            <w:tcW w:w="332" w:type="pct"/>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line="600" w:lineRule="exact"/>
              <w:jc w:val="both"/>
              <w:rPr>
                <w:rFonts w:ascii="Times New Roman" w:hAnsi="Times New Roman" w:cs="Times New Roman"/>
                <w:color w:val="000000" w:themeColor="text1"/>
                <w:sz w:val="21"/>
                <w:szCs w:val="24"/>
                <w14:textFill>
                  <w14:solidFill>
                    <w14:schemeClr w14:val="tx1"/>
                  </w14:solidFill>
                </w14:textFill>
              </w:rPr>
            </w:pPr>
            <w:r>
              <w:rPr>
                <w:rFonts w:ascii="Times New Roman" w:hAnsi="Times New Roman" w:cs="Times New Roman"/>
                <w:color w:val="000000" w:themeColor="text1"/>
                <w:sz w:val="21"/>
                <w:szCs w:val="24"/>
                <w14:textFill>
                  <w14:solidFill>
                    <w14:schemeClr w14:val="tx1"/>
                  </w14:solidFill>
                </w14:textFill>
              </w:rPr>
              <w:t>0</w:t>
            </w:r>
          </w:p>
        </w:tc>
        <w:tc>
          <w:tcPr>
            <w:tcW w:w="334" w:type="pct"/>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line="600" w:lineRule="exact"/>
              <w:jc w:val="both"/>
              <w:rPr>
                <w:rFonts w:ascii="Times New Roman" w:hAnsi="Times New Roman" w:cs="Times New Roman"/>
                <w:color w:val="000000" w:themeColor="text1"/>
                <w:sz w:val="21"/>
                <w:szCs w:val="24"/>
                <w14:textFill>
                  <w14:solidFill>
                    <w14:schemeClr w14:val="tx1"/>
                  </w14:solidFill>
                </w14:textFill>
              </w:rPr>
            </w:pPr>
            <w:r>
              <w:rPr>
                <w:rFonts w:ascii="Times New Roman" w:hAnsi="Times New Roman" w:cs="Times New Roman"/>
                <w:color w:val="000000" w:themeColor="text1"/>
                <w:sz w:val="21"/>
                <w:szCs w:val="24"/>
                <w14:textFill>
                  <w14:solidFill>
                    <w14:schemeClr w14:val="tx1"/>
                  </w14:solidFill>
                </w14:textFill>
              </w:rPr>
              <w:t>0</w:t>
            </w:r>
          </w:p>
        </w:tc>
        <w:tc>
          <w:tcPr>
            <w:tcW w:w="332" w:type="pct"/>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line="600" w:lineRule="exact"/>
              <w:jc w:val="both"/>
              <w:rPr>
                <w:rFonts w:ascii="Times New Roman" w:hAnsi="Times New Roman" w:cs="Times New Roman"/>
                <w:color w:val="000000" w:themeColor="text1"/>
                <w:sz w:val="21"/>
                <w:szCs w:val="24"/>
                <w14:textFill>
                  <w14:solidFill>
                    <w14:schemeClr w14:val="tx1"/>
                  </w14:solidFill>
                </w14:textFill>
              </w:rPr>
            </w:pPr>
            <w:r>
              <w:rPr>
                <w:rFonts w:ascii="Times New Roman" w:hAnsi="Times New Roman" w:cs="Times New Roman"/>
                <w:color w:val="000000" w:themeColor="text1"/>
                <w:sz w:val="21"/>
                <w:szCs w:val="24"/>
                <w14:textFill>
                  <w14:solidFill>
                    <w14:schemeClr w14:val="tx1"/>
                  </w14:solidFill>
                </w14:textFill>
              </w:rPr>
              <w:t>0</w:t>
            </w:r>
          </w:p>
        </w:tc>
        <w:tc>
          <w:tcPr>
            <w:tcW w:w="332" w:type="pct"/>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line="600" w:lineRule="exact"/>
              <w:jc w:val="both"/>
              <w:rPr>
                <w:rFonts w:ascii="Times New Roman" w:hAnsi="Times New Roman" w:cs="Times New Roman"/>
                <w:color w:val="000000" w:themeColor="text1"/>
                <w:sz w:val="21"/>
                <w:szCs w:val="24"/>
                <w14:textFill>
                  <w14:solidFill>
                    <w14:schemeClr w14:val="tx1"/>
                  </w14:solidFill>
                </w14:textFill>
              </w:rPr>
            </w:pPr>
            <w:r>
              <w:rPr>
                <w:rFonts w:ascii="Times New Roman" w:hAnsi="Times New Roman" w:cs="Times New Roman"/>
                <w:color w:val="000000" w:themeColor="text1"/>
                <w:sz w:val="21"/>
                <w:szCs w:val="24"/>
                <w14:textFill>
                  <w14:solidFill>
                    <w14:schemeClr w14:val="tx1"/>
                  </w14:solidFill>
                </w14:textFill>
              </w:rPr>
              <w:t>0</w:t>
            </w:r>
          </w:p>
        </w:tc>
        <w:tc>
          <w:tcPr>
            <w:tcW w:w="332" w:type="pct"/>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line="600" w:lineRule="exact"/>
              <w:jc w:val="both"/>
              <w:rPr>
                <w:rFonts w:ascii="Times New Roman" w:hAnsi="Times New Roman" w:cs="Times New Roman"/>
                <w:color w:val="000000" w:themeColor="text1"/>
                <w:sz w:val="21"/>
                <w:szCs w:val="24"/>
                <w14:textFill>
                  <w14:solidFill>
                    <w14:schemeClr w14:val="tx1"/>
                  </w14:solidFill>
                </w14:textFill>
              </w:rPr>
            </w:pPr>
            <w:r>
              <w:rPr>
                <w:rFonts w:ascii="Times New Roman" w:hAnsi="Times New Roman" w:cs="Times New Roman"/>
                <w:color w:val="000000" w:themeColor="text1"/>
                <w:sz w:val="21"/>
                <w:szCs w:val="24"/>
                <w14:textFill>
                  <w14:solidFill>
                    <w14:schemeClr w14:val="tx1"/>
                  </w14:solidFill>
                </w14:textFill>
              </w:rPr>
              <w:t>0</w:t>
            </w:r>
          </w:p>
        </w:tc>
        <w:tc>
          <w:tcPr>
            <w:tcW w:w="332" w:type="pct"/>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line="600" w:lineRule="exact"/>
              <w:jc w:val="both"/>
              <w:rPr>
                <w:rFonts w:ascii="Times New Roman" w:hAnsi="Times New Roman" w:cs="Times New Roman"/>
                <w:color w:val="000000" w:themeColor="text1"/>
                <w:sz w:val="21"/>
                <w:szCs w:val="24"/>
                <w14:textFill>
                  <w14:solidFill>
                    <w14:schemeClr w14:val="tx1"/>
                  </w14:solidFill>
                </w14:textFill>
              </w:rPr>
            </w:pPr>
            <w:r>
              <w:rPr>
                <w:rFonts w:ascii="Times New Roman" w:hAnsi="Times New Roman" w:cs="Times New Roman"/>
                <w:color w:val="000000" w:themeColor="text1"/>
                <w:sz w:val="21"/>
                <w:szCs w:val="24"/>
                <w14:textFill>
                  <w14:solidFill>
                    <w14:schemeClr w14:val="tx1"/>
                  </w14:solidFill>
                </w14:textFill>
              </w:rPr>
              <w:t>0</w:t>
            </w:r>
          </w:p>
        </w:tc>
        <w:tc>
          <w:tcPr>
            <w:tcW w:w="334" w:type="pct"/>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line="600" w:lineRule="exact"/>
              <w:jc w:val="both"/>
              <w:rPr>
                <w:rFonts w:ascii="Times New Roman" w:hAnsi="Times New Roman" w:cs="Times New Roman"/>
                <w:color w:val="000000" w:themeColor="text1"/>
                <w:sz w:val="21"/>
                <w:szCs w:val="24"/>
                <w14:textFill>
                  <w14:solidFill>
                    <w14:schemeClr w14:val="tx1"/>
                  </w14:solidFill>
                </w14:textFill>
              </w:rPr>
            </w:pPr>
            <w:r>
              <w:rPr>
                <w:rFonts w:ascii="Times New Roman" w:hAnsi="Times New Roman" w:cs="Times New Roman"/>
                <w:color w:val="000000" w:themeColor="text1"/>
                <w:sz w:val="21"/>
                <w:szCs w:val="24"/>
                <w14:textFill>
                  <w14:solidFill>
                    <w14:schemeClr w14:val="tx1"/>
                  </w14:solidFill>
                </w14:textFill>
              </w:rPr>
              <w:t>0</w:t>
            </w:r>
          </w:p>
        </w:tc>
        <w:tc>
          <w:tcPr>
            <w:tcW w:w="332" w:type="pct"/>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line="600" w:lineRule="exact"/>
              <w:jc w:val="both"/>
              <w:rPr>
                <w:rFonts w:ascii="Times New Roman" w:hAnsi="Times New Roman" w:cs="Times New Roman"/>
                <w:color w:val="000000" w:themeColor="text1"/>
                <w:sz w:val="21"/>
                <w:szCs w:val="24"/>
                <w14:textFill>
                  <w14:solidFill>
                    <w14:schemeClr w14:val="tx1"/>
                  </w14:solidFill>
                </w14:textFill>
              </w:rPr>
            </w:pPr>
            <w:r>
              <w:rPr>
                <w:rFonts w:ascii="Times New Roman" w:hAnsi="Times New Roman" w:cs="Times New Roman"/>
                <w:color w:val="000000" w:themeColor="text1"/>
                <w:sz w:val="21"/>
                <w:szCs w:val="24"/>
                <w14:textFill>
                  <w14:solidFill>
                    <w14:schemeClr w14:val="tx1"/>
                  </w14:solidFill>
                </w14:textFill>
              </w:rPr>
              <w:t>0</w:t>
            </w:r>
          </w:p>
        </w:tc>
        <w:tc>
          <w:tcPr>
            <w:tcW w:w="332" w:type="pct"/>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line="600" w:lineRule="exact"/>
              <w:jc w:val="both"/>
              <w:rPr>
                <w:rFonts w:ascii="Times New Roman" w:hAnsi="Times New Roman" w:cs="Times New Roman"/>
                <w:color w:val="000000" w:themeColor="text1"/>
                <w:sz w:val="21"/>
                <w:szCs w:val="24"/>
                <w14:textFill>
                  <w14:solidFill>
                    <w14:schemeClr w14:val="tx1"/>
                  </w14:solidFill>
                </w14:textFill>
              </w:rPr>
            </w:pPr>
            <w:r>
              <w:rPr>
                <w:rFonts w:ascii="Times New Roman" w:hAnsi="Times New Roman" w:cs="Times New Roman"/>
                <w:color w:val="000000" w:themeColor="text1"/>
                <w:sz w:val="21"/>
                <w:szCs w:val="24"/>
                <w14:textFill>
                  <w14:solidFill>
                    <w14:schemeClr w14:val="tx1"/>
                  </w14:solidFill>
                </w14:textFill>
              </w:rPr>
              <w:t>0</w:t>
            </w:r>
          </w:p>
        </w:tc>
        <w:tc>
          <w:tcPr>
            <w:tcW w:w="332" w:type="pct"/>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line="600" w:lineRule="exact"/>
              <w:jc w:val="both"/>
              <w:rPr>
                <w:rFonts w:ascii="Times New Roman" w:hAnsi="Times New Roman" w:cs="Times New Roman"/>
                <w:color w:val="000000" w:themeColor="text1"/>
                <w:sz w:val="21"/>
                <w:szCs w:val="24"/>
                <w14:textFill>
                  <w14:solidFill>
                    <w14:schemeClr w14:val="tx1"/>
                  </w14:solidFill>
                </w14:textFill>
              </w:rPr>
            </w:pPr>
            <w:r>
              <w:rPr>
                <w:rFonts w:ascii="Times New Roman" w:hAnsi="Times New Roman" w:cs="Times New Roman"/>
                <w:color w:val="000000" w:themeColor="text1"/>
                <w:sz w:val="21"/>
                <w:szCs w:val="24"/>
                <w14:textFill>
                  <w14:solidFill>
                    <w14:schemeClr w14:val="tx1"/>
                  </w14:solidFill>
                </w14:textFill>
              </w:rPr>
              <w:t>0</w:t>
            </w:r>
          </w:p>
        </w:tc>
        <w:tc>
          <w:tcPr>
            <w:tcW w:w="332" w:type="pct"/>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line="600" w:lineRule="exact"/>
              <w:jc w:val="both"/>
              <w:rPr>
                <w:rFonts w:ascii="Times New Roman" w:hAnsi="Times New Roman" w:cs="Times New Roman"/>
                <w:color w:val="000000" w:themeColor="text1"/>
                <w:sz w:val="21"/>
                <w:szCs w:val="24"/>
                <w14:textFill>
                  <w14:solidFill>
                    <w14:schemeClr w14:val="tx1"/>
                  </w14:solidFill>
                </w14:textFill>
              </w:rPr>
            </w:pPr>
            <w:r>
              <w:rPr>
                <w:rFonts w:ascii="Times New Roman" w:hAnsi="Times New Roman" w:cs="Times New Roman"/>
                <w:color w:val="000000" w:themeColor="text1"/>
                <w:sz w:val="21"/>
                <w:szCs w:val="24"/>
                <w14:textFill>
                  <w14:solidFill>
                    <w14:schemeClr w14:val="tx1"/>
                  </w14:solidFill>
                </w14:textFill>
              </w:rPr>
              <w:t>0</w:t>
            </w:r>
          </w:p>
        </w:tc>
        <w:tc>
          <w:tcPr>
            <w:tcW w:w="342" w:type="pct"/>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line="600" w:lineRule="exact"/>
              <w:jc w:val="both"/>
              <w:rPr>
                <w:rFonts w:ascii="Times New Roman" w:hAnsi="Times New Roman" w:cs="Times New Roman"/>
                <w:color w:val="000000" w:themeColor="text1"/>
                <w:sz w:val="21"/>
                <w:szCs w:val="24"/>
                <w14:textFill>
                  <w14:solidFill>
                    <w14:schemeClr w14:val="tx1"/>
                  </w14:solidFill>
                </w14:textFill>
              </w:rPr>
            </w:pPr>
            <w:r>
              <w:rPr>
                <w:rFonts w:ascii="Times New Roman" w:hAnsi="Times New Roman" w:cs="Times New Roman"/>
                <w:color w:val="000000" w:themeColor="text1"/>
                <w:sz w:val="21"/>
                <w:szCs w:val="24"/>
                <w14:textFill>
                  <w14:solidFill>
                    <w14:schemeClr w14:val="tx1"/>
                  </w14:solidFill>
                </w14:textFill>
              </w:rPr>
              <w:t>0</w:t>
            </w:r>
          </w:p>
        </w:tc>
      </w:tr>
    </w:tbl>
    <w:p>
      <w:pPr>
        <w:pStyle w:val="4"/>
        <w:snapToGrid w:val="0"/>
        <w:spacing w:line="600" w:lineRule="exact"/>
        <w:ind w:left="0" w:firstLine="636" w:firstLineChars="200"/>
        <w:jc w:val="both"/>
        <w:rPr>
          <w:rFonts w:ascii="Times New Roman" w:hAnsi="Times New Roman" w:eastAsia="仿宋_GB2312" w:cs="Times New Roman"/>
          <w:color w:val="000000" w:themeColor="text1"/>
          <w14:textFill>
            <w14:solidFill>
              <w14:schemeClr w14:val="tx1"/>
            </w14:solidFill>
          </w14:textFill>
        </w:rPr>
      </w:pPr>
      <w:r>
        <w:rPr>
          <w:rFonts w:ascii="Times New Roman" w:hAnsi="Times New Roman" w:eastAsia="黑体" w:cs="Times New Roman"/>
          <w:color w:val="000000" w:themeColor="text1"/>
          <w:spacing w:val="-1"/>
          <w14:textFill>
            <w14:solidFill>
              <w14:schemeClr w14:val="tx1"/>
            </w14:solidFill>
          </w14:textFill>
        </w:rPr>
        <w:t>五、存在的主要问题及改进情况</w:t>
      </w:r>
    </w:p>
    <w:p>
      <w:pPr>
        <w:pStyle w:val="4"/>
        <w:snapToGrid w:val="0"/>
        <w:spacing w:line="600" w:lineRule="exact"/>
        <w:ind w:left="0" w:firstLine="640" w:firstLineChars="200"/>
        <w:jc w:val="both"/>
        <w:rPr>
          <w:rFonts w:ascii="Times New Roman" w:hAnsi="Times New Roman" w:eastAsia="仿宋_GB2312" w:cs="Times New Roman"/>
          <w:color w:val="000000" w:themeColor="text1"/>
          <w14:textFill>
            <w14:solidFill>
              <w14:schemeClr w14:val="tx1"/>
            </w14:solidFill>
          </w14:textFill>
        </w:rPr>
      </w:pPr>
      <w:r>
        <w:rPr>
          <w:rFonts w:ascii="Times New Roman" w:hAnsi="Times New Roman" w:eastAsia="楷体_GB2312" w:cs="Times New Roman"/>
          <w:color w:val="000000" w:themeColor="text1"/>
          <w14:textFill>
            <w14:solidFill>
              <w14:schemeClr w14:val="tx1"/>
            </w14:solidFill>
          </w14:textFill>
        </w:rPr>
        <w:t>存在问题：</w:t>
      </w:r>
      <w:r>
        <w:rPr>
          <w:rFonts w:ascii="Times New Roman" w:hAnsi="Times New Roman" w:eastAsia="仿宋_GB2312" w:cs="Times New Roman"/>
          <w:color w:val="000000" w:themeColor="text1"/>
          <w14:textFill>
            <w14:solidFill>
              <w14:schemeClr w14:val="tx1"/>
            </w14:solidFill>
          </w14:textFill>
        </w:rPr>
        <w:t>一是政务公开类业务知识掌握不全。</w:t>
      </w:r>
      <w:r>
        <w:rPr>
          <w:rFonts w:hint="eastAsia" w:ascii="Times New Roman" w:hAnsi="Times New Roman" w:eastAsia="仿宋_GB2312" w:cs="Times New Roman"/>
          <w:color w:val="000000" w:themeColor="text1"/>
          <w14:textFill>
            <w14:solidFill>
              <w14:schemeClr w14:val="tx1"/>
            </w14:solidFill>
          </w14:textFill>
        </w:rPr>
        <w:t>二</w:t>
      </w:r>
      <w:r>
        <w:rPr>
          <w:rFonts w:ascii="Times New Roman" w:hAnsi="Times New Roman" w:eastAsia="仿宋_GB2312" w:cs="Times New Roman"/>
          <w:color w:val="000000" w:themeColor="text1"/>
          <w14:textFill>
            <w14:solidFill>
              <w14:schemeClr w14:val="tx1"/>
            </w14:solidFill>
          </w14:textFill>
        </w:rPr>
        <w:t>是多渠道多形式政策解读能力有待进一步提高。政策解读的方式还需要丰富，对同一政策进行多角度解读的能力有待加强。</w:t>
      </w:r>
    </w:p>
    <w:p>
      <w:pPr>
        <w:pStyle w:val="4"/>
        <w:snapToGrid w:val="0"/>
        <w:spacing w:line="600" w:lineRule="exact"/>
        <w:ind w:left="0" w:firstLine="640" w:firstLineChars="200"/>
        <w:jc w:val="both"/>
        <w:rPr>
          <w:rFonts w:ascii="Times New Roman" w:hAnsi="Times New Roman" w:eastAsia="仿宋_GB2312" w:cs="Times New Roman"/>
          <w:color w:val="000000" w:themeColor="text1"/>
          <w14:textFill>
            <w14:solidFill>
              <w14:schemeClr w14:val="tx1"/>
            </w14:solidFill>
          </w14:textFill>
        </w:rPr>
      </w:pPr>
      <w:r>
        <w:rPr>
          <w:rFonts w:ascii="Times New Roman" w:hAnsi="Times New Roman" w:eastAsia="楷体_GB2312" w:cs="Times New Roman"/>
          <w:color w:val="000000" w:themeColor="text1"/>
          <w14:textFill>
            <w14:solidFill>
              <w14:schemeClr w14:val="tx1"/>
            </w14:solidFill>
          </w14:textFill>
        </w:rPr>
        <w:t>改进情况：</w:t>
      </w:r>
      <w:r>
        <w:rPr>
          <w:rFonts w:ascii="Times New Roman" w:hAnsi="Times New Roman" w:eastAsia="仿宋_GB2312" w:cs="Times New Roman"/>
          <w:color w:val="000000" w:themeColor="text1"/>
          <w14:textFill>
            <w14:solidFill>
              <w14:schemeClr w14:val="tx1"/>
            </w14:solidFill>
          </w14:textFill>
        </w:rPr>
        <w:t>一是积极安排相关工作人员参加各类政务公开培训，对各类信息的公开标准和公开时限掌握清楚，确保信息及时公开，全面准确。</w:t>
      </w:r>
      <w:r>
        <w:rPr>
          <w:rFonts w:hint="eastAsia" w:ascii="Times New Roman" w:hAnsi="Times New Roman" w:eastAsia="仿宋_GB2312" w:cs="Times New Roman"/>
          <w:color w:val="000000" w:themeColor="text1"/>
          <w14:textFill>
            <w14:solidFill>
              <w14:schemeClr w14:val="tx1"/>
            </w14:solidFill>
          </w14:textFill>
        </w:rPr>
        <w:t>二</w:t>
      </w:r>
      <w:r>
        <w:rPr>
          <w:rFonts w:ascii="Times New Roman" w:hAnsi="Times New Roman" w:eastAsia="仿宋_GB2312" w:cs="Times New Roman"/>
          <w:color w:val="000000" w:themeColor="text1"/>
          <w14:textFill>
            <w14:solidFill>
              <w14:schemeClr w14:val="tx1"/>
            </w14:solidFill>
          </w14:textFill>
        </w:rPr>
        <w:t>是加强法规宣传和业务人员培训。将政务公开纳入集中学习内容，全面提升工作人员法治思维和依法公开意识，形成人人懂政务公开、人人参与政务公开的工作局面。</w:t>
      </w:r>
    </w:p>
    <w:p>
      <w:pPr>
        <w:pStyle w:val="4"/>
        <w:snapToGrid w:val="0"/>
        <w:spacing w:line="600" w:lineRule="exact"/>
        <w:ind w:left="0" w:firstLine="636" w:firstLineChars="200"/>
        <w:jc w:val="both"/>
        <w:rPr>
          <w:rFonts w:ascii="Times New Roman" w:hAnsi="Times New Roman" w:eastAsia="仿宋_GB2312" w:cs="Times New Roman"/>
          <w:color w:val="000000" w:themeColor="text1"/>
          <w:spacing w:val="-1"/>
          <w14:textFill>
            <w14:solidFill>
              <w14:schemeClr w14:val="tx1"/>
            </w14:solidFill>
          </w14:textFill>
        </w:rPr>
      </w:pPr>
      <w:r>
        <w:rPr>
          <w:rFonts w:ascii="Times New Roman" w:hAnsi="Times New Roman" w:eastAsia="黑体" w:cs="Times New Roman"/>
          <w:color w:val="000000" w:themeColor="text1"/>
          <w:spacing w:val="-1"/>
          <w14:textFill>
            <w14:solidFill>
              <w14:schemeClr w14:val="tx1"/>
            </w14:solidFill>
          </w14:textFill>
        </w:rPr>
        <w:t>六、其他需要报告的事项</w:t>
      </w:r>
    </w:p>
    <w:p>
      <w:pPr>
        <w:widowControl/>
        <w:shd w:val="clear" w:color="auto" w:fill="FFFFFF"/>
        <w:autoSpaceDE/>
        <w:autoSpaceDN/>
        <w:snapToGrid w:val="0"/>
        <w:spacing w:line="600" w:lineRule="exact"/>
        <w:ind w:firstLine="640" w:firstLineChars="200"/>
        <w:jc w:val="both"/>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楷体_GB2312" w:cs="Times New Roman"/>
          <w:color w:val="000000" w:themeColor="text1"/>
          <w:sz w:val="32"/>
          <w:szCs w:val="32"/>
          <w14:textFill>
            <w14:solidFill>
              <w14:schemeClr w14:val="tx1"/>
            </w14:solidFill>
          </w14:textFill>
        </w:rPr>
        <w:t>1.收取信息处理费情况。</w:t>
      </w:r>
      <w:r>
        <w:rPr>
          <w:rFonts w:ascii="Times New Roman" w:hAnsi="Times New Roman" w:eastAsia="仿宋_GB2312" w:cs="Times New Roman"/>
          <w:color w:val="000000"/>
          <w:sz w:val="32"/>
          <w:szCs w:val="32"/>
        </w:rPr>
        <w:t>收取信息处理费情况。</w:t>
      </w:r>
      <w:r>
        <w:rPr>
          <w:rFonts w:ascii="Times New Roman" w:hAnsi="Times New Roman" w:eastAsia="仿宋_GB2312" w:cs="Times New Roman"/>
          <w:color w:val="000000"/>
          <w:sz w:val="32"/>
          <w:szCs w:val="32"/>
          <w:shd w:val="clear" w:color="auto" w:fill="FFFFFF"/>
        </w:rPr>
        <w:t>按照《国务院办公厅关于印发</w:t>
      </w:r>
      <w:r>
        <w:rPr>
          <w:rFonts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shd w:val="clear" w:color="auto" w:fill="FFFFFF"/>
        </w:rPr>
        <w:t>政府信息公开信息处理费管理办法</w:t>
      </w:r>
      <w:r>
        <w:rPr>
          <w:rFonts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shd w:val="clear" w:color="auto" w:fill="FFFFFF"/>
        </w:rPr>
        <w:t>的通知》（国办函〔2020〕109号）和《山东省人民政府办公厅关于做好政府信息公开信息处理费管理工作有关事项的通知》（鲁政办字〔2020〕179号）收取信息处理费。</w:t>
      </w:r>
      <w:r>
        <w:rPr>
          <w:rFonts w:ascii="Times New Roman" w:hAnsi="Times New Roman" w:eastAsia="仿宋_GB2312" w:cs="Times New Roman"/>
          <w:color w:val="000000" w:themeColor="text1"/>
          <w:sz w:val="32"/>
          <w:szCs w:val="32"/>
          <w14:textFill>
            <w14:solidFill>
              <w14:schemeClr w14:val="tx1"/>
            </w14:solidFill>
          </w14:textFill>
        </w:rPr>
        <w:t>202</w:t>
      </w:r>
      <w:r>
        <w:rPr>
          <w:rFonts w:hint="eastAsia" w:ascii="Times New Roman" w:hAnsi="Times New Roman" w:eastAsia="仿宋_GB2312" w:cs="Times New Roman"/>
          <w:color w:val="000000" w:themeColor="text1"/>
          <w:sz w:val="32"/>
          <w:szCs w:val="32"/>
          <w14:textFill>
            <w14:solidFill>
              <w14:schemeClr w14:val="tx1"/>
            </w14:solidFill>
          </w14:textFill>
        </w:rPr>
        <w:t>3</w:t>
      </w:r>
      <w:r>
        <w:rPr>
          <w:rFonts w:ascii="Times New Roman" w:hAnsi="Times New Roman" w:eastAsia="仿宋_GB2312" w:cs="Times New Roman"/>
          <w:color w:val="000000" w:themeColor="text1"/>
          <w:sz w:val="32"/>
          <w:szCs w:val="32"/>
          <w14:textFill>
            <w14:solidFill>
              <w14:schemeClr w14:val="tx1"/>
            </w14:solidFill>
          </w14:textFill>
        </w:rPr>
        <w:t>年本机关依申请公开政府信息未收取任何费用。</w:t>
      </w:r>
    </w:p>
    <w:p>
      <w:pPr>
        <w:pStyle w:val="5"/>
        <w:widowControl/>
        <w:snapToGrid w:val="0"/>
        <w:spacing w:beforeAutospacing="0" w:afterAutospacing="0" w:line="600" w:lineRule="exact"/>
        <w:ind w:firstLine="640" w:firstLineChars="200"/>
        <w:jc w:val="both"/>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楷体_GB2312"/>
          <w:color w:val="000000" w:themeColor="text1"/>
          <w:sz w:val="32"/>
          <w:szCs w:val="32"/>
          <w14:textFill>
            <w14:solidFill>
              <w14:schemeClr w14:val="tx1"/>
            </w14:solidFill>
          </w14:textFill>
        </w:rPr>
        <w:t>2.落实上级年度政务公开工作要点情况。</w:t>
      </w:r>
      <w:r>
        <w:rPr>
          <w:rFonts w:ascii="Times New Roman" w:hAnsi="Times New Roman" w:eastAsia="仿宋_GB2312"/>
          <w:color w:val="000000" w:themeColor="text1"/>
          <w:sz w:val="32"/>
          <w:szCs w:val="32"/>
          <w14:textFill>
            <w14:solidFill>
              <w14:schemeClr w14:val="tx1"/>
            </w14:solidFill>
          </w14:textFill>
        </w:rPr>
        <w:t>严格落实上级政务公开工作要点，根据文化旅游领域公开目录要求，深入推进公共文化服务、文物、旅游、广播电视、新闻出版版权等领域信息公开工作，重点公开了群众文化活动、公共文化场馆、文物保护单位、A级旅游景区名录、旅行社名录、提示警示、应急预案、文化旅游宣传等方面的内容。</w:t>
      </w:r>
    </w:p>
    <w:p>
      <w:pPr>
        <w:pStyle w:val="5"/>
        <w:widowControl/>
        <w:snapToGrid w:val="0"/>
        <w:spacing w:beforeAutospacing="0" w:afterAutospacing="0" w:line="560" w:lineRule="exact"/>
        <w:ind w:firstLine="640" w:firstLineChars="200"/>
        <w:jc w:val="both"/>
        <w:rPr>
          <w:rFonts w:ascii="Times New Roman" w:hAnsi="Times New Roman" w:eastAsia="仿宋_GB2312"/>
          <w:color w:val="000000"/>
          <w:sz w:val="32"/>
          <w:szCs w:val="32"/>
          <w:shd w:val="clear" w:color="auto" w:fill="FFFFFF"/>
        </w:rPr>
      </w:pPr>
      <w:r>
        <w:rPr>
          <w:rFonts w:ascii="Times New Roman" w:hAnsi="Times New Roman" w:eastAsia="楷体_GB2312"/>
          <w:color w:val="000000" w:themeColor="text1"/>
          <w:sz w:val="32"/>
          <w:szCs w:val="32"/>
          <w14:textFill>
            <w14:solidFill>
              <w14:schemeClr w14:val="tx1"/>
            </w14:solidFill>
          </w14:textFill>
        </w:rPr>
        <w:t>3.人大建议和政协提案办理结果公开情况。</w:t>
      </w:r>
      <w:r>
        <w:rPr>
          <w:rFonts w:ascii="Times New Roman" w:hAnsi="Times New Roman" w:eastAsia="仿宋_GB2312"/>
          <w:color w:val="000000"/>
          <w:sz w:val="32"/>
          <w:szCs w:val="32"/>
          <w:shd w:val="clear" w:color="auto" w:fill="FFFFFF"/>
        </w:rPr>
        <w:t>202</w:t>
      </w:r>
      <w:r>
        <w:rPr>
          <w:rFonts w:hint="eastAsia" w:ascii="Times New Roman" w:hAnsi="Times New Roman" w:eastAsia="仿宋_GB2312"/>
          <w:color w:val="000000"/>
          <w:sz w:val="32"/>
          <w:szCs w:val="32"/>
          <w:shd w:val="clear" w:color="auto" w:fill="FFFFFF"/>
        </w:rPr>
        <w:t>3</w:t>
      </w:r>
      <w:r>
        <w:rPr>
          <w:rFonts w:ascii="Times New Roman" w:hAnsi="Times New Roman" w:eastAsia="仿宋_GB2312"/>
          <w:color w:val="000000"/>
          <w:sz w:val="32"/>
          <w:szCs w:val="32"/>
          <w:shd w:val="clear" w:color="auto" w:fill="FFFFFF"/>
        </w:rPr>
        <w:t>年区文化和旅游局收到人大建议</w:t>
      </w:r>
      <w:r>
        <w:rPr>
          <w:rFonts w:hint="eastAsia" w:ascii="Times New Roman" w:hAnsi="Times New Roman" w:eastAsia="仿宋_GB2312"/>
          <w:color w:val="000000"/>
          <w:sz w:val="32"/>
          <w:szCs w:val="32"/>
          <w:shd w:val="clear" w:color="auto" w:fill="FFFFFF"/>
        </w:rPr>
        <w:t>3</w:t>
      </w:r>
      <w:r>
        <w:rPr>
          <w:rFonts w:ascii="Times New Roman" w:hAnsi="Times New Roman" w:eastAsia="仿宋_GB2312"/>
          <w:color w:val="000000"/>
          <w:sz w:val="32"/>
          <w:szCs w:val="32"/>
          <w:shd w:val="clear" w:color="auto" w:fill="FFFFFF"/>
        </w:rPr>
        <w:t>件，政协提案</w:t>
      </w:r>
      <w:r>
        <w:rPr>
          <w:rFonts w:hint="eastAsia" w:ascii="Times New Roman" w:hAnsi="Times New Roman" w:eastAsia="仿宋_GB2312"/>
          <w:color w:val="000000"/>
          <w:sz w:val="32"/>
          <w:szCs w:val="32"/>
          <w:shd w:val="clear" w:color="auto" w:fill="FFFFFF"/>
        </w:rPr>
        <w:t>19</w:t>
      </w:r>
      <w:r>
        <w:rPr>
          <w:rFonts w:ascii="Times New Roman" w:hAnsi="Times New Roman" w:eastAsia="仿宋_GB2312"/>
          <w:color w:val="000000"/>
          <w:sz w:val="32"/>
          <w:szCs w:val="32"/>
          <w:shd w:val="clear" w:color="auto" w:fill="FFFFFF"/>
        </w:rPr>
        <w:t>件，人大建议答复文件按法定程序面复代表，面复率100%，办复率100%，代表满意率达100%。202</w:t>
      </w:r>
      <w:r>
        <w:rPr>
          <w:rFonts w:hint="eastAsia" w:ascii="Times New Roman" w:hAnsi="Times New Roman" w:eastAsia="仿宋_GB2312"/>
          <w:color w:val="000000"/>
          <w:sz w:val="32"/>
          <w:szCs w:val="32"/>
          <w:shd w:val="clear" w:color="auto" w:fill="FFFFFF"/>
        </w:rPr>
        <w:t>3</w:t>
      </w:r>
      <w:r>
        <w:rPr>
          <w:rFonts w:ascii="Times New Roman" w:hAnsi="Times New Roman" w:eastAsia="仿宋_GB2312"/>
          <w:color w:val="000000"/>
          <w:sz w:val="32"/>
          <w:szCs w:val="32"/>
          <w:shd w:val="clear" w:color="auto" w:fill="FFFFFF"/>
        </w:rPr>
        <w:t>年未有上级建议提案办理任务。</w:t>
      </w:r>
    </w:p>
    <w:p>
      <w:pPr>
        <w:pStyle w:val="5"/>
        <w:widowControl/>
        <w:snapToGrid w:val="0"/>
        <w:spacing w:beforeAutospacing="0" w:afterAutospacing="0" w:line="560" w:lineRule="exact"/>
        <w:ind w:firstLine="640" w:firstLineChars="200"/>
        <w:jc w:val="both"/>
        <w:rPr>
          <w:rFonts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楷体_GB2312" w:cs="楷体_GB2312"/>
          <w:color w:val="000000" w:themeColor="text1"/>
          <w:sz w:val="32"/>
          <w:szCs w:val="32"/>
          <w14:textFill>
            <w14:solidFill>
              <w14:schemeClr w14:val="tx1"/>
            </w14:solidFill>
          </w14:textFill>
        </w:rPr>
        <w:t>4.政务公开工作创新情况。</w:t>
      </w:r>
      <w:r>
        <w:rPr>
          <w:rFonts w:hint="eastAsia" w:ascii="Times New Roman" w:hAnsi="Times New Roman" w:eastAsia="仿宋_GB2312" w:cs="仿宋_GB2312"/>
          <w:color w:val="000000" w:themeColor="text1"/>
          <w:sz w:val="32"/>
          <w:szCs w:val="32"/>
          <w14:textFill>
            <w14:solidFill>
              <w14:schemeClr w14:val="tx1"/>
            </w14:solidFill>
          </w14:textFill>
        </w:rPr>
        <w:t>无。</w:t>
      </w:r>
    </w:p>
    <w:p>
      <w:pPr>
        <w:pStyle w:val="5"/>
        <w:widowControl/>
        <w:snapToGrid w:val="0"/>
        <w:spacing w:beforeAutospacing="0" w:afterAutospacing="0" w:line="560" w:lineRule="exact"/>
        <w:ind w:firstLine="640" w:firstLineChars="200"/>
        <w:jc w:val="both"/>
        <w:rPr>
          <w:rFonts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楷体_GB2312" w:cs="楷体_GB2312"/>
          <w:color w:val="000000" w:themeColor="text1"/>
          <w:sz w:val="32"/>
          <w:szCs w:val="32"/>
          <w14:textFill>
            <w14:solidFill>
              <w14:schemeClr w14:val="tx1"/>
            </w14:solidFill>
          </w14:textFill>
        </w:rPr>
        <w:t>5.年报数据统计需要说明的事项。</w:t>
      </w:r>
      <w:r>
        <w:rPr>
          <w:rFonts w:hint="eastAsia" w:ascii="Times New Roman" w:hAnsi="Times New Roman" w:eastAsia="仿宋_GB2312" w:cs="仿宋_GB2312"/>
          <w:color w:val="000000" w:themeColor="text1"/>
          <w:sz w:val="32"/>
          <w:szCs w:val="32"/>
          <w14:textFill>
            <w14:solidFill>
              <w14:schemeClr w14:val="tx1"/>
            </w14:solidFill>
          </w14:textFill>
        </w:rPr>
        <w:t>无。</w:t>
      </w:r>
    </w:p>
    <w:p>
      <w:pPr>
        <w:pStyle w:val="5"/>
        <w:widowControl/>
        <w:snapToGrid w:val="0"/>
        <w:spacing w:beforeAutospacing="0" w:afterAutospacing="0" w:line="560" w:lineRule="exact"/>
        <w:ind w:firstLine="640" w:firstLineChars="200"/>
        <w:jc w:val="both"/>
        <w:rPr>
          <w:rFonts w:hint="eastAsia" w:ascii="Times New Roman" w:hAnsi="Times New Roman" w:eastAsia="仿宋_GB2312" w:cs="仿宋_GB2312"/>
          <w:color w:val="000000" w:themeColor="text1"/>
          <w:sz w:val="32"/>
          <w:szCs w:val="32"/>
          <w14:textFill>
            <w14:solidFill>
              <w14:schemeClr w14:val="tx1"/>
            </w14:solidFill>
          </w14:textFill>
        </w:rPr>
      </w:pPr>
      <w:r>
        <w:rPr>
          <w:rFonts w:ascii="Times New Roman" w:hAnsi="Times New Roman" w:eastAsia="仿宋_GB2312"/>
          <w:color w:val="000000"/>
          <w:sz w:val="32"/>
          <w:szCs w:val="32"/>
          <w:shd w:val="clear" w:color="auto" w:fill="FFFFFF"/>
        </w:rPr>
        <w:t>6、本行政机关认为需要报告的其他事项：无</w:t>
      </w:r>
    </w:p>
    <w:p>
      <w:pPr>
        <w:pStyle w:val="5"/>
        <w:widowControl/>
        <w:snapToGrid w:val="0"/>
        <w:spacing w:beforeAutospacing="0" w:afterAutospacing="0" w:line="560" w:lineRule="exact"/>
        <w:ind w:firstLine="640" w:firstLineChars="200"/>
        <w:jc w:val="both"/>
        <w:rPr>
          <w:rFonts w:ascii="Times New Roman" w:hAnsi="Times New Roman" w:eastAsia="仿宋_GB2312"/>
          <w:color w:val="000000"/>
          <w:sz w:val="32"/>
          <w:szCs w:val="32"/>
          <w:shd w:val="clear" w:color="auto" w:fill="FFFFFF"/>
        </w:rPr>
      </w:pPr>
      <w:r>
        <w:rPr>
          <w:rFonts w:ascii="Times New Roman" w:hAnsi="Times New Roman" w:eastAsia="仿宋_GB2312"/>
          <w:color w:val="000000"/>
          <w:sz w:val="32"/>
          <w:szCs w:val="32"/>
          <w:shd w:val="clear" w:color="auto" w:fill="FFFFFF"/>
        </w:rPr>
        <w:t>7、其他有关文件专门要求通过政府信息公开工作年度报告予以报告的事项：无</w:t>
      </w:r>
    </w:p>
    <w:p>
      <w:pPr>
        <w:pStyle w:val="5"/>
        <w:widowControl/>
        <w:snapToGrid w:val="0"/>
        <w:spacing w:beforeAutospacing="0" w:afterAutospacing="0" w:line="600" w:lineRule="exact"/>
        <w:ind w:firstLine="640" w:firstLineChars="200"/>
        <w:jc w:val="both"/>
        <w:rPr>
          <w:rFonts w:ascii="Times New Roman" w:hAnsi="Times New Roman" w:eastAsia="仿宋_GB2312"/>
          <w:color w:val="000000" w:themeColor="text1"/>
          <w:sz w:val="32"/>
          <w:szCs w:val="32"/>
          <w14:textFill>
            <w14:solidFill>
              <w14:schemeClr w14:val="tx1"/>
            </w14:solidFill>
          </w14:textFill>
        </w:rPr>
      </w:pPr>
    </w:p>
    <w:p>
      <w:pPr>
        <w:pStyle w:val="5"/>
        <w:widowControl/>
        <w:snapToGrid w:val="0"/>
        <w:spacing w:beforeAutospacing="0" w:afterAutospacing="0" w:line="600" w:lineRule="exact"/>
        <w:ind w:firstLine="640" w:firstLineChars="200"/>
        <w:jc w:val="both"/>
        <w:rPr>
          <w:rFonts w:ascii="Times New Roman" w:hAnsi="Times New Roman" w:eastAsia="仿宋_GB2312"/>
          <w:color w:val="000000" w:themeColor="text1"/>
          <w:sz w:val="32"/>
          <w:szCs w:val="32"/>
          <w14:textFill>
            <w14:solidFill>
              <w14:schemeClr w14:val="tx1"/>
            </w14:solidFill>
          </w14:textFill>
        </w:rPr>
      </w:pPr>
    </w:p>
    <w:p>
      <w:pPr>
        <w:pStyle w:val="5"/>
        <w:widowControl/>
        <w:snapToGrid w:val="0"/>
        <w:spacing w:beforeAutospacing="0" w:afterAutospacing="0" w:line="600" w:lineRule="exact"/>
        <w:ind w:firstLine="4480" w:firstLineChars="1400"/>
        <w:jc w:val="both"/>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淄川区文化和旅游局</w:t>
      </w:r>
    </w:p>
    <w:p>
      <w:pPr>
        <w:pStyle w:val="5"/>
        <w:widowControl/>
        <w:snapToGrid w:val="0"/>
        <w:spacing w:beforeAutospacing="0" w:afterAutospacing="0" w:line="600" w:lineRule="exact"/>
        <w:ind w:firstLine="5440" w:firstLineChars="1700"/>
        <w:jc w:val="both"/>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202</w:t>
      </w:r>
      <w:r>
        <w:rPr>
          <w:rFonts w:hint="eastAsia" w:ascii="Times New Roman" w:hAnsi="Times New Roman" w:eastAsia="仿宋_GB2312"/>
          <w:color w:val="000000" w:themeColor="text1"/>
          <w:sz w:val="32"/>
          <w:szCs w:val="32"/>
          <w14:textFill>
            <w14:solidFill>
              <w14:schemeClr w14:val="tx1"/>
            </w14:solidFill>
          </w14:textFill>
        </w:rPr>
        <w:t>4</w:t>
      </w:r>
      <w:r>
        <w:rPr>
          <w:rFonts w:ascii="Times New Roman" w:hAnsi="Times New Roman" w:eastAsia="仿宋_GB2312"/>
          <w:color w:val="000000" w:themeColor="text1"/>
          <w:sz w:val="32"/>
          <w:szCs w:val="32"/>
          <w14:textFill>
            <w14:solidFill>
              <w14:schemeClr w14:val="tx1"/>
            </w14:solidFill>
          </w14:textFill>
        </w:rPr>
        <w:t>年1月26日</w:t>
      </w:r>
    </w:p>
    <w:p>
      <w:pPr>
        <w:pStyle w:val="4"/>
        <w:snapToGrid w:val="0"/>
        <w:spacing w:line="600" w:lineRule="exact"/>
        <w:ind w:left="0"/>
        <w:jc w:val="both"/>
        <w:rPr>
          <w:rFonts w:ascii="Times New Roman" w:hAnsi="Times New Roman" w:eastAsia="仿宋_GB2312" w:cs="Times New Roman"/>
          <w:spacing w:val="-1"/>
        </w:rPr>
      </w:pPr>
    </w:p>
    <w:bookmarkEnd w:id="2"/>
    <w:sectPr>
      <w:pgSz w:w="11910" w:h="16840"/>
      <w:pgMar w:top="2098" w:right="1474" w:bottom="1985" w:left="1588" w:header="720" w:footer="720"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386173"/>
    <w:multiLevelType w:val="singleLevel"/>
    <w:tmpl w:val="8C386173"/>
    <w:lvl w:ilvl="0" w:tentative="0">
      <w:start w:val="1"/>
      <w:numFmt w:val="chineseCounting"/>
      <w:suff w:val="nothing"/>
      <w:lvlText w:val="%1、"/>
      <w:lvlJc w:val="left"/>
      <w:rPr>
        <w:rFonts w:hint="eastAsia"/>
      </w:rPr>
    </w:lvl>
  </w:abstractNum>
  <w:abstractNum w:abstractNumId="1">
    <w:nsid w:val="9EAB4D55"/>
    <w:multiLevelType w:val="singleLevel"/>
    <w:tmpl w:val="9EAB4D55"/>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ocumentProtection w:enforcement="0"/>
  <w:defaultTabStop w:val="720"/>
  <w:drawingGridHorizontalSpacing w:val="110"/>
  <w:noPunctuationKerning w:val="1"/>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4"/>
  </w:compat>
  <w:docVars>
    <w:docVar w:name="commondata" w:val="eyJoZGlkIjoiMDkzNThhZWQwNjYwZmI2NGU3YzI4N2YxZWQxNjI5YmYifQ=="/>
    <w:docVar w:name="KSO_WPS_MARK_KEY" w:val="7a90772d-a98f-4173-a935-35bb5661109c"/>
  </w:docVars>
  <w:rsids>
    <w:rsidRoot w:val="00D82B04"/>
    <w:rsid w:val="00032D79"/>
    <w:rsid w:val="0012124F"/>
    <w:rsid w:val="004E6095"/>
    <w:rsid w:val="008D6DE6"/>
    <w:rsid w:val="00D018D6"/>
    <w:rsid w:val="00D82B04"/>
    <w:rsid w:val="01822573"/>
    <w:rsid w:val="02895F98"/>
    <w:rsid w:val="04611584"/>
    <w:rsid w:val="07B40BCC"/>
    <w:rsid w:val="11007488"/>
    <w:rsid w:val="16836181"/>
    <w:rsid w:val="1AF31C46"/>
    <w:rsid w:val="1B86382C"/>
    <w:rsid w:val="1CFC08E3"/>
    <w:rsid w:val="1F672DAF"/>
    <w:rsid w:val="1FAF095A"/>
    <w:rsid w:val="210C2F2F"/>
    <w:rsid w:val="22AA48F1"/>
    <w:rsid w:val="24185E4F"/>
    <w:rsid w:val="26735D8C"/>
    <w:rsid w:val="29FF65A7"/>
    <w:rsid w:val="337B0E24"/>
    <w:rsid w:val="3AD45650"/>
    <w:rsid w:val="3B7F6B83"/>
    <w:rsid w:val="3DAA33FF"/>
    <w:rsid w:val="40F462E2"/>
    <w:rsid w:val="4D2F660B"/>
    <w:rsid w:val="4EDD5732"/>
    <w:rsid w:val="539F3BF2"/>
    <w:rsid w:val="54C067AF"/>
    <w:rsid w:val="58090E4C"/>
    <w:rsid w:val="581B1CA2"/>
    <w:rsid w:val="58B77EC9"/>
    <w:rsid w:val="5E0E058B"/>
    <w:rsid w:val="5E283BCD"/>
    <w:rsid w:val="604410DF"/>
    <w:rsid w:val="616A7CEE"/>
    <w:rsid w:val="76B47582"/>
    <w:rsid w:val="77941333"/>
    <w:rsid w:val="7C7E11C6"/>
    <w:rsid w:val="7CE96309"/>
    <w:rsid w:val="7D235E65"/>
    <w:rsid w:val="7D9104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en-US" w:eastAsia="zh-CN" w:bidi="ar-SA"/>
    </w:rPr>
  </w:style>
  <w:style w:type="paragraph" w:styleId="2">
    <w:name w:val="heading 3"/>
    <w:basedOn w:val="1"/>
    <w:next w:val="1"/>
    <w:qFormat/>
    <w:uiPriority w:val="99"/>
    <w:pPr>
      <w:spacing w:before="100" w:beforeAutospacing="1" w:after="100" w:afterAutospacing="1"/>
      <w:outlineLvl w:val="2"/>
    </w:pPr>
    <w:rPr>
      <w:rFonts w:hAnsi="Times New Roman" w:cs="Times New Roman"/>
      <w:b/>
      <w:sz w:val="27"/>
      <w:szCs w:val="27"/>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style>
  <w:style w:type="paragraph" w:styleId="4">
    <w:name w:val="Body Text"/>
    <w:basedOn w:val="1"/>
    <w:qFormat/>
    <w:uiPriority w:val="1"/>
    <w:pPr>
      <w:ind w:left="800"/>
    </w:pPr>
    <w:rPr>
      <w:sz w:val="32"/>
      <w:szCs w:val="32"/>
    </w:rPr>
  </w:style>
  <w:style w:type="paragraph" w:styleId="5">
    <w:name w:val="Normal (Web)"/>
    <w:basedOn w:val="1"/>
    <w:qFormat/>
    <w:uiPriority w:val="0"/>
    <w:pPr>
      <w:spacing w:beforeAutospacing="1" w:afterAutospacing="1"/>
    </w:pPr>
    <w:rPr>
      <w:rFonts w:cs="Times New Roman"/>
      <w:sz w:val="24"/>
    </w:rPr>
  </w:style>
  <w:style w:type="paragraph" w:styleId="6">
    <w:name w:val="Title"/>
    <w:basedOn w:val="1"/>
    <w:qFormat/>
    <w:uiPriority w:val="1"/>
    <w:pPr>
      <w:spacing w:before="18"/>
      <w:ind w:left="3052" w:right="329" w:hanging="2722"/>
    </w:pPr>
    <w:rPr>
      <w:rFonts w:ascii="微软雅黑" w:hAnsi="微软雅黑" w:eastAsia="微软雅黑" w:cs="微软雅黑"/>
      <w:b/>
      <w:bCs/>
      <w:sz w:val="42"/>
      <w:szCs w:val="42"/>
    </w:rPr>
  </w:style>
  <w:style w:type="character" w:styleId="9">
    <w:name w:val="Hyperlink"/>
    <w:basedOn w:val="8"/>
    <w:qFormat/>
    <w:uiPriority w:val="0"/>
    <w:rPr>
      <w:color w:val="0000FF"/>
      <w:u w:val="single"/>
    </w:rPr>
  </w:style>
  <w:style w:type="table" w:customStyle="1" w:styleId="10">
    <w:name w:val="Table Normal"/>
    <w:semiHidden/>
    <w:unhideWhenUsed/>
    <w:qFormat/>
    <w:uiPriority w:val="2"/>
    <w:tblPr>
      <w:tblCellMar>
        <w:top w:w="0" w:type="dxa"/>
        <w:left w:w="0" w:type="dxa"/>
        <w:bottom w:w="0" w:type="dxa"/>
        <w:right w:w="0" w:type="dxa"/>
      </w:tblCellMar>
    </w:tblPr>
  </w:style>
  <w:style w:type="paragraph" w:styleId="11">
    <w:name w:val="List Paragraph"/>
    <w:basedOn w:val="1"/>
    <w:qFormat/>
    <w:uiPriority w:val="1"/>
  </w:style>
  <w:style w:type="paragraph" w:customStyle="1" w:styleId="12">
    <w:name w:val="Table Paragraph"/>
    <w:basedOn w:val="1"/>
    <w:qFormat/>
    <w:uiPriority w:val="1"/>
    <w:pPr>
      <w:spacing w:before="182"/>
      <w:ind w:left="29"/>
    </w:pPr>
  </w:style>
  <w:style w:type="paragraph" w:customStyle="1" w:styleId="13">
    <w:name w:val="Default"/>
    <w:unhideWhenUsed/>
    <w:qFormat/>
    <w:uiPriority w:val="99"/>
    <w:pPr>
      <w:widowControl w:val="0"/>
      <w:autoSpaceDE w:val="0"/>
      <w:autoSpaceDN w:val="0"/>
      <w:adjustRightInd w:val="0"/>
    </w:pPr>
    <w:rPr>
      <w:rFonts w:hint="eastAsia" w:ascii="黑体" w:hAnsi="黑体" w:eastAsia="黑体" w:cs="Times New Roman"/>
      <w:color w:val="000000"/>
      <w:sz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471</Words>
  <Characters>2688</Characters>
  <Lines>22</Lines>
  <Paragraphs>6</Paragraphs>
  <TotalTime>227</TotalTime>
  <ScaleCrop>false</ScaleCrop>
  <LinksUpToDate>false</LinksUpToDate>
  <CharactersWithSpaces>3153</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2022-01-14T08:46:00Z</dcterms:created>
  <dc:creator>徐汪</dc:creator>
  <cp:lastModifiedBy>银杏果</cp:lastModifiedBy>
  <dcterms:modified xsi:type="dcterms:W3CDTF">2024-01-26T09:06:17Z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2022-01-14T00:00:00Z</vt:filetime>
  </property>
  <property fmtid="{D5CDD505-2E9C-101B-9397-08002B2CF9AE}" pid="3" name="Creator">
    <vt:lpwstr>WPS 文字</vt:lpwstr>
  </property>
  <property fmtid="{D5CDD505-2E9C-101B-9397-08002B2CF9AE}" pid="4" name="LastSaved">
    <vt:filetime>2022-01-14T00:00:00Z</vt:filetime>
  </property>
  <property fmtid="{D5CDD505-2E9C-101B-9397-08002B2CF9AE}" pid="5" name="KSOProductBuildVer">
    <vt:lpwstr>2052-11.8.6.8810</vt:lpwstr>
  </property>
  <property fmtid="{D5CDD505-2E9C-101B-9397-08002B2CF9AE}" pid="6" name="ICV">
    <vt:lpwstr>B035924F347E4E36B40DFC86224C7D3A_13</vt:lpwstr>
  </property>
</Properties>
</file>