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center"/>
        <w:rPr>
          <w:rFonts w:hint="default" w:ascii="Times New Roman" w:hAnsi="Times New Roman" w:eastAsia="方正小标宋简体" w:cs="Times New Roman"/>
          <w:b w:val="0"/>
          <w:bCs w:val="0"/>
          <w:color w:val="000000" w:themeColor="text1"/>
          <w:spacing w:val="-3"/>
          <w:sz w:val="44"/>
          <w:szCs w:val="44"/>
          <w14:textFill>
            <w14:solidFill>
              <w14:schemeClr w14:val="tx1"/>
            </w14:solidFill>
          </w14:textFill>
        </w:rPr>
      </w:pPr>
      <w:bookmarkStart w:id="0" w:name="淄川区文化和旅游局2021年政府信息公开"/>
      <w:bookmarkEnd w:id="0"/>
      <w:r>
        <w:rPr>
          <w:rFonts w:hint="default" w:ascii="Times New Roman" w:hAnsi="Times New Roman" w:eastAsia="方正小标宋简体" w:cs="Times New Roman"/>
          <w:b w:val="0"/>
          <w:bCs w:val="0"/>
          <w:color w:val="000000" w:themeColor="text1"/>
          <w:spacing w:val="-3"/>
          <w:sz w:val="44"/>
          <w:szCs w:val="44"/>
          <w14:textFill>
            <w14:solidFill>
              <w14:schemeClr w14:val="tx1"/>
            </w14:solidFill>
          </w14:textFill>
        </w:rPr>
        <w:t>淄博市淄川区文化和旅游局</w:t>
      </w:r>
    </w:p>
    <w:p>
      <w:pPr>
        <w:pStyle w:val="6"/>
        <w:spacing w:line="600" w:lineRule="exact"/>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2022</w:t>
      </w:r>
      <w:r>
        <w:rPr>
          <w:rFonts w:hint="default" w:ascii="Times New Roman" w:hAnsi="Times New Roman" w:eastAsia="方正小标宋简体" w:cs="Times New Roman"/>
          <w:b w:val="0"/>
          <w:bCs w:val="0"/>
          <w:color w:val="000000" w:themeColor="text1"/>
          <w:spacing w:val="-6"/>
          <w:sz w:val="44"/>
          <w:szCs w:val="44"/>
          <w14:textFill>
            <w14:solidFill>
              <w14:schemeClr w14:val="tx1"/>
            </w14:solidFill>
          </w14:textFill>
        </w:rPr>
        <w:t>年政府信息公开</w:t>
      </w:r>
      <w:bookmarkStart w:id="1" w:name="工作年度报告"/>
      <w:bookmarkEnd w:id="1"/>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工作年度报告</w:t>
      </w:r>
    </w:p>
    <w:p>
      <w:pPr>
        <w:pStyle w:val="4"/>
        <w:spacing w:before="199"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p>
    <w:p>
      <w:pPr>
        <w:pStyle w:val="5"/>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1"/>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bookmarkStart w:id="2" w:name="_GoBack"/>
      <w:bookmarkEnd w:id="2"/>
      <w:r>
        <w:rPr>
          <w:rFonts w:hint="default" w:ascii="Times New Roman" w:hAnsi="Times New Roman" w:eastAsia="仿宋_GB2312" w:cs="Times New Roman"/>
          <w:color w:val="000000" w:themeColor="text1"/>
          <w:sz w:val="32"/>
          <w:szCs w:val="32"/>
          <w14:textFill>
            <w14:solidFill>
              <w14:schemeClr w14:val="tx1"/>
            </w14:solidFill>
          </w14:textFill>
        </w:rPr>
        <w:t>本报告由总体情况、主动公开政府信息情况、收到和处理政府信息公开申请情况、行政复议和行政诉讼情况、存在的主要问题及改进情况、其他需要报告的事项等部分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如对报告内容有疑问，请与淄博市淄川区文化和旅游局联系（</w:t>
      </w:r>
      <w:r>
        <w:rPr>
          <w:rFonts w:hint="default" w:ascii="Times New Roman" w:hAnsi="Times New Roman" w:eastAsia="仿宋_GB2312" w:cs="Times New Roman"/>
          <w:i w:val="0"/>
          <w:caps w:val="0"/>
          <w:color w:val="000000"/>
          <w:spacing w:val="0"/>
          <w:sz w:val="32"/>
          <w:szCs w:val="32"/>
          <w:shd w:val="clear" w:fill="FFFFFF"/>
        </w:rPr>
        <w:t>地址：山东省淄博市淄川区般阳路230号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电话：0533-5282980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w:t>
      </w:r>
      <w:r>
        <w:rPr>
          <w:rFonts w:hint="default" w:ascii="Times New Roman" w:hAnsi="Times New Roman" w:eastAsia="仿宋_GB2312" w:cs="Times New Roman"/>
          <w:i w:val="0"/>
          <w:caps w:val="0"/>
          <w:color w:val="000000"/>
          <w:spacing w:val="0"/>
          <w:sz w:val="32"/>
          <w:szCs w:val="32"/>
          <w:u w:val="none"/>
          <w:shd w:val="clear" w:fill="FFFFFF"/>
        </w:rPr>
        <w:t>zcwhlyjbgs@zb.shandong.cn</w:t>
      </w:r>
      <w:r>
        <w:rPr>
          <w:rFonts w:hint="default" w:ascii="Times New Roman" w:hAnsi="Times New Roman" w:eastAsia="仿宋_GB2312" w:cs="Times New Roman"/>
          <w:i w:val="0"/>
          <w:caps w:val="0"/>
          <w:color w:val="000000"/>
          <w:spacing w:val="0"/>
          <w:sz w:val="32"/>
          <w:szCs w:val="32"/>
          <w:u w:val="none"/>
          <w:shd w:val="clear" w:fill="FFFFFF"/>
          <w:lang w:eastAsia="zh-CN"/>
        </w:rPr>
        <w:t>）。</w:t>
      </w:r>
    </w:p>
    <w:p>
      <w:pPr>
        <w:pStyle w:val="5"/>
        <w:keepNext w:val="0"/>
        <w:keepLines w:val="0"/>
        <w:pageBreakBefore w:val="0"/>
        <w:widowControl/>
        <w:numPr>
          <w:ilvl w:val="0"/>
          <w:numId w:val="1"/>
        </w:numPr>
        <w:kinsoku/>
        <w:wordWrap/>
        <w:overflowPunct/>
        <w:topLinePunct w:val="0"/>
        <w:autoSpaceDE w:val="0"/>
        <w:autoSpaceDN w:val="0"/>
        <w:bidi w:val="0"/>
        <w:adjustRightInd/>
        <w:snapToGrid/>
        <w:spacing w:before="0" w:beforeAutospacing="0" w:after="0" w:afterAutospacing="0" w:line="560" w:lineRule="exact"/>
        <w:ind w:firstLine="641"/>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总体情况</w:t>
      </w:r>
    </w:p>
    <w:p>
      <w:pPr>
        <w:pStyle w:val="5"/>
        <w:keepNext w:val="0"/>
        <w:keepLines w:val="0"/>
        <w:pageBreakBefore w:val="0"/>
        <w:widowControl/>
        <w:numPr>
          <w:ilvl w:val="0"/>
          <w:numId w:val="0"/>
        </w:numPr>
        <w:kinsoku/>
        <w:wordWrap/>
        <w:overflowPunct/>
        <w:topLinePunct w:val="0"/>
        <w:autoSpaceDE w:val="0"/>
        <w:autoSpaceDN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2022年，区文化和旅游局</w:t>
      </w:r>
      <w:r>
        <w:rPr>
          <w:rFonts w:hint="default" w:ascii="Times New Roman" w:hAnsi="Times New Roman" w:eastAsia="仿宋_GB2312" w:cs="Times New Roman"/>
          <w:color w:val="000000" w:themeColor="text1"/>
          <w:sz w:val="32"/>
          <w:szCs w:val="32"/>
          <w14:textFill>
            <w14:solidFill>
              <w14:schemeClr w14:val="tx1"/>
            </w14:solidFill>
          </w14:textFill>
        </w:rPr>
        <w:t>严格落实上级政务公开工作要点，深入推进公共文化服务、文物、旅游、广播电视、新闻出版版权等领域信息公开，</w:t>
      </w:r>
      <w:r>
        <w:rPr>
          <w:rFonts w:hint="default" w:ascii="Times New Roman" w:hAnsi="Times New Roman" w:eastAsia="仿宋_GB2312" w:cs="Times New Roman"/>
          <w:color w:val="000000"/>
          <w:sz w:val="32"/>
          <w:szCs w:val="32"/>
          <w:shd w:val="clear" w:color="auto" w:fill="FFFFFF"/>
        </w:rPr>
        <w:t>扎实做好</w:t>
      </w:r>
      <w:r>
        <w:rPr>
          <w:rFonts w:hint="default" w:ascii="Times New Roman" w:hAnsi="Times New Roman" w:eastAsia="仿宋_GB2312" w:cs="Times New Roman"/>
          <w:color w:val="000000"/>
          <w:sz w:val="32"/>
          <w:szCs w:val="32"/>
          <w:shd w:val="clear" w:color="auto" w:fill="FFFFFF"/>
          <w:lang w:eastAsia="zh-CN"/>
        </w:rPr>
        <w:t>各项</w:t>
      </w:r>
      <w:r>
        <w:rPr>
          <w:rFonts w:hint="default" w:ascii="Times New Roman" w:hAnsi="Times New Roman" w:eastAsia="仿宋_GB2312" w:cs="Times New Roman"/>
          <w:color w:val="000000"/>
          <w:sz w:val="32"/>
          <w:szCs w:val="32"/>
          <w:shd w:val="clear" w:color="auto" w:fill="FFFFFF"/>
        </w:rPr>
        <w:t>政府信息公开工作</w:t>
      </w:r>
      <w:r>
        <w:rPr>
          <w:rFonts w:hint="default" w:ascii="Times New Roman" w:hAnsi="Times New Roman" w:eastAsia="仿宋_GB2312" w:cs="Times New Roman"/>
          <w:color w:val="000000"/>
          <w:sz w:val="32"/>
          <w:szCs w:val="32"/>
          <w:shd w:val="clear" w:color="auto" w:fill="FFFFFF"/>
          <w:lang w:eastAsia="zh-CN"/>
        </w:rPr>
        <w:t>。</w:t>
      </w:r>
    </w:p>
    <w:p>
      <w:pPr>
        <w:pStyle w:val="4"/>
        <w:snapToGrid w:val="0"/>
        <w:spacing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1.主动公开情况。</w:t>
      </w:r>
      <w:r>
        <w:rPr>
          <w:rFonts w:hint="default" w:ascii="Times New Roman" w:hAnsi="Times New Roman" w:eastAsia="仿宋_GB2312" w:cs="Times New Roman"/>
          <w:color w:val="000000" w:themeColor="text1"/>
          <w14:textFill>
            <w14:solidFill>
              <w14:schemeClr w14:val="tx1"/>
            </w14:solidFill>
          </w14:textFill>
        </w:rPr>
        <w:t>2022年我局主动公开包括机构职能、权责清单、职责边界清单、文化旅游领域重要政策文件通知、年度总结及计划、重要部署执行情况、财政信息、行政执法公示、双随机一公开、公共文化服务、旅游服务、广播电视服务、新闻出版版权服务、政府信息公开年度报告和其他等20余项，共150余条信息。</w:t>
      </w:r>
    </w:p>
    <w:p>
      <w:pPr>
        <w:pStyle w:val="4"/>
        <w:keepNext w:val="0"/>
        <w:keepLines w:val="0"/>
        <w:pageBreakBefore w:val="0"/>
        <w:widowControl w:val="0"/>
        <w:kinsoku/>
        <w:wordWrap/>
        <w:overflowPunct/>
        <w:topLinePunct w:val="0"/>
        <w:autoSpaceDE w:val="0"/>
        <w:autoSpaceDN w:val="0"/>
        <w:bidi w:val="0"/>
        <w:adjustRightInd/>
        <w:snapToGrid w:val="0"/>
        <w:spacing w:line="240" w:lineRule="auto"/>
        <w:ind w:left="0" w:firstLine="640" w:firstLineChars="20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cs="Times New Roman"/>
        </w:rPr>
        <w:drawing>
          <wp:inline distT="0" distB="0" distL="114300" distR="114300">
            <wp:extent cx="5474970" cy="5387340"/>
            <wp:effectExtent l="0" t="0" r="1143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4970" cy="5387340"/>
                    </a:xfrm>
                    <a:prstGeom prst="rect">
                      <a:avLst/>
                    </a:prstGeom>
                    <a:noFill/>
                    <a:ln>
                      <a:noFill/>
                    </a:ln>
                  </pic:spPr>
                </pic:pic>
              </a:graphicData>
            </a:graphic>
          </wp:inline>
        </w:drawing>
      </w:r>
    </w:p>
    <w:p>
      <w:pPr>
        <w:pStyle w:val="4"/>
        <w:snapToGrid w:val="0"/>
        <w:spacing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2.依申请公开政府信息情况。</w:t>
      </w:r>
      <w:r>
        <w:rPr>
          <w:rFonts w:hint="default" w:ascii="Times New Roman" w:hAnsi="Times New Roman" w:eastAsia="仿宋_GB2312" w:cs="Times New Roman"/>
          <w:color w:val="000000" w:themeColor="text1"/>
          <w14:textFill>
            <w14:solidFill>
              <w14:schemeClr w14:val="tx1"/>
            </w14:solidFill>
          </w14:textFill>
        </w:rPr>
        <w:t>2022年我局共受理信息公开申请1件，严格按照法定程序在规定时限内给予了答复，没有因政府信息公开工作被申请行政复议和提起行政诉讼情况发生。</w:t>
      </w:r>
    </w:p>
    <w:p>
      <w:pPr>
        <w:pStyle w:val="4"/>
        <w:snapToGrid w:val="0"/>
        <w:spacing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3.政府信息管理情况</w:t>
      </w:r>
      <w:r>
        <w:rPr>
          <w:rFonts w:hint="default" w:ascii="Times New Roman" w:hAnsi="Times New Roman" w:eastAsia="仿宋_GB2312" w:cs="Times New Roman"/>
          <w:color w:val="000000" w:themeColor="text1"/>
          <w14:textFill>
            <w14:solidFill>
              <w14:schemeClr w14:val="tx1"/>
            </w14:solidFill>
          </w14:textFill>
        </w:rPr>
        <w:t>。2022年，我局进一步完善政府信息公开保密审查机制，对拟发布政府信息依法依规做好保密审查，明确职责，规范流程，确保安全；进一步规范政府信息公开批准程序，按照谁主管、谁负责的原则，明确政府网站是局政府信息公开的第一平台。</w:t>
      </w:r>
    </w:p>
    <w:p>
      <w:pPr>
        <w:pStyle w:val="4"/>
        <w:snapToGrid w:val="0"/>
        <w:spacing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4.平台建设情况。</w:t>
      </w:r>
      <w:r>
        <w:rPr>
          <w:rFonts w:hint="default" w:ascii="Times New Roman" w:hAnsi="Times New Roman" w:eastAsia="仿宋_GB2312" w:cs="Times New Roman"/>
          <w:color w:val="000000" w:themeColor="text1"/>
          <w14:textFill>
            <w14:solidFill>
              <w14:schemeClr w14:val="tx1"/>
            </w14:solidFill>
          </w14:textFill>
        </w:rPr>
        <w:t>通过局及局属事业单位微信公众号“淄川文化旅游”“淄川文化云”“淄川图书馆”“淄川文博”与区政府网站政务公开平台互为补充，及时向公众公开相关政策法规、新闻动态等信息。认真落实政府信息公开平台建设的有关要求，统一规范信息公开平台的名称、格式、页面设计和栏目设置等。</w:t>
      </w:r>
    </w:p>
    <w:p>
      <w:pPr>
        <w:pStyle w:val="4"/>
        <w:keepNext w:val="0"/>
        <w:keepLines w:val="0"/>
        <w:pageBreakBefore w:val="0"/>
        <w:widowControl w:val="0"/>
        <w:kinsoku/>
        <w:wordWrap/>
        <w:overflowPunct/>
        <w:topLinePunct w:val="0"/>
        <w:autoSpaceDE w:val="0"/>
        <w:autoSpaceDN w:val="0"/>
        <w:bidi w:val="0"/>
        <w:adjustRightInd/>
        <w:snapToGrid w:val="0"/>
        <w:spacing w:line="240" w:lineRule="auto"/>
        <w:ind w:left="0" w:firstLine="640" w:firstLineChars="20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cs="Times New Roman"/>
        </w:rPr>
        <w:drawing>
          <wp:inline distT="0" distB="0" distL="114300" distR="114300">
            <wp:extent cx="4076700" cy="3552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076700" cy="3552825"/>
                    </a:xfrm>
                    <a:prstGeom prst="rect">
                      <a:avLst/>
                    </a:prstGeom>
                    <a:noFill/>
                    <a:ln>
                      <a:noFill/>
                    </a:ln>
                  </pic:spPr>
                </pic:pic>
              </a:graphicData>
            </a:graphic>
          </wp:inline>
        </w:drawing>
      </w:r>
    </w:p>
    <w:p>
      <w:pPr>
        <w:pStyle w:val="4"/>
        <w:snapToGrid w:val="0"/>
        <w:spacing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5.监督保障情况。</w:t>
      </w:r>
      <w:r>
        <w:rPr>
          <w:rFonts w:hint="default" w:ascii="Times New Roman" w:hAnsi="Times New Roman" w:eastAsia="仿宋_GB2312" w:cs="Times New Roman"/>
          <w:color w:val="000000" w:themeColor="text1"/>
          <w14:textFill>
            <w14:solidFill>
              <w14:schemeClr w14:val="tx1"/>
            </w14:solidFill>
          </w14:textFill>
        </w:rPr>
        <w:t>我局成立政府信息公开领导小组，主要领导任组长，分管领导任副组长。平台发布的信息发布必须遵循相关的审核程序，负责平台内容人数有2人，其中专职1人，兼职1人。严格执行政府信息发布审核制度，规范网站信息发布流程。</w:t>
      </w:r>
    </w:p>
    <w:p>
      <w:pPr>
        <w:pStyle w:val="4"/>
        <w:snapToGrid w:val="0"/>
        <w:spacing w:line="600" w:lineRule="exact"/>
        <w:ind w:left="0"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二、主动公开政府信息情况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1949"/>
        <w:gridCol w:w="212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shd w:val="clear" w:color="auto" w:fill="C5D9F0"/>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p>
        </w:tc>
        <w:tc>
          <w:tcPr>
            <w:tcW w:w="3583" w:type="pct"/>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信息内容</w:t>
            </w:r>
          </w:p>
        </w:tc>
        <w:tc>
          <w:tcPr>
            <w:tcW w:w="110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本年制发件数</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本年废止件数</w:t>
            </w:r>
          </w:p>
        </w:tc>
        <w:tc>
          <w:tcPr>
            <w:tcW w:w="128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规章</w:t>
            </w:r>
          </w:p>
        </w:tc>
        <w:tc>
          <w:tcPr>
            <w:tcW w:w="110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128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行政规范性文件</w:t>
            </w:r>
          </w:p>
        </w:tc>
        <w:tc>
          <w:tcPr>
            <w:tcW w:w="110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128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行政许可</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行政处罚</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行政强制</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行政事业性收费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tcPr>
          <w:p>
            <w:pPr>
              <w:snapToGrid w:val="0"/>
              <w:spacing w:line="60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r>
    </w:tbl>
    <w:p>
      <w:pPr>
        <w:pStyle w:val="4"/>
        <w:snapToGrid w:val="0"/>
        <w:spacing w:line="600" w:lineRule="exact"/>
        <w:ind w:left="0"/>
        <w:jc w:val="both"/>
        <w:rPr>
          <w:rFonts w:hint="default" w:ascii="Times New Roman" w:hAnsi="Times New Roman" w:eastAsia="黑体" w:cs="Times New Roman"/>
          <w:color w:val="000000" w:themeColor="text1"/>
          <w14:textFill>
            <w14:solidFill>
              <w14:schemeClr w14:val="tx1"/>
            </w14:solidFill>
          </w14:textFill>
        </w:rPr>
      </w:pPr>
    </w:p>
    <w:p>
      <w:pPr>
        <w:pStyle w:val="4"/>
        <w:numPr>
          <w:ilvl w:val="0"/>
          <w:numId w:val="2"/>
        </w:numPr>
        <w:snapToGrid w:val="0"/>
        <w:spacing w:line="600" w:lineRule="exact"/>
        <w:ind w:left="0"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收到和处理政府信息公开申请情况</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pStyle w:val="4"/>
        <w:numPr>
          <w:ilvl w:val="0"/>
          <w:numId w:val="0"/>
        </w:numPr>
        <w:snapToGrid w:val="0"/>
        <w:spacing w:line="600" w:lineRule="exact"/>
        <w:ind w:leftChars="200"/>
        <w:jc w:val="both"/>
        <w:rPr>
          <w:rFonts w:hint="default" w:ascii="Times New Roman" w:hAnsi="Times New Roman" w:eastAsia="黑体" w:cs="Times New Roman"/>
          <w:color w:val="000000" w:themeColor="text1"/>
          <w14:textFill>
            <w14:solidFill>
              <w14:schemeClr w14:val="tx1"/>
            </w14:solidFill>
          </w14:textFill>
        </w:rPr>
      </w:pPr>
    </w:p>
    <w:p>
      <w:pPr>
        <w:pStyle w:val="4"/>
        <w:snapToGrid w:val="0"/>
        <w:spacing w:line="600" w:lineRule="exact"/>
        <w:ind w:left="0"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四、政府信息公开行政复议、行政诉讼情况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587"/>
        <w:gridCol w:w="587"/>
        <w:gridCol w:w="587"/>
        <w:gridCol w:w="594"/>
        <w:gridCol w:w="587"/>
        <w:gridCol w:w="587"/>
        <w:gridCol w:w="587"/>
        <w:gridCol w:w="587"/>
        <w:gridCol w:w="594"/>
        <w:gridCol w:w="588"/>
        <w:gridCol w:w="588"/>
        <w:gridCol w:w="588"/>
        <w:gridCol w:w="588"/>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64" w:type="pct"/>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行政复议</w:t>
            </w:r>
          </w:p>
        </w:tc>
        <w:tc>
          <w:tcPr>
            <w:tcW w:w="3335" w:type="pct"/>
            <w:gridSpan w:val="10"/>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结果维持</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结果纠正</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其他结果</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尚未审结</w:t>
            </w:r>
          </w:p>
        </w:tc>
        <w:tc>
          <w:tcPr>
            <w:tcW w:w="3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总计</w:t>
            </w:r>
          </w:p>
        </w:tc>
        <w:tc>
          <w:tcPr>
            <w:tcW w:w="1664" w:type="pct"/>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未经复议直接起诉</w:t>
            </w:r>
          </w:p>
        </w:tc>
        <w:tc>
          <w:tcPr>
            <w:tcW w:w="1671" w:type="pct"/>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p>
        </w:tc>
        <w:tc>
          <w:tcPr>
            <w:tcW w:w="3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尚未审结</w:t>
            </w: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总计</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尚未审结</w:t>
            </w:r>
          </w:p>
        </w:tc>
        <w:tc>
          <w:tcPr>
            <w:tcW w:w="34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eastAsia="黑体" w:cs="Times New Roman"/>
                <w:color w:val="000000" w:themeColor="text1"/>
                <w:sz w:val="21"/>
                <w:szCs w:val="24"/>
                <w14:textFill>
                  <w14:solidFill>
                    <w14:schemeClr w14:val="tx1"/>
                  </w14:solidFill>
                </w14:textFill>
              </w:rPr>
            </w:pPr>
            <w:r>
              <w:rPr>
                <w:rFonts w:hint="default" w:ascii="Times New Roman" w:hAnsi="Times New Roman" w:eastAsia="黑体" w:cs="Times New Roman"/>
                <w:color w:val="000000" w:themeColor="text1"/>
                <w:sz w:val="21"/>
                <w:szCs w:val="24"/>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c>
          <w:tcPr>
            <w:tcW w:w="34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hint="default" w:ascii="Times New Roman" w:hAnsi="Times New Roman" w:cs="Times New Roman"/>
                <w:color w:val="000000" w:themeColor="text1"/>
                <w:sz w:val="21"/>
                <w:szCs w:val="24"/>
                <w14:textFill>
                  <w14:solidFill>
                    <w14:schemeClr w14:val="tx1"/>
                  </w14:solidFill>
                </w14:textFill>
              </w:rPr>
            </w:pPr>
            <w:r>
              <w:rPr>
                <w:rFonts w:hint="default" w:ascii="Times New Roman" w:hAnsi="Times New Roman" w:cs="Times New Roman"/>
                <w:color w:val="000000" w:themeColor="text1"/>
                <w:sz w:val="21"/>
                <w:szCs w:val="24"/>
                <w14:textFill>
                  <w14:solidFill>
                    <w14:schemeClr w14:val="tx1"/>
                  </w14:solidFill>
                </w14:textFill>
              </w:rPr>
              <w:t>0</w:t>
            </w:r>
          </w:p>
        </w:tc>
      </w:tr>
    </w:tbl>
    <w:p>
      <w:pPr>
        <w:pStyle w:val="4"/>
        <w:snapToGrid w:val="0"/>
        <w:spacing w:line="600" w:lineRule="exact"/>
        <w:ind w:left="0" w:firstLine="636"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pacing w:val="-1"/>
          <w14:textFill>
            <w14:solidFill>
              <w14:schemeClr w14:val="tx1"/>
            </w14:solidFill>
          </w14:textFill>
        </w:rPr>
        <w:t>五、存在的主要问题及改进情况</w:t>
      </w:r>
    </w:p>
    <w:p>
      <w:pPr>
        <w:pStyle w:val="4"/>
        <w:snapToGrid w:val="0"/>
        <w:spacing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存在问题：</w:t>
      </w:r>
      <w:r>
        <w:rPr>
          <w:rFonts w:hint="default" w:ascii="Times New Roman" w:hAnsi="Times New Roman" w:eastAsia="仿宋_GB2312" w:cs="Times New Roman"/>
          <w:color w:val="000000" w:themeColor="text1"/>
          <w14:textFill>
            <w14:solidFill>
              <w14:schemeClr w14:val="tx1"/>
            </w14:solidFill>
          </w14:textFill>
        </w:rPr>
        <w:t>一是部分业务科室工作人员对</w:t>
      </w:r>
      <w:r>
        <w:rPr>
          <w:rFonts w:hint="default" w:ascii="Times New Roman" w:hAnsi="Times New Roman" w:cs="Times New Roman"/>
          <w:color w:val="000000"/>
        </w:rPr>
        <w:t>政府信息公开工作不够重视</w:t>
      </w:r>
      <w:r>
        <w:rPr>
          <w:rFonts w:hint="default" w:ascii="Times New Roman" w:hAnsi="Times New Roman" w:eastAsia="仿宋_GB2312" w:cs="Times New Roman"/>
          <w:color w:val="000000" w:themeColor="text1"/>
          <w14:textFill>
            <w14:solidFill>
              <w14:schemeClr w14:val="tx1"/>
            </w14:solidFill>
          </w14:textFill>
        </w:rPr>
        <w:t>，主动公开意识不强。造成政府信息公开工作存在一定程度的闭塞，不利于政府信息的公开。二是政府信息公开内容的全面性不足，规范性不强。</w:t>
      </w:r>
    </w:p>
    <w:p>
      <w:pPr>
        <w:pStyle w:val="4"/>
        <w:snapToGrid w:val="0"/>
        <w:spacing w:line="600" w:lineRule="exact"/>
        <w:ind w:left="0" w:firstLine="640" w:firstLineChars="200"/>
        <w:jc w:val="both"/>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改进情况：</w:t>
      </w:r>
      <w:r>
        <w:rPr>
          <w:rFonts w:hint="default" w:ascii="Times New Roman" w:hAnsi="Times New Roman" w:eastAsia="仿宋_GB2312" w:cs="Times New Roman"/>
          <w:color w:val="000000" w:themeColor="text1"/>
          <w14:textFill>
            <w14:solidFill>
              <w14:schemeClr w14:val="tx1"/>
            </w14:solidFill>
          </w14:textFill>
        </w:rPr>
        <w:t>一是加强政府信息公开工作的重视程度。进一步建立健全内外并举的监督制约体系和督察督办工作机制，二是提升政务信息公开内容的全面性和规范性。依照国家法规和政策，全面规范政务公开工作。</w:t>
      </w:r>
    </w:p>
    <w:p>
      <w:pPr>
        <w:pStyle w:val="4"/>
        <w:snapToGrid w:val="0"/>
        <w:spacing w:line="600" w:lineRule="exact"/>
        <w:ind w:left="0" w:firstLine="636" w:firstLineChars="200"/>
        <w:jc w:val="both"/>
        <w:rPr>
          <w:rFonts w:hint="default" w:ascii="Times New Roman" w:hAnsi="Times New Roman" w:eastAsia="仿宋_GB2312" w:cs="Times New Roman"/>
          <w:color w:val="000000" w:themeColor="text1"/>
          <w:spacing w:val="-1"/>
          <w14:textFill>
            <w14:solidFill>
              <w14:schemeClr w14:val="tx1"/>
            </w14:solidFill>
          </w14:textFill>
        </w:rPr>
      </w:pPr>
      <w:r>
        <w:rPr>
          <w:rFonts w:hint="default" w:ascii="Times New Roman" w:hAnsi="Times New Roman" w:eastAsia="黑体" w:cs="Times New Roman"/>
          <w:color w:val="000000" w:themeColor="text1"/>
          <w:spacing w:val="-1"/>
          <w14:textFill>
            <w14:solidFill>
              <w14:schemeClr w14:val="tx1"/>
            </w14:solidFill>
          </w14:textFill>
        </w:rPr>
        <w:t>六、其他需要报告的事项</w:t>
      </w:r>
    </w:p>
    <w:p>
      <w:pPr>
        <w:widowControl/>
        <w:shd w:val="clear" w:color="auto" w:fill="FFFFFF"/>
        <w:autoSpaceDE/>
        <w:autoSpaceDN/>
        <w:snapToGrid w:val="0"/>
        <w:spacing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1.收取信息处理费情况。</w:t>
      </w:r>
      <w:r>
        <w:rPr>
          <w:rFonts w:hint="default" w:ascii="Times New Roman" w:hAnsi="Times New Roman" w:eastAsia="仿宋_GB2312" w:cs="Times New Roman"/>
          <w:color w:val="000000"/>
          <w:sz w:val="32"/>
          <w:szCs w:val="32"/>
        </w:rPr>
        <w:t>收取信息处理费情况。</w:t>
      </w:r>
      <w:r>
        <w:rPr>
          <w:rFonts w:hint="default" w:ascii="Times New Roman" w:hAnsi="Times New Roman" w:eastAsia="仿宋_GB2312" w:cs="Times New Roman"/>
          <w:color w:val="000000"/>
          <w:sz w:val="32"/>
          <w:szCs w:val="32"/>
          <w:shd w:val="clear" w:color="auto" w:fill="FFFFFF"/>
        </w:rPr>
        <w:t>按照《国务院办公厅关于印发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shd w:val="clear" w:color="auto" w:fill="FFFFFF"/>
        </w:rPr>
        <w:t>政府信息公开信息处理费管理办法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shd w:val="clear" w:color="auto" w:fill="FFFFFF"/>
        </w:rPr>
        <w: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color w:val="000000" w:themeColor="text1"/>
          <w:sz w:val="32"/>
          <w:szCs w:val="32"/>
          <w14:textFill>
            <w14:solidFill>
              <w14:schemeClr w14:val="tx1"/>
            </w14:solidFill>
          </w14:textFill>
        </w:rPr>
        <w:t>2022年本机关依申请公开政府信息未收取任何费用。</w:t>
      </w:r>
    </w:p>
    <w:p>
      <w:pPr>
        <w:pStyle w:val="5"/>
        <w:widowControl/>
        <w:snapToGrid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2.落实上级年度政务公开工作要点情况。</w:t>
      </w:r>
      <w:r>
        <w:rPr>
          <w:rFonts w:hint="default" w:ascii="Times New Roman" w:hAnsi="Times New Roman" w:eastAsia="仿宋_GB2312" w:cs="Times New Roman"/>
          <w:color w:val="000000" w:themeColor="text1"/>
          <w:sz w:val="32"/>
          <w:szCs w:val="32"/>
          <w14:textFill>
            <w14:solidFill>
              <w14:schemeClr w14:val="tx1"/>
            </w14:solidFill>
          </w14:textFill>
        </w:rPr>
        <w:t>严格落实上级政务公开工作要点，根据文化旅游领域公开目录要求，深入推进公共文化服务、文物、旅游、广播电视、新闻出版版权等领域信息公开工作，重点公开了群众文化活动、公共文化场馆、文物保护单位、A级旅游景区名录、旅行社名录、提示警示、应急预案、文化旅游宣传等方面的内容。</w:t>
      </w:r>
    </w:p>
    <w:p>
      <w:pPr>
        <w:pStyle w:val="5"/>
        <w:widowControl/>
        <w:snapToGrid w:val="0"/>
        <w:spacing w:beforeAutospacing="0" w:afterAutospacing="0" w:line="600" w:lineRule="exact"/>
        <w:ind w:firstLine="640" w:firstLineChars="200"/>
        <w:jc w:val="both"/>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楷体_GB2312" w:cs="Times New Roman"/>
          <w:color w:val="000000" w:themeColor="text1"/>
          <w:sz w:val="32"/>
          <w:szCs w:val="32"/>
          <w14:textFill>
            <w14:solidFill>
              <w14:schemeClr w14:val="tx1"/>
            </w14:solidFill>
          </w14:textFill>
        </w:rPr>
        <w:t>3.人大建议和政协提案办理结果公开情况。</w:t>
      </w:r>
      <w:r>
        <w:rPr>
          <w:rFonts w:hint="default" w:ascii="Times New Roman" w:hAnsi="Times New Roman" w:eastAsia="仿宋_GB2312" w:cs="Times New Roman"/>
          <w:i w:val="0"/>
          <w:caps w:val="0"/>
          <w:color w:val="000000"/>
          <w:spacing w:val="0"/>
          <w:sz w:val="32"/>
          <w:szCs w:val="32"/>
          <w:shd w:val="clear" w:fill="FFFFFF"/>
        </w:rPr>
        <w:t>2022年区文化和旅游局收到人大建议1件，政协提案0件，人大建议答复文件按法定程序面复代表，面复率100%，办复率100%，代表满意率达100%。2022年未有上级建议提案办理任务。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楷体_GB2312" w:cs="楷体_GB2312"/>
          <w:color w:val="000000" w:themeColor="text1"/>
          <w:kern w:val="0"/>
          <w:sz w:val="32"/>
          <w:szCs w:val="32"/>
          <w:lang w:val="en-US" w:eastAsia="zh-CN" w:bidi="ar-SA"/>
          <w14:textFill>
            <w14:solidFill>
              <w14:schemeClr w14:val="tx1"/>
            </w14:solidFill>
          </w14:textFill>
        </w:rPr>
        <w:t>4.政务公开工作创新情况。</w:t>
      </w:r>
      <w:r>
        <w:rPr>
          <w:rFonts w:hint="eastAsia" w:ascii="Times New Roman" w:hAnsi="Times New Roman" w:eastAsia="仿宋_GB2312" w:cs="仿宋_GB2312"/>
          <w:i w:val="0"/>
          <w:caps w:val="0"/>
          <w:color w:val="000000" w:themeColor="text1"/>
          <w:spacing w:val="0"/>
          <w:kern w:val="0"/>
          <w:sz w:val="32"/>
          <w:szCs w:val="32"/>
          <w:lang w:val="en-US" w:eastAsia="zh-CN" w:bidi="ar-SA"/>
          <w14:textFill>
            <w14:solidFill>
              <w14:schemeClr w14:val="tx1"/>
            </w14:solidFill>
          </w14:textFill>
        </w:rPr>
        <w:t>2022年，我局充分发挥互联网传播快、效率高、受众广的优势，在政务公开网站的基础上，充分利用微信公众号、服务对象微信群，加大信息公开力度，不断增强政府工作透明度，切实保障群众对政府工作的知情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楷体_GB2312" w:cs="楷体_GB2312"/>
          <w:color w:val="000000" w:themeColor="text1"/>
          <w:kern w:val="0"/>
          <w:sz w:val="32"/>
          <w:szCs w:val="32"/>
          <w:lang w:val="en-US" w:eastAsia="zh-CN" w:bidi="ar-SA"/>
          <w14:textFill>
            <w14:solidFill>
              <w14:schemeClr w14:val="tx1"/>
            </w14:solidFill>
          </w14:textFill>
        </w:rPr>
        <w:t>5.年报数据统计需要说明的事项。</w:t>
      </w:r>
      <w:r>
        <w:rPr>
          <w:rFonts w:hint="eastAsia" w:ascii="Times New Roman" w:hAnsi="Times New Roman" w:eastAsia="仿宋_GB2312" w:cs="仿宋_GB2312"/>
          <w:i w:val="0"/>
          <w:caps w:val="0"/>
          <w:color w:val="000000" w:themeColor="text1"/>
          <w:spacing w:val="0"/>
          <w:kern w:val="0"/>
          <w:sz w:val="32"/>
          <w:szCs w:val="32"/>
          <w:lang w:val="en-US" w:eastAsia="zh-CN" w:bidi="ar-SA"/>
          <w14:textFill>
            <w14:solidFill>
              <w14:schemeClr w14:val="tx1"/>
            </w14:solidFill>
          </w14:textFill>
        </w:rPr>
        <w:t>无。</w:t>
      </w:r>
    </w:p>
    <w:p>
      <w:pPr>
        <w:pStyle w:val="5"/>
        <w:widowControl/>
        <w:snapToGrid w:val="0"/>
        <w:spacing w:beforeAutospacing="0" w:afterAutospacing="0" w:line="600" w:lineRule="exact"/>
        <w:ind w:firstLine="640" w:firstLineChars="200"/>
        <w:jc w:val="both"/>
        <w:rPr>
          <w:rFonts w:hint="default" w:ascii="Times New Roman" w:hAnsi="Times New Roman" w:eastAsia="仿宋_GB2312" w:cs="Times New Roman"/>
          <w:i w:val="0"/>
          <w:caps w:val="0"/>
          <w:color w:val="000000"/>
          <w:spacing w:val="0"/>
          <w:sz w:val="32"/>
          <w:szCs w:val="32"/>
          <w:shd w:val="clear" w:fill="FFFFFF"/>
        </w:rPr>
      </w:pPr>
    </w:p>
    <w:p>
      <w:pPr>
        <w:pStyle w:val="5"/>
        <w:widowControl/>
        <w:snapToGrid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p>
    <w:p>
      <w:pPr>
        <w:pStyle w:val="5"/>
        <w:widowControl/>
        <w:snapToGrid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p>
    <w:p>
      <w:pPr>
        <w:pStyle w:val="5"/>
        <w:widowControl/>
        <w:snapToGrid w:val="0"/>
        <w:spacing w:beforeAutospacing="0" w:afterAutospacing="0" w:line="600" w:lineRule="exact"/>
        <w:ind w:firstLine="4480" w:firstLineChars="14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淄博市淄川区文化和旅游局</w:t>
      </w:r>
    </w:p>
    <w:p>
      <w:pPr>
        <w:pStyle w:val="5"/>
        <w:widowControl/>
        <w:snapToGrid w:val="0"/>
        <w:spacing w:beforeAutospacing="0" w:afterAutospacing="0" w:line="600" w:lineRule="exact"/>
        <w:ind w:firstLine="5440" w:firstLineChars="17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2023年1月12日</w:t>
      </w:r>
    </w:p>
    <w:p>
      <w:pPr>
        <w:pStyle w:val="4"/>
        <w:snapToGrid w:val="0"/>
        <w:spacing w:line="600" w:lineRule="exact"/>
        <w:ind w:left="0"/>
        <w:jc w:val="both"/>
        <w:rPr>
          <w:rFonts w:hint="default" w:ascii="Times New Roman" w:hAnsi="Times New Roman" w:eastAsia="仿宋_GB2312" w:cs="Times New Roman"/>
          <w:spacing w:val="-1"/>
        </w:rPr>
      </w:pPr>
    </w:p>
    <w:sectPr>
      <w:pgSz w:w="11910" w:h="16840"/>
      <w:pgMar w:top="1500" w:right="1640" w:bottom="280" w:left="16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86173"/>
    <w:multiLevelType w:val="singleLevel"/>
    <w:tmpl w:val="8C386173"/>
    <w:lvl w:ilvl="0" w:tentative="0">
      <w:start w:val="1"/>
      <w:numFmt w:val="chineseCounting"/>
      <w:suff w:val="nothing"/>
      <w:lvlText w:val="%1、"/>
      <w:lvlJc w:val="left"/>
      <w:rPr>
        <w:rFonts w:hint="eastAsia"/>
      </w:rPr>
    </w:lvl>
  </w:abstractNum>
  <w:abstractNum w:abstractNumId="1">
    <w:nsid w:val="9EAB4D55"/>
    <w:multiLevelType w:val="singleLevel"/>
    <w:tmpl w:val="9EAB4D5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jOGYzZTA2MmFjYjg2NjhiNWNlZjIxNjMxMTg4ZDAifQ=="/>
  </w:docVars>
  <w:rsids>
    <w:rsidRoot w:val="00D82B04"/>
    <w:rsid w:val="008D6DE6"/>
    <w:rsid w:val="00D82B04"/>
    <w:rsid w:val="01822573"/>
    <w:rsid w:val="04611584"/>
    <w:rsid w:val="16836181"/>
    <w:rsid w:val="1AF31C46"/>
    <w:rsid w:val="1F672DAF"/>
    <w:rsid w:val="1FAF095A"/>
    <w:rsid w:val="210C2F2F"/>
    <w:rsid w:val="22AA48F1"/>
    <w:rsid w:val="24185E4F"/>
    <w:rsid w:val="26735D8C"/>
    <w:rsid w:val="29FF65A7"/>
    <w:rsid w:val="337B0E24"/>
    <w:rsid w:val="3AD45650"/>
    <w:rsid w:val="3B7F6B83"/>
    <w:rsid w:val="3DAA33FF"/>
    <w:rsid w:val="40F462E2"/>
    <w:rsid w:val="4D2F660B"/>
    <w:rsid w:val="4EDD5732"/>
    <w:rsid w:val="581B1CA2"/>
    <w:rsid w:val="58B77EC9"/>
    <w:rsid w:val="5E0E058B"/>
    <w:rsid w:val="604410DF"/>
    <w:rsid w:val="616A7CEE"/>
    <w:rsid w:val="76B47582"/>
    <w:rsid w:val="7C7E11C6"/>
    <w:rsid w:val="7CE96309"/>
    <w:rsid w:val="7D235E65"/>
    <w:rsid w:val="7D91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3"/>
    <w:basedOn w:val="1"/>
    <w:next w:val="1"/>
    <w:qFormat/>
    <w:uiPriority w:val="99"/>
    <w:pPr>
      <w:spacing w:before="100" w:beforeAutospacing="1" w:after="100" w:afterAutospacing="1"/>
      <w:outlineLvl w:val="2"/>
    </w:pPr>
    <w:rPr>
      <w:rFonts w:hAnsi="Times New Roman" w:cs="Times New Roman"/>
      <w:b/>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pPr>
      <w:ind w:left="800"/>
    </w:pPr>
    <w:rPr>
      <w:sz w:val="32"/>
      <w:szCs w:val="32"/>
    </w:rPr>
  </w:style>
  <w:style w:type="paragraph" w:styleId="5">
    <w:name w:val="Normal (Web)"/>
    <w:basedOn w:val="1"/>
    <w:qFormat/>
    <w:uiPriority w:val="0"/>
    <w:pPr>
      <w:spacing w:beforeAutospacing="1" w:afterAutospacing="1"/>
    </w:pPr>
    <w:rPr>
      <w:rFonts w:cs="Times New Roman"/>
      <w:sz w:val="24"/>
    </w:rPr>
  </w:style>
  <w:style w:type="paragraph" w:styleId="6">
    <w:name w:val="Title"/>
    <w:basedOn w:val="1"/>
    <w:qFormat/>
    <w:uiPriority w:val="1"/>
    <w:pPr>
      <w:spacing w:before="18"/>
      <w:ind w:left="3052" w:right="329" w:hanging="2722"/>
    </w:pPr>
    <w:rPr>
      <w:rFonts w:ascii="微软雅黑" w:hAnsi="微软雅黑" w:eastAsia="微软雅黑" w:cs="微软雅黑"/>
      <w:b/>
      <w:bCs/>
      <w:sz w:val="42"/>
      <w:szCs w:val="42"/>
    </w:r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182"/>
      <w:ind w:left="29"/>
    </w:pPr>
  </w:style>
  <w:style w:type="paragraph" w:customStyle="1" w:styleId="13">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2414</Words>
  <Characters>2545</Characters>
  <Lines>20</Lines>
  <Paragraphs>5</Paragraphs>
  <TotalTime>0</TotalTime>
  <ScaleCrop>false</ScaleCrop>
  <LinksUpToDate>false</LinksUpToDate>
  <CharactersWithSpaces>2583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2022-01-14T08:46:00Z</dcterms:created>
  <dc:creator>徐汪</dc:creator>
  <cp:lastModifiedBy>银杏果</cp:lastModifiedBy>
  <dcterms:modified xsi:type="dcterms:W3CDTF">2023-02-14T01:22:56Z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WPS 文字</vt:lpwstr>
  </property>
  <property fmtid="{D5CDD505-2E9C-101B-9397-08002B2CF9AE}" pid="4" name="LastSaved">
    <vt:filetime>2022-01-14T00:00:00Z</vt:filetime>
  </property>
  <property fmtid="{D5CDD505-2E9C-101B-9397-08002B2CF9AE}" pid="5" name="KSOProductBuildVer">
    <vt:lpwstr>2052-11.8.6.8810</vt:lpwstr>
  </property>
  <property fmtid="{D5CDD505-2E9C-101B-9397-08002B2CF9AE}" pid="6" name="ICV">
    <vt:lpwstr>FE7A4362BEBF4B67BE86C9D8278B3864</vt:lpwstr>
  </property>
</Properties>
</file>