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700" w:lineRule="exact"/>
        <w:jc w:val="center"/>
        <w:rPr>
          <w:rFonts w:ascii="Times New Roman" w:hAnsi="Times New Roman" w:eastAsia="方正小标宋简体"/>
          <w:bCs/>
          <w:color w:val="333333"/>
          <w:spacing w:val="-17"/>
          <w:sz w:val="44"/>
          <w:szCs w:val="44"/>
          <w:shd w:val="clear" w:color="auto" w:fill="FFFFFF"/>
        </w:rPr>
      </w:pPr>
      <w:r>
        <w:rPr>
          <w:rFonts w:ascii="Times New Roman" w:hAnsi="Times New Roman" w:eastAsia="方正小标宋简体"/>
          <w:bCs/>
          <w:color w:val="333333"/>
          <w:spacing w:val="-17"/>
          <w:sz w:val="44"/>
          <w:szCs w:val="44"/>
          <w:shd w:val="clear" w:color="auto" w:fill="FFFFFF"/>
        </w:rPr>
        <w:t>淄博市淄川区卫生健康局</w:t>
      </w:r>
    </w:p>
    <w:p>
      <w:pPr>
        <w:pStyle w:val="4"/>
        <w:widowControl/>
        <w:shd w:val="clear" w:color="auto" w:fill="FFFFFF"/>
        <w:spacing w:before="0" w:beforeAutospacing="0" w:after="0" w:afterAutospacing="0" w:line="700" w:lineRule="exact"/>
        <w:jc w:val="center"/>
        <w:rPr>
          <w:rFonts w:ascii="Times New Roman" w:hAnsi="Times New Roman" w:eastAsia="方正小标宋简体"/>
          <w:bCs/>
          <w:color w:val="333333"/>
          <w:sz w:val="44"/>
          <w:szCs w:val="44"/>
          <w:shd w:val="clear" w:color="auto" w:fill="FFFFFF"/>
        </w:rPr>
      </w:pPr>
      <w:r>
        <w:rPr>
          <w:rFonts w:ascii="Times New Roman" w:hAnsi="Times New Roman" w:eastAsia="方正小标宋简体"/>
          <w:bCs/>
          <w:color w:val="333333"/>
          <w:spacing w:val="-17"/>
          <w:sz w:val="44"/>
          <w:szCs w:val="44"/>
          <w:shd w:val="clear" w:color="auto" w:fill="FFFFFF"/>
        </w:rPr>
        <w:t>2023年政府信息公开工作</w:t>
      </w:r>
      <w:r>
        <w:rPr>
          <w:rFonts w:ascii="Times New Roman" w:hAnsi="Times New Roman" w:eastAsia="方正小标宋简体"/>
          <w:bCs/>
          <w:color w:val="333333"/>
          <w:sz w:val="44"/>
          <w:szCs w:val="44"/>
          <w:shd w:val="clear" w:color="auto" w:fill="FFFFFF"/>
        </w:rPr>
        <w:t>年度报告</w:t>
      </w:r>
    </w:p>
    <w:p>
      <w:pPr>
        <w:pStyle w:val="4"/>
        <w:widowControl/>
        <w:shd w:val="clear" w:color="auto" w:fill="FFFFFF"/>
        <w:spacing w:before="0" w:beforeAutospacing="0" w:after="0" w:afterAutospacing="0" w:line="700" w:lineRule="exact"/>
        <w:jc w:val="center"/>
        <w:rPr>
          <w:rFonts w:ascii="Times New Roman" w:hAnsi="Times New Roman" w:eastAsia="方正小标宋简体"/>
          <w:bCs/>
          <w:color w:val="333333"/>
          <w:sz w:val="44"/>
          <w:szCs w:val="44"/>
          <w:shd w:val="clear" w:color="auto" w:fill="FFFFFF"/>
        </w:rPr>
      </w:pP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本年度报告中所列数据的统计期限自2023年1月1日起，至2023年12月31日止。如对报告内容有疑问，请与淄川区卫生健康局联系。地址：山东省淄博市淄川区松龄东路3号；邮箱：255100；电话：0533-5180077；电子邮箱：</w:t>
      </w:r>
      <w:r>
        <w:fldChar w:fldCharType="begin"/>
      </w:r>
      <w:r>
        <w:instrText xml:space="preserve"> HYPERLINK "mailto:zcwjjxxk@zb.shandong.cn）" </w:instrText>
      </w:r>
      <w:r>
        <w:fldChar w:fldCharType="separate"/>
      </w:r>
      <w:r>
        <w:rPr>
          <w:rFonts w:ascii="Times New Roman" w:hAnsi="Times New Roman" w:eastAsia="仿宋_GB2312"/>
          <w:color w:val="000000"/>
          <w:sz w:val="32"/>
          <w:szCs w:val="32"/>
        </w:rPr>
        <w:t>zcwjjxxk@zb.shandong.cn</w:t>
      </w:r>
      <w:r>
        <w:rPr>
          <w:rFonts w:ascii="Times New Roman" w:hAnsi="Times New Roman" w:eastAsia="仿宋_GB2312"/>
          <w:color w:val="000000"/>
          <w:sz w:val="32"/>
          <w:szCs w:val="32"/>
        </w:rPr>
        <w:fldChar w:fldCharType="end"/>
      </w:r>
    </w:p>
    <w:p>
      <w:pPr>
        <w:pStyle w:val="4"/>
        <w:widowControl/>
        <w:shd w:val="clear" w:color="auto" w:fill="FFFFFF"/>
        <w:spacing w:before="0" w:beforeAutospacing="0" w:after="0" w:afterAutospacing="0"/>
        <w:ind w:firstLine="643" w:firstLineChars="200"/>
        <w:jc w:val="both"/>
        <w:rPr>
          <w:rFonts w:ascii="Times New Roman" w:hAnsi="Times New Roman" w:eastAsia="黑体"/>
          <w:color w:val="333333"/>
          <w:sz w:val="32"/>
          <w:szCs w:val="32"/>
        </w:rPr>
      </w:pPr>
      <w:r>
        <w:rPr>
          <w:rFonts w:ascii="Times New Roman" w:hAnsi="Times New Roman" w:eastAsia="黑体"/>
          <w:b/>
          <w:color w:val="333333"/>
          <w:sz w:val="32"/>
          <w:szCs w:val="32"/>
          <w:shd w:val="clear" w:color="auto" w:fill="FFFFFF"/>
        </w:rPr>
        <w:t>一、总体情况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2023年淄川区卫生健康局全面贯彻落实党的二十大精神，根据《淄川区人民政府办公室关于印发2023年淄川区政务公开工作方案的通知》（川政办字</w:t>
      </w:r>
      <w:r>
        <w:rPr>
          <w:rFonts w:ascii="Times New Roman" w:hAnsi="Times New Roman" w:eastAsia="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2023</w:t>
      </w:r>
      <w:r>
        <w:rPr>
          <w:rFonts w:ascii="Times New Roman" w:hAnsi="Times New Roman" w:eastAsia="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23号）要求，以公开公正、便民高效、优质规范为主要目标，认真抓好政务公开工作，推动卫生健康事业发展。现将我局2023年政务公开情况报告如下：</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1.主动公开方面</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淄川区卫生健康局共公开发布信息1172条，其中政策文件18条，政府工作报告及民生实事进展情况10条，行政执法信息公示42条，医疗服务类信息124条，人员招聘公示32条，下属医疗机构累计发布更新信息800余条。</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2.依申请公开方面</w:t>
      </w:r>
    </w:p>
    <w:p>
      <w:pPr>
        <w:ind w:firstLine="640" w:firstLineChars="20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2023年，我单位未收到政府信息公开申请件。</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3.政府信息管理方面</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完善监督检查信息专栏和医疗卫生等栏目建设。以“聚焦群众需求、主动依法公开”为原则，定期在区政府政务公开目录公开政务服务信息、预决算信息、办事指南等，指导局直属单位完成预决算信息公开。依托门户网站“医疗卫生”栏目公开医疗资源概况、床位数、大型医疗设备资源等，主动接受社会监督。为进一步规范医疗卫生机构信息发布工作，各医疗机构创新院务公开形式，以单位网站、微信公众号、宣传栏、宣传海报及单张等多位一体的宣传模式，加强对就医流程、医疗服务、医疗收费和健康宣教等信息公开与宣传。</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4.平台建设方面</w:t>
      </w:r>
    </w:p>
    <w:p>
      <w:pPr>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通过区政府网站发布信息，根据政务公开工作要点及时调整优化政府信息公开平台栏目。充分发挥政务新媒体推介宣传作用，“淄川卫生健康”公众号每周发布工作动态。截至目前，关注人数11110人，全年发布图文、视频资料187条</w:t>
      </w:r>
      <w:r>
        <w:rPr>
          <w:rFonts w:hint="eastAsia" w:ascii="Times New Roman" w:hAnsi="Times New Roman" w:eastAsia="仿宋_GB2312"/>
          <w:color w:val="000000" w:themeColor="text1"/>
          <w:sz w:val="32"/>
          <w:szCs w:val="32"/>
          <w14:textFill>
            <w14:solidFill>
              <w14:schemeClr w14:val="tx1"/>
            </w14:solidFill>
          </w14:textFill>
        </w:rPr>
        <w:t>。</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5.监督保障方面</w:t>
      </w:r>
    </w:p>
    <w:p>
      <w:pPr>
        <w:ind w:firstLine="640" w:firstLineChars="200"/>
        <w:rPr>
          <w:rFonts w:ascii="Times New Roman" w:hAnsi="Times New Roman" w:eastAsia="黑体"/>
          <w:bCs/>
          <w:color w:val="333333"/>
          <w:sz w:val="32"/>
          <w:szCs w:val="32"/>
          <w:shd w:val="clear" w:color="auto" w:fill="FFFFFF"/>
        </w:rPr>
      </w:pPr>
      <w:r>
        <w:rPr>
          <w:rFonts w:ascii="Times New Roman" w:hAnsi="Times New Roman" w:eastAsia="仿宋_GB2312"/>
          <w:color w:val="000000" w:themeColor="text1"/>
          <w:sz w:val="32"/>
          <w:szCs w:val="32"/>
          <w14:textFill>
            <w14:solidFill>
              <w14:schemeClr w14:val="tx1"/>
            </w14:solidFill>
          </w14:textFill>
        </w:rPr>
        <w:t>根据政务公开工作要求，落实一级要点和二级要点合计30余项工作任务到具体科室，明确工作要求，组织开展政务公开业务培训2次，加强网络和新媒体管理舆情监控，并制定和完善相关配套制度。</w:t>
      </w:r>
    </w:p>
    <w:p>
      <w:pPr>
        <w:pStyle w:val="4"/>
        <w:widowControl/>
        <w:shd w:val="clear" w:color="auto" w:fill="FFFFFF"/>
        <w:spacing w:before="0" w:beforeAutospacing="0" w:after="0" w:afterAutospacing="0"/>
        <w:ind w:firstLine="640" w:firstLineChars="200"/>
        <w:jc w:val="both"/>
        <w:rPr>
          <w:rFonts w:ascii="Times New Roman" w:hAnsi="Times New Roman" w:eastAsia="黑体"/>
          <w:bCs/>
          <w:color w:val="333333"/>
          <w:sz w:val="32"/>
          <w:szCs w:val="32"/>
          <w:shd w:val="clear" w:color="auto" w:fill="FFFFFF"/>
        </w:rPr>
      </w:pPr>
      <w:r>
        <w:rPr>
          <w:rFonts w:ascii="Times New Roman" w:hAnsi="Times New Roman" w:eastAsia="黑体"/>
          <w:bCs/>
          <w:color w:val="333333"/>
          <w:sz w:val="32"/>
          <w:szCs w:val="32"/>
          <w:shd w:val="clear" w:color="auto" w:fill="FFFFFF"/>
        </w:rPr>
        <w:t>二、主动公开政府信息情况</w:t>
      </w:r>
    </w:p>
    <w:tbl>
      <w:tblPr>
        <w:tblStyle w:val="5"/>
        <w:tblpPr w:leftFromText="180" w:rightFromText="180" w:vertAnchor="text" w:horzAnchor="page" w:tblpX="2202" w:tblpY="695"/>
        <w:tblOverlap w:val="never"/>
        <w:tblW w:w="7905" w:type="dxa"/>
        <w:tblInd w:w="0" w:type="dxa"/>
        <w:tblLayout w:type="fixed"/>
        <w:tblCellMar>
          <w:top w:w="0" w:type="dxa"/>
          <w:left w:w="108" w:type="dxa"/>
          <w:bottom w:w="0" w:type="dxa"/>
          <w:right w:w="108" w:type="dxa"/>
        </w:tblCellMar>
      </w:tblPr>
      <w:tblGrid>
        <w:gridCol w:w="1875"/>
        <w:gridCol w:w="1875"/>
        <w:gridCol w:w="1875"/>
        <w:gridCol w:w="2280"/>
      </w:tblGrid>
      <w:tr>
        <w:tblPrEx>
          <w:tblCellMar>
            <w:top w:w="0" w:type="dxa"/>
            <w:left w:w="108" w:type="dxa"/>
            <w:bottom w:w="0" w:type="dxa"/>
            <w:right w:w="108" w:type="dxa"/>
          </w:tblCellMar>
        </w:tblPrEx>
        <w:trPr>
          <w:trHeight w:val="901" w:hRule="atLeast"/>
        </w:trPr>
        <w:tc>
          <w:tcPr>
            <w:tcW w:w="7905"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22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CellMar>
            <w:top w:w="0" w:type="dxa"/>
            <w:left w:w="108" w:type="dxa"/>
            <w:bottom w:w="0" w:type="dxa"/>
            <w:right w:w="108" w:type="dxa"/>
          </w:tblCellMar>
        </w:tblPrEx>
        <w:trPr>
          <w:trHeight w:val="567"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80" w:type="dxa"/>
            <w:tcBorders>
              <w:top w:val="nil"/>
              <w:left w:val="nil"/>
              <w:bottom w:val="single" w:color="auto" w:sz="8" w:space="0"/>
              <w:right w:val="single" w:color="auto" w:sz="8" w:space="0"/>
            </w:tcBorders>
            <w:vAlign w:val="center"/>
          </w:tcPr>
          <w:p>
            <w:pPr>
              <w:widowControl/>
              <w:jc w:val="center"/>
              <w:rPr>
                <w:rFonts w:ascii="仿宋_GB2312"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668" w:hRule="atLeast"/>
        </w:trPr>
        <w:tc>
          <w:tcPr>
            <w:tcW w:w="1875"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901" w:hRule="atLeast"/>
        </w:trPr>
        <w:tc>
          <w:tcPr>
            <w:tcW w:w="7905"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706"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625"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行政许可</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901" w:hRule="atLeast"/>
        </w:trPr>
        <w:tc>
          <w:tcPr>
            <w:tcW w:w="7905"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72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646"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FF0000"/>
                <w:kern w:val="0"/>
                <w:szCs w:val="21"/>
              </w:rPr>
            </w:pPr>
            <w:r>
              <w:rPr>
                <w:rFonts w:hint="eastAsia" w:ascii="仿宋_GB2312" w:eastAsia="仿宋_GB2312" w:cs="Calibri"/>
                <w:color w:val="000000" w:themeColor="text1"/>
                <w:kern w:val="0"/>
                <w:szCs w:val="21"/>
                <w14:textFill>
                  <w14:solidFill>
                    <w14:schemeClr w14:val="tx1"/>
                  </w14:solidFill>
                </w14:textFill>
              </w:rPr>
              <w:t>124</w:t>
            </w:r>
          </w:p>
        </w:tc>
      </w:tr>
      <w:tr>
        <w:tblPrEx>
          <w:tblCellMar>
            <w:top w:w="0" w:type="dxa"/>
            <w:left w:w="108" w:type="dxa"/>
            <w:bottom w:w="0" w:type="dxa"/>
            <w:right w:w="108" w:type="dxa"/>
          </w:tblCellMar>
        </w:tblPrEx>
        <w:trPr>
          <w:trHeight w:val="586"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FF0000"/>
                <w:kern w:val="0"/>
                <w:szCs w:val="21"/>
              </w:rPr>
            </w:pPr>
            <w:r>
              <w:rPr>
                <w:rFonts w:hint="eastAsia" w:ascii="仿宋_GB2312" w:eastAsia="仿宋_GB2312" w:cs="Calibri"/>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901" w:hRule="atLeast"/>
        </w:trPr>
        <w:tc>
          <w:tcPr>
            <w:tcW w:w="7905"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行政事业性收费</w:t>
            </w:r>
          </w:p>
        </w:tc>
        <w:tc>
          <w:tcPr>
            <w:tcW w:w="6030"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themeColor="text1"/>
                <w:kern w:val="0"/>
                <w:szCs w:val="21"/>
                <w14:textFill>
                  <w14:solidFill>
                    <w14:schemeClr w14:val="tx1"/>
                  </w14:solidFill>
                </w14:textFill>
              </w:rPr>
              <w:t>0.96</w:t>
            </w:r>
          </w:p>
        </w:tc>
      </w:tr>
    </w:tbl>
    <w:p>
      <w:pPr>
        <w:pStyle w:val="4"/>
        <w:widowControl/>
        <w:shd w:val="clear" w:color="auto" w:fill="FFFFFF"/>
        <w:spacing w:before="0" w:beforeAutospacing="0" w:after="0" w:afterAutospacing="0"/>
        <w:jc w:val="both"/>
        <w:rPr>
          <w:rFonts w:hint="eastAsia" w:ascii="Times New Roman" w:hAnsi="Times New Roman" w:eastAsia="黑体"/>
          <w:bCs/>
          <w:color w:val="333333"/>
          <w:sz w:val="32"/>
          <w:szCs w:val="32"/>
        </w:rPr>
      </w:pPr>
    </w:p>
    <w:p>
      <w:pPr>
        <w:rPr>
          <w:rFonts w:hint="eastAsia" w:ascii="Times New Roman" w:hAnsi="Times New Roman" w:eastAsia="黑体"/>
          <w:bCs/>
          <w:color w:val="333333"/>
          <w:kern w:val="0"/>
          <w:sz w:val="32"/>
          <w:szCs w:val="32"/>
          <w:shd w:val="clear" w:color="auto" w:fill="FFFFFF"/>
          <w:lang w:bidi="ar"/>
        </w:rPr>
      </w:pPr>
    </w:p>
    <w:p>
      <w:pPr>
        <w:numPr>
          <w:ilvl w:val="0"/>
          <w:numId w:val="1"/>
        </w:numPr>
        <w:rPr>
          <w:rFonts w:hint="eastAsia" w:ascii="Times New Roman" w:hAnsi="Times New Roman" w:eastAsia="黑体"/>
          <w:bCs/>
          <w:color w:val="333333"/>
          <w:kern w:val="0"/>
          <w:sz w:val="32"/>
          <w:szCs w:val="32"/>
          <w:shd w:val="clear" w:color="auto" w:fill="FFFFFF"/>
          <w:lang w:bidi="ar"/>
        </w:rPr>
      </w:pPr>
      <w:r>
        <w:rPr>
          <w:rFonts w:ascii="Times New Roman" w:hAnsi="Times New Roman" w:eastAsia="黑体"/>
          <w:bCs/>
          <w:color w:val="333333"/>
          <w:kern w:val="0"/>
          <w:sz w:val="32"/>
          <w:szCs w:val="32"/>
          <w:shd w:val="clear" w:color="auto" w:fill="FFFFFF"/>
          <w:lang w:bidi="ar"/>
        </w:rPr>
        <w:t>收到和处理政府信息公开申请情</w:t>
      </w:r>
      <w:r>
        <w:rPr>
          <w:rFonts w:hint="eastAsia" w:ascii="Times New Roman" w:hAnsi="Times New Roman" w:eastAsia="黑体"/>
          <w:bCs/>
          <w:color w:val="333333"/>
          <w:kern w:val="0"/>
          <w:sz w:val="32"/>
          <w:szCs w:val="32"/>
          <w:shd w:val="clear" w:color="auto" w:fill="FFFFFF"/>
          <w:lang w:bidi="ar"/>
        </w:rPr>
        <w:t>况</w:t>
      </w:r>
    </w:p>
    <w:tbl>
      <w:tblPr>
        <w:tblStyle w:val="5"/>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3648"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kern w:val="0"/>
                <w:szCs w:val="21"/>
              </w:rPr>
            </w:pPr>
            <w:r>
              <w:rPr>
                <w:rFonts w:ascii="Times New Roman" w:hAnsi="Times New Roman" w:eastAsia="楷体_GB2312"/>
                <w:kern w:val="0"/>
                <w:szCs w:val="21"/>
              </w:rPr>
              <w:t>（本列数据的勾稽关系为：第一项加第二项之和，</w:t>
            </w:r>
          </w:p>
          <w:p>
            <w:pPr>
              <w:widowControl/>
              <w:jc w:val="center"/>
              <w:rPr>
                <w:rFonts w:ascii="Times New Roman" w:hAnsi="Times New Roman" w:eastAsia="仿宋_GB2312"/>
                <w:szCs w:val="21"/>
              </w:rPr>
            </w:pPr>
            <w:r>
              <w:rPr>
                <w:rFonts w:ascii="Times New Roman" w:hAnsi="Times New Roman" w:eastAsia="楷体_GB2312"/>
                <w:kern w:val="0"/>
                <w:szCs w:val="21"/>
              </w:rPr>
              <w:t>等于第三项加第四项之和）</w:t>
            </w:r>
          </w:p>
        </w:tc>
        <w:tc>
          <w:tcPr>
            <w:tcW w:w="4174"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szCs w:val="21"/>
              </w:rPr>
            </w:pPr>
            <w:r>
              <w:rPr>
                <w:rFonts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shd w:val="clear" w:color="auto" w:fill="auto"/>
            <w:tcMar>
              <w:left w:w="108" w:type="dxa"/>
              <w:right w:w="108" w:type="dxa"/>
            </w:tcMar>
            <w:vAlign w:val="center"/>
          </w:tcPr>
          <w:p>
            <w:pPr>
              <w:jc w:val="center"/>
              <w:rPr>
                <w:rFonts w:ascii="Times New Roman" w:hAnsi="Times New Roman" w:eastAsia="仿宋_GB2312"/>
                <w:szCs w:val="21"/>
              </w:rPr>
            </w:pPr>
          </w:p>
        </w:tc>
        <w:tc>
          <w:tcPr>
            <w:tcW w:w="581" w:type="dxa"/>
            <w:vMerge w:val="restart"/>
            <w:shd w:val="clear" w:color="auto" w:fill="auto"/>
            <w:tcMar>
              <w:left w:w="108" w:type="dxa"/>
              <w:right w:w="108" w:type="dxa"/>
            </w:tcMar>
            <w:vAlign w:val="center"/>
          </w:tcPr>
          <w:p>
            <w:pPr>
              <w:widowControl/>
              <w:jc w:val="center"/>
              <w:rPr>
                <w:rFonts w:ascii="Times New Roman" w:hAnsi="Times New Roman" w:eastAsia="黑体"/>
                <w:szCs w:val="21"/>
              </w:rPr>
            </w:pPr>
            <w:r>
              <w:rPr>
                <w:rFonts w:ascii="Times New Roman" w:hAnsi="Times New Roman" w:eastAsia="黑体"/>
                <w:kern w:val="0"/>
                <w:szCs w:val="21"/>
              </w:rPr>
              <w:t>自然人</w:t>
            </w:r>
          </w:p>
        </w:tc>
        <w:tc>
          <w:tcPr>
            <w:tcW w:w="305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szCs w:val="21"/>
              </w:rPr>
            </w:pPr>
            <w:r>
              <w:rPr>
                <w:rFonts w:ascii="Times New Roman" w:hAnsi="Times New Roman" w:eastAsia="黑体"/>
                <w:kern w:val="0"/>
                <w:szCs w:val="21"/>
              </w:rPr>
              <w:t>法人或其他组织</w:t>
            </w:r>
          </w:p>
        </w:tc>
        <w:tc>
          <w:tcPr>
            <w:tcW w:w="543" w:type="dxa"/>
            <w:vMerge w:val="restart"/>
            <w:shd w:val="clear" w:color="auto" w:fill="auto"/>
            <w:tcMar>
              <w:left w:w="108" w:type="dxa"/>
              <w:right w:w="108" w:type="dxa"/>
            </w:tcMar>
            <w:vAlign w:val="center"/>
          </w:tcPr>
          <w:p>
            <w:pPr>
              <w:widowControl/>
              <w:jc w:val="center"/>
              <w:rPr>
                <w:rFonts w:ascii="Times New Roman" w:hAnsi="Times New Roman" w:eastAsia="黑体"/>
                <w:szCs w:val="21"/>
              </w:rPr>
            </w:pPr>
            <w:r>
              <w:rPr>
                <w:rFonts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shd w:val="clear" w:color="auto" w:fill="auto"/>
            <w:tcMar>
              <w:left w:w="108" w:type="dxa"/>
              <w:right w:w="108" w:type="dxa"/>
            </w:tcMar>
            <w:vAlign w:val="center"/>
          </w:tcPr>
          <w:p>
            <w:pPr>
              <w:jc w:val="center"/>
              <w:rPr>
                <w:rFonts w:ascii="Times New Roman" w:hAnsi="Times New Roman" w:eastAsia="仿宋_GB2312"/>
                <w:szCs w:val="21"/>
              </w:rPr>
            </w:pPr>
          </w:p>
        </w:tc>
        <w:tc>
          <w:tcPr>
            <w:tcW w:w="581" w:type="dxa"/>
            <w:vMerge w:val="continue"/>
            <w:shd w:val="clear" w:color="auto" w:fill="auto"/>
            <w:tcMar>
              <w:left w:w="108" w:type="dxa"/>
              <w:right w:w="108" w:type="dxa"/>
            </w:tcMar>
            <w:vAlign w:val="center"/>
          </w:tcPr>
          <w:p>
            <w:pPr>
              <w:jc w:val="center"/>
              <w:rPr>
                <w:rFonts w:ascii="Times New Roman" w:hAnsi="Times New Roman" w:eastAsia="黑体"/>
                <w:szCs w:val="21"/>
              </w:rPr>
            </w:pPr>
          </w:p>
        </w:tc>
        <w:tc>
          <w:tcPr>
            <w:tcW w:w="48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商业企业</w:t>
            </w:r>
          </w:p>
        </w:tc>
        <w:tc>
          <w:tcPr>
            <w:tcW w:w="562"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科研机构</w:t>
            </w:r>
          </w:p>
        </w:tc>
        <w:tc>
          <w:tcPr>
            <w:tcW w:w="769"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社会公益组织</w:t>
            </w:r>
          </w:p>
        </w:tc>
        <w:tc>
          <w:tcPr>
            <w:tcW w:w="731"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法律服务机构</w:t>
            </w:r>
          </w:p>
        </w:tc>
        <w:tc>
          <w:tcPr>
            <w:tcW w:w="500"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szCs w:val="21"/>
              </w:rPr>
            </w:pPr>
            <w:r>
              <w:rPr>
                <w:rFonts w:ascii="Times New Roman" w:hAnsi="Times New Roman" w:eastAsia="黑体"/>
                <w:kern w:val="0"/>
                <w:szCs w:val="21"/>
              </w:rPr>
              <w:t>其他</w:t>
            </w:r>
          </w:p>
        </w:tc>
        <w:tc>
          <w:tcPr>
            <w:tcW w:w="543" w:type="dxa"/>
            <w:vMerge w:val="continue"/>
            <w:shd w:val="clear" w:color="auto" w:fill="auto"/>
            <w:tcMar>
              <w:left w:w="108" w:type="dxa"/>
              <w:right w:w="108" w:type="dxa"/>
            </w:tcMar>
            <w:vAlign w:val="center"/>
          </w:tcPr>
          <w:p>
            <w:pPr>
              <w:jc w:val="cente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Times New Roman" w:hAnsi="Times New Roman" w:eastAsia="黑体"/>
                <w:szCs w:val="21"/>
              </w:rPr>
            </w:pPr>
            <w:r>
              <w:rPr>
                <w:rFonts w:ascii="Times New Roman" w:hAnsi="Times New Roman" w:eastAsia="黑体"/>
                <w:kern w:val="0"/>
                <w:szCs w:val="21"/>
              </w:rPr>
              <w:t>一、</w:t>
            </w:r>
            <w:bookmarkStart w:id="0" w:name="_Hlk66973412"/>
            <w:r>
              <w:rPr>
                <w:rFonts w:ascii="Times New Roman" w:hAnsi="Times New Roman" w:eastAsia="黑体"/>
                <w:kern w:val="0"/>
                <w:szCs w:val="21"/>
              </w:rPr>
              <w:t>本年新收政府信息公开申请数量</w:t>
            </w:r>
            <w:bookmarkEnd w:id="0"/>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Times New Roman" w:hAnsi="Times New Roman" w:eastAsia="黑体"/>
                <w:kern w:val="0"/>
                <w:szCs w:val="21"/>
              </w:rPr>
            </w:pPr>
            <w:r>
              <w:rPr>
                <w:rFonts w:ascii="Times New Roman" w:hAnsi="Times New Roman" w:eastAsia="黑体"/>
                <w:kern w:val="0"/>
                <w:szCs w:val="21"/>
              </w:rPr>
              <w:t>二、上年结转政府信息公开申请数量</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shd w:val="clear" w:color="auto" w:fill="auto"/>
            <w:tcMar>
              <w:left w:w="108" w:type="dxa"/>
              <w:right w:w="108" w:type="dxa"/>
            </w:tcMar>
            <w:vAlign w:val="center"/>
          </w:tcPr>
          <w:p>
            <w:pPr>
              <w:widowControl/>
              <w:spacing w:after="180"/>
              <w:rPr>
                <w:rFonts w:ascii="Times New Roman" w:hAnsi="Times New Roman" w:eastAsia="黑体"/>
                <w:szCs w:val="21"/>
              </w:rPr>
            </w:pPr>
            <w:r>
              <w:rPr>
                <w:rFonts w:ascii="Times New Roman" w:hAnsi="Times New Roman" w:eastAsia="黑体"/>
                <w:kern w:val="0"/>
                <w:szCs w:val="21"/>
              </w:rPr>
              <w:t>三、本年度办理结果</w:t>
            </w:r>
          </w:p>
        </w:tc>
        <w:tc>
          <w:tcPr>
            <w:tcW w:w="3267" w:type="dxa"/>
            <w:gridSpan w:val="2"/>
            <w:shd w:val="clear" w:color="auto" w:fill="auto"/>
            <w:tcMar>
              <w:left w:w="108" w:type="dxa"/>
              <w:right w:w="108" w:type="dxa"/>
            </w:tcMar>
            <w:vAlign w:val="center"/>
          </w:tcPr>
          <w:p>
            <w:pPr>
              <w:widowControl/>
              <w:rPr>
                <w:rFonts w:ascii="Times New Roman" w:hAnsi="Times New Roman" w:eastAsia="黑体"/>
                <w:sz w:val="16"/>
                <w:szCs w:val="16"/>
              </w:rPr>
            </w:pPr>
            <w:r>
              <w:rPr>
                <w:rFonts w:ascii="Times New Roman" w:hAnsi="Times New Roman" w:eastAsia="黑体"/>
                <w:kern w:val="0"/>
                <w:sz w:val="16"/>
                <w:szCs w:val="16"/>
              </w:rPr>
              <w:t>（一）予以公开</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3267" w:type="dxa"/>
            <w:gridSpan w:val="2"/>
            <w:shd w:val="clear" w:color="auto" w:fill="auto"/>
            <w:tcMar>
              <w:left w:w="108" w:type="dxa"/>
              <w:right w:w="108" w:type="dxa"/>
            </w:tcMar>
            <w:vAlign w:val="center"/>
          </w:tcPr>
          <w:p>
            <w:pPr>
              <w:widowControl/>
              <w:rPr>
                <w:rFonts w:ascii="Times New Roman" w:hAnsi="Times New Roman" w:eastAsia="黑体"/>
                <w:sz w:val="16"/>
                <w:szCs w:val="16"/>
              </w:rPr>
            </w:pPr>
            <w:r>
              <w:rPr>
                <w:rFonts w:ascii="Times New Roman" w:hAnsi="Times New Roman" w:eastAsia="黑体"/>
                <w:kern w:val="0"/>
                <w:sz w:val="16"/>
                <w:szCs w:val="16"/>
              </w:rPr>
              <w:t>（二）部分公开（</w:t>
            </w:r>
            <w:bookmarkStart w:id="1" w:name="_Hlk66973981"/>
            <w:r>
              <w:rPr>
                <w:rFonts w:ascii="Times New Roman" w:hAnsi="Times New Roman" w:eastAsia="黑体"/>
                <w:kern w:val="0"/>
                <w:sz w:val="16"/>
                <w:szCs w:val="16"/>
              </w:rPr>
              <w:t>区分处理的，只计这一情形，不计其他情形</w:t>
            </w:r>
            <w:bookmarkEnd w:id="1"/>
            <w:r>
              <w:rPr>
                <w:rFonts w:ascii="Times New Roman" w:hAnsi="Times New Roman" w:eastAsia="黑体"/>
                <w:kern w:val="0"/>
                <w:sz w:val="16"/>
                <w:szCs w:val="16"/>
              </w:rPr>
              <w:t>）</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 w:val="16"/>
                <w:szCs w:val="16"/>
              </w:rPr>
            </w:pPr>
            <w:r>
              <w:rPr>
                <w:rFonts w:ascii="Times New Roman" w:hAnsi="Times New Roman" w:eastAsia="黑体"/>
                <w:kern w:val="0"/>
                <w:sz w:val="16"/>
                <w:szCs w:val="16"/>
              </w:rPr>
              <w:t>（三）不予公开</w:t>
            </w: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1.属于国家秘密</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r>
              <w:rPr>
                <w:rFonts w:ascii="Times New Roman" w:hAnsi="Times New Roman" w:eastAsia="黑体"/>
                <w:szCs w:val="21"/>
              </w:rPr>
              <w:t>S</w:t>
            </w: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2.</w:t>
            </w:r>
            <w:bookmarkStart w:id="2" w:name="_Hlk66974104"/>
            <w:r>
              <w:rPr>
                <w:rFonts w:ascii="Times New Roman" w:hAnsi="Times New Roman" w:eastAsia="仿宋_GB2312"/>
                <w:kern w:val="0"/>
                <w:sz w:val="16"/>
                <w:szCs w:val="16"/>
              </w:rPr>
              <w:t>其他法律行政法规禁止公开</w:t>
            </w:r>
            <w:bookmarkEnd w:id="2"/>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3.危及“三安全一稳定”</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4.</w:t>
            </w:r>
            <w:bookmarkStart w:id="3" w:name="_Hlk66974290"/>
            <w:r>
              <w:rPr>
                <w:rFonts w:ascii="Times New Roman" w:hAnsi="Times New Roman" w:eastAsia="仿宋_GB2312"/>
                <w:kern w:val="0"/>
                <w:sz w:val="16"/>
                <w:szCs w:val="16"/>
              </w:rPr>
              <w:t>保护第三方合法权益</w:t>
            </w:r>
            <w:bookmarkEnd w:id="3"/>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5.属于三类内部事务信息</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6.</w:t>
            </w:r>
            <w:bookmarkStart w:id="4" w:name="_Hlk66974555"/>
            <w:r>
              <w:rPr>
                <w:rFonts w:ascii="Times New Roman" w:hAnsi="Times New Roman" w:eastAsia="仿宋_GB2312"/>
                <w:kern w:val="0"/>
                <w:sz w:val="16"/>
                <w:szCs w:val="16"/>
              </w:rPr>
              <w:t>属于四类过程性信息</w:t>
            </w:r>
            <w:bookmarkEnd w:id="4"/>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7.属于行政执法案卷</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8.</w:t>
            </w:r>
            <w:bookmarkStart w:id="5" w:name="_Hlk66975211"/>
            <w:r>
              <w:rPr>
                <w:rFonts w:ascii="Times New Roman" w:hAnsi="Times New Roman" w:eastAsia="仿宋_GB2312"/>
                <w:kern w:val="0"/>
                <w:sz w:val="16"/>
                <w:szCs w:val="16"/>
              </w:rPr>
              <w:t>属于行政查询事项</w:t>
            </w:r>
            <w:bookmarkEnd w:id="5"/>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 w:val="16"/>
                <w:szCs w:val="16"/>
              </w:rPr>
            </w:pPr>
            <w:r>
              <w:rPr>
                <w:rFonts w:ascii="Times New Roman" w:hAnsi="Times New Roman" w:eastAsia="黑体"/>
                <w:kern w:val="0"/>
                <w:sz w:val="16"/>
                <w:szCs w:val="16"/>
              </w:rPr>
              <w:t>（四）无法提供</w:t>
            </w: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1.本机关不掌握相关政府信息</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2.</w:t>
            </w:r>
            <w:bookmarkStart w:id="6" w:name="_Hlk66975392"/>
            <w:r>
              <w:rPr>
                <w:rFonts w:ascii="Times New Roman" w:hAnsi="Times New Roman" w:eastAsia="仿宋_GB2312"/>
                <w:kern w:val="0"/>
                <w:sz w:val="16"/>
                <w:szCs w:val="16"/>
              </w:rPr>
              <w:t>没有现成信息需要另行制作</w:t>
            </w:r>
            <w:bookmarkEnd w:id="6"/>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3.</w:t>
            </w:r>
            <w:bookmarkStart w:id="7" w:name="_Hlk66975466"/>
            <w:r>
              <w:rPr>
                <w:rFonts w:ascii="Times New Roman" w:hAnsi="Times New Roman" w:eastAsia="仿宋_GB2312"/>
                <w:kern w:val="0"/>
                <w:sz w:val="16"/>
                <w:szCs w:val="16"/>
              </w:rPr>
              <w:t>补正后申请内容仍不明确</w:t>
            </w:r>
            <w:bookmarkEnd w:id="7"/>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 w:val="16"/>
                <w:szCs w:val="16"/>
              </w:rPr>
            </w:pPr>
            <w:r>
              <w:rPr>
                <w:rFonts w:ascii="Times New Roman" w:hAnsi="Times New Roman" w:eastAsia="黑体"/>
                <w:kern w:val="0"/>
                <w:sz w:val="16"/>
                <w:szCs w:val="16"/>
              </w:rPr>
              <w:t>（五）不予处理</w:t>
            </w: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1.</w:t>
            </w:r>
            <w:bookmarkStart w:id="8" w:name="_Hlk66975537"/>
            <w:r>
              <w:rPr>
                <w:rFonts w:ascii="Times New Roman" w:hAnsi="Times New Roman" w:eastAsia="仿宋_GB2312"/>
                <w:kern w:val="0"/>
                <w:sz w:val="16"/>
                <w:szCs w:val="16"/>
              </w:rPr>
              <w:t>信访举报投诉类申请</w:t>
            </w:r>
            <w:bookmarkEnd w:id="8"/>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2.重复申请</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sz w:val="16"/>
                <w:szCs w:val="16"/>
              </w:rPr>
            </w:pPr>
            <w:r>
              <w:rPr>
                <w:rFonts w:ascii="Times New Roman" w:hAnsi="Times New Roman" w:eastAsia="仿宋_GB2312"/>
                <w:kern w:val="0"/>
                <w:sz w:val="16"/>
                <w:szCs w:val="16"/>
              </w:rPr>
              <w:t>3.要求提供公开出版物</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仿宋_GB2312"/>
                <w:sz w:val="16"/>
                <w:szCs w:val="16"/>
              </w:rPr>
            </w:pPr>
            <w:r>
              <w:rPr>
                <w:rFonts w:ascii="Times New Roman" w:hAnsi="Times New Roman" w:eastAsia="仿宋_GB2312"/>
                <w:kern w:val="0"/>
                <w:sz w:val="16"/>
                <w:szCs w:val="16"/>
              </w:rPr>
              <w:t>4.无正当理由大量反复申请</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黑体"/>
                <w:sz w:val="16"/>
                <w:szCs w:val="16"/>
              </w:rPr>
            </w:pPr>
          </w:p>
        </w:tc>
        <w:tc>
          <w:tcPr>
            <w:tcW w:w="2531" w:type="dxa"/>
            <w:shd w:val="clear" w:color="auto" w:fill="auto"/>
            <w:tcMar>
              <w:left w:w="108" w:type="dxa"/>
              <w:right w:w="108" w:type="dxa"/>
            </w:tcMar>
            <w:vAlign w:val="center"/>
          </w:tcPr>
          <w:p>
            <w:pPr>
              <w:widowControl/>
              <w:spacing w:line="300" w:lineRule="exact"/>
              <w:rPr>
                <w:rFonts w:ascii="Times New Roman" w:hAnsi="Times New Roman" w:eastAsia="仿宋_GB2312"/>
                <w:kern w:val="0"/>
                <w:sz w:val="16"/>
                <w:szCs w:val="16"/>
              </w:rPr>
            </w:pPr>
            <w:r>
              <w:rPr>
                <w:rFonts w:ascii="Times New Roman" w:hAnsi="Times New Roman" w:eastAsia="仿宋_GB2312"/>
                <w:kern w:val="0"/>
                <w:sz w:val="16"/>
                <w:szCs w:val="16"/>
              </w:rPr>
              <w:t>5.要求行政机关确认或重新</w:t>
            </w:r>
          </w:p>
          <w:p>
            <w:pPr>
              <w:widowControl/>
              <w:spacing w:line="300" w:lineRule="exact"/>
              <w:ind w:firstLine="160" w:firstLineChars="100"/>
              <w:rPr>
                <w:rFonts w:ascii="Times New Roman" w:hAnsi="Times New Roman" w:eastAsia="仿宋_GB2312"/>
                <w:sz w:val="16"/>
                <w:szCs w:val="16"/>
              </w:rPr>
            </w:pPr>
            <w:r>
              <w:rPr>
                <w:rFonts w:ascii="Times New Roman" w:hAnsi="Times New Roman" w:eastAsia="仿宋_GB2312"/>
                <w:kern w:val="0"/>
                <w:sz w:val="16"/>
                <w:szCs w:val="16"/>
              </w:rPr>
              <w:t>出具已获取信息</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restart"/>
            <w:shd w:val="clear" w:color="auto" w:fill="auto"/>
            <w:tcMar>
              <w:left w:w="108" w:type="dxa"/>
              <w:right w:w="108" w:type="dxa"/>
            </w:tcMar>
            <w:vAlign w:val="center"/>
          </w:tcPr>
          <w:p>
            <w:pPr>
              <w:widowControl/>
              <w:spacing w:line="300" w:lineRule="exact"/>
              <w:rPr>
                <w:rFonts w:ascii="Times New Roman" w:hAnsi="Times New Roman" w:eastAsia="黑体"/>
                <w:kern w:val="0"/>
                <w:sz w:val="16"/>
                <w:szCs w:val="16"/>
              </w:rPr>
            </w:pPr>
            <w:r>
              <w:rPr>
                <w:rFonts w:ascii="Times New Roman" w:hAnsi="Times New Roman" w:eastAsia="黑体"/>
                <w:kern w:val="0"/>
                <w:sz w:val="16"/>
                <w:szCs w:val="16"/>
              </w:rPr>
              <w:t>（六）其他处理</w:t>
            </w:r>
          </w:p>
        </w:tc>
        <w:tc>
          <w:tcPr>
            <w:tcW w:w="2531" w:type="dxa"/>
            <w:shd w:val="clear" w:color="auto" w:fill="auto"/>
            <w:vAlign w:val="center"/>
          </w:tcPr>
          <w:p>
            <w:pPr>
              <w:widowControl/>
              <w:spacing w:line="300" w:lineRule="exact"/>
              <w:rPr>
                <w:rFonts w:ascii="Times New Roman" w:hAnsi="Times New Roman" w:eastAsia="仿宋_GB2312"/>
                <w:sz w:val="16"/>
                <w:szCs w:val="18"/>
              </w:rPr>
            </w:pPr>
            <w:r>
              <w:rPr>
                <w:rFonts w:ascii="Times New Roman" w:hAnsi="Times New Roman" w:eastAsia="仿宋_GB2312"/>
                <w:sz w:val="16"/>
                <w:szCs w:val="18"/>
              </w:rPr>
              <w:t>1.申请人无正当理由逾期……</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widowControl/>
              <w:spacing w:line="300" w:lineRule="exact"/>
              <w:rPr>
                <w:rFonts w:ascii="Times New Roman" w:hAnsi="Times New Roman" w:eastAsia="黑体"/>
                <w:kern w:val="0"/>
                <w:sz w:val="16"/>
                <w:szCs w:val="16"/>
              </w:rPr>
            </w:pPr>
          </w:p>
        </w:tc>
        <w:tc>
          <w:tcPr>
            <w:tcW w:w="2531" w:type="dxa"/>
            <w:shd w:val="clear" w:color="auto" w:fill="auto"/>
            <w:vAlign w:val="center"/>
          </w:tcPr>
          <w:p>
            <w:pPr>
              <w:widowControl/>
              <w:spacing w:line="300" w:lineRule="exact"/>
              <w:rPr>
                <w:rFonts w:ascii="Times New Roman" w:hAnsi="Times New Roman" w:eastAsia="仿宋_GB2312"/>
                <w:kern w:val="0"/>
                <w:sz w:val="16"/>
                <w:szCs w:val="16"/>
              </w:rPr>
            </w:pPr>
            <w:r>
              <w:rPr>
                <w:rFonts w:ascii="Times New Roman" w:hAnsi="Times New Roman" w:eastAsia="仿宋_GB2312"/>
                <w:sz w:val="16"/>
                <w:szCs w:val="18"/>
              </w:rPr>
              <w:t>2.申请人逾期未按收费通知……</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736" w:type="dxa"/>
            <w:vMerge w:val="continue"/>
            <w:shd w:val="clear" w:color="auto" w:fill="auto"/>
            <w:tcMar>
              <w:left w:w="108" w:type="dxa"/>
              <w:right w:w="108" w:type="dxa"/>
            </w:tcMar>
            <w:vAlign w:val="center"/>
          </w:tcPr>
          <w:p>
            <w:pPr>
              <w:widowControl/>
              <w:spacing w:line="300" w:lineRule="exact"/>
              <w:rPr>
                <w:rFonts w:ascii="Times New Roman" w:hAnsi="Times New Roman" w:eastAsia="黑体"/>
                <w:kern w:val="0"/>
                <w:sz w:val="16"/>
                <w:szCs w:val="16"/>
              </w:rPr>
            </w:pPr>
          </w:p>
        </w:tc>
        <w:tc>
          <w:tcPr>
            <w:tcW w:w="2531" w:type="dxa"/>
            <w:shd w:val="clear" w:color="auto" w:fill="auto"/>
            <w:vAlign w:val="center"/>
          </w:tcPr>
          <w:p>
            <w:pPr>
              <w:widowControl/>
              <w:spacing w:line="300" w:lineRule="exact"/>
              <w:rPr>
                <w:rFonts w:ascii="Times New Roman" w:hAnsi="Times New Roman" w:eastAsia="仿宋_GB2312"/>
                <w:kern w:val="0"/>
                <w:sz w:val="16"/>
                <w:szCs w:val="16"/>
              </w:rPr>
            </w:pPr>
            <w:r>
              <w:rPr>
                <w:rFonts w:ascii="Times New Roman" w:hAnsi="Times New Roman" w:eastAsia="仿宋_GB2312"/>
                <w:sz w:val="16"/>
                <w:szCs w:val="18"/>
              </w:rPr>
              <w:t>3.其他</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Times New Roman" w:hAnsi="Times New Roman" w:eastAsia="黑体"/>
                <w:szCs w:val="21"/>
              </w:rPr>
            </w:pPr>
          </w:p>
        </w:tc>
        <w:tc>
          <w:tcPr>
            <w:tcW w:w="3267" w:type="dxa"/>
            <w:gridSpan w:val="2"/>
            <w:shd w:val="clear" w:color="auto" w:fill="auto"/>
            <w:tcMar>
              <w:left w:w="108" w:type="dxa"/>
              <w:right w:w="108" w:type="dxa"/>
            </w:tcMar>
            <w:vAlign w:val="center"/>
          </w:tcPr>
          <w:p>
            <w:pPr>
              <w:widowControl/>
              <w:spacing w:line="300" w:lineRule="exact"/>
              <w:rPr>
                <w:rFonts w:ascii="Times New Roman" w:hAnsi="Times New Roman" w:eastAsia="黑体"/>
                <w:kern w:val="0"/>
                <w:sz w:val="16"/>
                <w:szCs w:val="16"/>
              </w:rPr>
            </w:pPr>
            <w:r>
              <w:rPr>
                <w:rFonts w:ascii="Times New Roman" w:hAnsi="Times New Roman" w:eastAsia="黑体"/>
                <w:kern w:val="0"/>
                <w:sz w:val="16"/>
                <w:szCs w:val="16"/>
              </w:rPr>
              <w:t>（七）总计</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ascii="Times New Roman" w:hAnsi="Times New Roman" w:eastAsia="黑体"/>
                <w:kern w:val="0"/>
                <w:szCs w:val="21"/>
              </w:rPr>
              <w:t>四、结转下年度继续办理</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bl>
    <w:p>
      <w:pPr>
        <w:ind w:firstLine="640" w:firstLineChars="200"/>
        <w:rPr>
          <w:rFonts w:ascii="Times New Roman" w:hAnsi="Times New Roman" w:eastAsia="黑体"/>
          <w:bCs/>
          <w:color w:val="333333"/>
          <w:kern w:val="0"/>
          <w:sz w:val="32"/>
          <w:szCs w:val="32"/>
          <w:shd w:val="clear" w:color="auto" w:fill="FFFFFF"/>
          <w:lang w:bidi="ar"/>
        </w:rPr>
      </w:pPr>
      <w:r>
        <w:rPr>
          <w:rFonts w:ascii="Times New Roman" w:hAnsi="Times New Roman" w:eastAsia="黑体"/>
          <w:bCs/>
          <w:color w:val="333333"/>
          <w:kern w:val="0"/>
          <w:sz w:val="32"/>
          <w:szCs w:val="32"/>
          <w:shd w:val="clear" w:color="auto" w:fill="FFFFFF"/>
          <w:lang w:bidi="ar"/>
        </w:rPr>
        <w:t>四、政府信息公开行政复议、行政诉讼情况</w:t>
      </w:r>
    </w:p>
    <w:tbl>
      <w:tblPr>
        <w:tblStyle w:val="5"/>
        <w:tblpPr w:leftFromText="180" w:rightFromText="180" w:vertAnchor="text" w:horzAnchor="page" w:tblpX="1537" w:tblpY="619"/>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ind w:left="-149" w:leftChars="-71" w:right="-170" w:rightChars="-81"/>
              <w:jc w:val="center"/>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ind w:left="-118" w:leftChars="-56" w:right="-118" w:rightChars="-56"/>
              <w:jc w:val="center"/>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Times New Roman" w:hAnsi="Times New Roman" w:eastAsia="黑体"/>
                <w:kern w:val="0"/>
                <w:sz w:val="20"/>
                <w:szCs w:val="20"/>
              </w:rPr>
            </w:pPr>
            <w:r>
              <w:rPr>
                <w:rFonts w:ascii="Times New Roman" w:hAnsi="Times New Roman" w:eastAsia="黑体"/>
                <w:kern w:val="0"/>
                <w:sz w:val="20"/>
                <w:szCs w:val="20"/>
              </w:rPr>
              <w:t>总</w:t>
            </w:r>
          </w:p>
          <w:p>
            <w:pPr>
              <w:widowControl/>
              <w:spacing w:line="320" w:lineRule="exact"/>
              <w:jc w:val="center"/>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ind w:left="-126" w:leftChars="-60" w:right="-136" w:rightChars="-65"/>
              <w:jc w:val="center"/>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ind w:left="-164" w:leftChars="-78" w:right="-153" w:rightChars="-73"/>
              <w:jc w:val="center"/>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ind w:left="-136" w:leftChars="-65" w:right="-124" w:rightChars="-59"/>
              <w:jc w:val="center"/>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ind w:left="-173" w:leftChars="-83" w:right="-134" w:rightChars="-64" w:hanging="1"/>
              <w:jc w:val="center"/>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r>
    </w:tbl>
    <w:p>
      <w:pPr>
        <w:pStyle w:val="4"/>
        <w:widowControl/>
        <w:shd w:val="clear" w:color="auto" w:fill="FFFFFF"/>
        <w:spacing w:before="0" w:beforeAutospacing="0" w:after="0" w:afterAutospacing="0"/>
        <w:ind w:firstLine="640" w:firstLineChars="200"/>
        <w:jc w:val="both"/>
        <w:rPr>
          <w:rFonts w:ascii="Times New Roman" w:hAnsi="Times New Roman" w:eastAsia="黑体"/>
          <w:bCs/>
          <w:color w:val="333333"/>
          <w:sz w:val="32"/>
          <w:szCs w:val="32"/>
          <w:shd w:val="clear" w:color="auto" w:fill="FFFFFF"/>
          <w:lang w:bidi="ar"/>
        </w:rPr>
      </w:pPr>
      <w:r>
        <w:rPr>
          <w:rFonts w:ascii="Times New Roman" w:hAnsi="Times New Roman" w:eastAsia="黑体"/>
          <w:bCs/>
          <w:color w:val="333333"/>
          <w:sz w:val="32"/>
          <w:szCs w:val="32"/>
          <w:shd w:val="clear" w:color="auto" w:fill="FFFFFF"/>
          <w:lang w:bidi="ar"/>
        </w:rPr>
        <w:t>五、存在的主要问题及改进情况</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FF0000"/>
          <w:kern w:val="2"/>
          <w:sz w:val="32"/>
          <w:szCs w:val="32"/>
        </w:rPr>
      </w:pPr>
      <w:r>
        <w:rPr>
          <w:rFonts w:ascii="Times New Roman" w:hAnsi="Times New Roman" w:eastAsia="仿宋_GB2312"/>
          <w:color w:val="000000" w:themeColor="text1"/>
          <w:kern w:val="2"/>
          <w:sz w:val="32"/>
          <w:szCs w:val="32"/>
          <w14:textFill>
            <w14:solidFill>
              <w14:schemeClr w14:val="tx1"/>
            </w14:solidFill>
          </w14:textFill>
        </w:rPr>
        <w:t>2023年我单位政府信息公开工作稳步推进，成效明显，但仍存在不足。一是在政策解读质量上还需提高，部分政策解读</w:t>
      </w:r>
      <w:r>
        <w:rPr>
          <w:rFonts w:hint="eastAsia" w:ascii="Times New Roman" w:hAnsi="Times New Roman" w:eastAsia="仿宋_GB2312"/>
          <w:color w:val="000000" w:themeColor="text1"/>
          <w:kern w:val="2"/>
          <w:sz w:val="32"/>
          <w:szCs w:val="32"/>
          <w14:textFill>
            <w14:solidFill>
              <w14:schemeClr w14:val="tx1"/>
            </w14:solidFill>
          </w14:textFill>
        </w:rPr>
        <w:t>未</w:t>
      </w:r>
      <w:r>
        <w:rPr>
          <w:rFonts w:ascii="Times New Roman" w:hAnsi="Times New Roman" w:eastAsia="仿宋_GB2312"/>
          <w:color w:val="000000" w:themeColor="text1"/>
          <w:kern w:val="2"/>
          <w:sz w:val="32"/>
          <w:szCs w:val="32"/>
          <w14:textFill>
            <w14:solidFill>
              <w14:schemeClr w14:val="tx1"/>
            </w14:solidFill>
          </w14:textFill>
        </w:rPr>
        <w:t>能够从多个角度开展；二是下属单位对医疗卫生机构信息发布工作不够积极。</w:t>
      </w:r>
      <w:r>
        <w:rPr>
          <w:rFonts w:hint="eastAsia" w:ascii="Times New Roman" w:hAnsi="Times New Roman" w:eastAsia="仿宋_GB2312"/>
          <w:color w:val="000000" w:themeColor="text1"/>
          <w:kern w:val="2"/>
          <w:sz w:val="32"/>
          <w:szCs w:val="32"/>
          <w14:textFill>
            <w14:solidFill>
              <w14:schemeClr w14:val="tx1"/>
            </w14:solidFill>
          </w14:textFill>
        </w:rPr>
        <w:t>针对以上问题，</w:t>
      </w:r>
      <w:r>
        <w:rPr>
          <w:rFonts w:ascii="Times New Roman" w:hAnsi="Times New Roman" w:eastAsia="仿宋_GB2312"/>
          <w:color w:val="000000" w:themeColor="text1"/>
          <w:kern w:val="2"/>
          <w:sz w:val="32"/>
          <w:szCs w:val="32"/>
          <w14:textFill>
            <w14:solidFill>
              <w14:schemeClr w14:val="tx1"/>
            </w14:solidFill>
          </w14:textFill>
        </w:rPr>
        <w:t>我单位认真总结经验，查找不足，按照《</w:t>
      </w:r>
      <w:r>
        <w:rPr>
          <w:rFonts w:hint="eastAsia" w:ascii="Times New Roman" w:hAnsi="Times New Roman" w:eastAsia="仿宋_GB2312"/>
          <w:color w:val="000000" w:themeColor="text1"/>
          <w:kern w:val="2"/>
          <w:sz w:val="32"/>
          <w:szCs w:val="32"/>
          <w14:textFill>
            <w14:solidFill>
              <w14:schemeClr w14:val="tx1"/>
            </w14:solidFill>
          </w14:textFill>
        </w:rPr>
        <w:t>中华人民共和国</w:t>
      </w:r>
      <w:r>
        <w:rPr>
          <w:rFonts w:ascii="Times New Roman" w:hAnsi="Times New Roman" w:eastAsia="仿宋_GB2312"/>
          <w:color w:val="000000" w:themeColor="text1"/>
          <w:kern w:val="2"/>
          <w:sz w:val="32"/>
          <w:szCs w:val="32"/>
          <w14:textFill>
            <w14:solidFill>
              <w14:schemeClr w14:val="tx1"/>
            </w14:solidFill>
          </w14:textFill>
        </w:rPr>
        <w:t>政府信息公开条例》要求，进一步推进政务公开的层次与深度，全面提升政府信息公开水平。一是提升基础信息公开质量。全面公开本机关的财政预决算、行政权力运行结果、事业单位公开招聘等基础性的政府信息，提升政策文件公开的透明度。二是提升政策解读质量。按照评估要求，尽量多运用宣传推广会、多用客观数据、生动案例等方式对政策进行解读公开。三是进一步完善政务公开工作机制，积极推进医疗卫生机构信息发布、基层政务公开等工作，继续拓宽公开形式，落实政务公开工作责任，畅通与群众沟通渠道。坚持以人民为中心的发展思想，扎实做好政务公开工作。</w:t>
      </w:r>
    </w:p>
    <w:p>
      <w:pPr>
        <w:pStyle w:val="4"/>
        <w:widowControl/>
        <w:shd w:val="clear" w:color="auto" w:fill="FFFFFF"/>
        <w:spacing w:before="0" w:beforeAutospacing="0" w:after="0" w:afterAutospacing="0"/>
        <w:ind w:firstLine="420"/>
        <w:jc w:val="both"/>
        <w:rPr>
          <w:rFonts w:ascii="Times New Roman" w:hAnsi="Times New Roman" w:eastAsia="黑体"/>
          <w:bCs/>
          <w:color w:val="333333"/>
          <w:sz w:val="32"/>
          <w:szCs w:val="32"/>
          <w:shd w:val="clear" w:color="auto" w:fill="FFFFFF"/>
          <w:lang w:bidi="ar"/>
        </w:rPr>
      </w:pPr>
      <w:r>
        <w:rPr>
          <w:rFonts w:ascii="Times New Roman" w:hAnsi="Times New Roman" w:eastAsia="黑体"/>
          <w:bCs/>
          <w:color w:val="333333"/>
          <w:sz w:val="32"/>
          <w:szCs w:val="32"/>
          <w:shd w:val="clear" w:color="auto" w:fill="FFFFFF"/>
          <w:lang w:bidi="ar"/>
        </w:rPr>
        <w:t>六、其他需要报告的事项</w:t>
      </w:r>
    </w:p>
    <w:p>
      <w:pPr>
        <w:widowControl/>
        <w:shd w:val="clear" w:color="auto" w:fill="FFFFFF"/>
        <w:spacing w:line="560" w:lineRule="exact"/>
        <w:ind w:firstLine="640"/>
        <w:jc w:val="left"/>
        <w:rPr>
          <w:rFonts w:ascii="Times New Roman" w:hAnsi="Times New Roman" w:eastAsia="微软雅黑"/>
          <w:kern w:val="0"/>
          <w:sz w:val="24"/>
        </w:rPr>
      </w:pPr>
      <w:r>
        <w:rPr>
          <w:rFonts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楷体"/>
          <w:kern w:val="0"/>
          <w:sz w:val="32"/>
          <w:szCs w:val="32"/>
        </w:rPr>
        <w:t>收取信息处理费情况</w:t>
      </w:r>
      <w:r>
        <w:rPr>
          <w:rFonts w:ascii="Times New Roman" w:hAnsi="Times New Roman" w:eastAsia="仿宋_GB2312"/>
          <w:kern w:val="0"/>
          <w:sz w:val="32"/>
          <w:szCs w:val="32"/>
        </w:rPr>
        <w:t>。</w:t>
      </w:r>
      <w:r>
        <w:rPr>
          <w:rFonts w:ascii="Times New Roman" w:hAnsi="Times New Roman" w:eastAsia="仿宋_GB2312"/>
          <w:kern w:val="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本机关依申请公开政府信息未收取任何费用。</w:t>
      </w:r>
    </w:p>
    <w:p>
      <w:pPr>
        <w:pStyle w:val="4"/>
        <w:widowControl/>
        <w:numPr>
          <w:ilvl w:val="0"/>
          <w:numId w:val="2"/>
        </w:numPr>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楷体"/>
          <w:sz w:val="32"/>
          <w:szCs w:val="32"/>
        </w:rPr>
        <w:t>落实上级年度政务公开工作要点情况</w:t>
      </w:r>
      <w:r>
        <w:rPr>
          <w:rFonts w:ascii="Times New Roman" w:hAnsi="Times New Roman" w:eastAsia="仿宋_GB2312"/>
          <w:sz w:val="32"/>
          <w:szCs w:val="32"/>
        </w:rPr>
        <w:t>。</w:t>
      </w:r>
      <w:r>
        <w:rPr>
          <w:rFonts w:hint="eastAsia" w:ascii="Times New Roman" w:hAnsi="Times New Roman" w:eastAsia="仿宋_GB2312"/>
          <w:color w:val="000000" w:themeColor="text1"/>
          <w:kern w:val="2"/>
          <w:sz w:val="32"/>
          <w:szCs w:val="32"/>
          <w14:textFill>
            <w14:solidFill>
              <w14:schemeClr w14:val="tx1"/>
            </w14:solidFill>
          </w14:textFill>
        </w:rPr>
        <w:t>按照《2023年淄川区政务公开工作方案》部署、要求，重点围绕</w:t>
      </w:r>
      <w:r>
        <w:rPr>
          <w:rFonts w:ascii="Times New Roman" w:hAnsi="Times New Roman" w:eastAsia="仿宋_GB2312"/>
          <w:color w:val="000000" w:themeColor="text1"/>
          <w:sz w:val="32"/>
          <w:szCs w:val="32"/>
          <w14:textFill>
            <w14:solidFill>
              <w14:schemeClr w14:val="tx1"/>
            </w14:solidFill>
          </w14:textFill>
        </w:rPr>
        <w:t>卫生健康</w:t>
      </w:r>
      <w:r>
        <w:rPr>
          <w:rFonts w:hint="eastAsia" w:ascii="Times New Roman" w:hAnsi="Times New Roman" w:eastAsia="仿宋_GB2312"/>
          <w:color w:val="000000" w:themeColor="text1"/>
          <w:kern w:val="2"/>
          <w:sz w:val="32"/>
          <w:szCs w:val="32"/>
          <w14:textFill>
            <w14:solidFill>
              <w14:schemeClr w14:val="tx1"/>
            </w14:solidFill>
          </w14:textFill>
        </w:rPr>
        <w:t>等方面深化政务公开，更好地发挥以公开促落实、促规范、促服务作用。</w:t>
      </w:r>
      <w:bookmarkStart w:id="10" w:name="_GoBack"/>
      <w:bookmarkEnd w:id="10"/>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w:t>
      </w:r>
      <w:r>
        <w:rPr>
          <w:rFonts w:ascii="Times New Roman" w:hAnsi="Times New Roman" w:eastAsia="楷体"/>
          <w:sz w:val="32"/>
          <w:szCs w:val="32"/>
        </w:rPr>
        <w:t>人大代表</w:t>
      </w:r>
      <w:r>
        <w:rPr>
          <w:rFonts w:hint="eastAsia" w:ascii="Times New Roman" w:hAnsi="Times New Roman" w:eastAsia="楷体"/>
          <w:sz w:val="32"/>
          <w:szCs w:val="32"/>
        </w:rPr>
        <w:t>建议</w:t>
      </w:r>
      <w:r>
        <w:rPr>
          <w:rFonts w:ascii="Times New Roman" w:hAnsi="Times New Roman" w:eastAsia="楷体"/>
          <w:sz w:val="32"/>
          <w:szCs w:val="32"/>
        </w:rPr>
        <w:t>和政协</w:t>
      </w:r>
      <w:r>
        <w:rPr>
          <w:rFonts w:hint="eastAsia" w:ascii="Times New Roman" w:hAnsi="Times New Roman" w:eastAsia="楷体"/>
          <w:sz w:val="32"/>
          <w:szCs w:val="32"/>
        </w:rPr>
        <w:t>委员</w:t>
      </w:r>
      <w:r>
        <w:rPr>
          <w:rFonts w:ascii="Times New Roman" w:hAnsi="Times New Roman" w:eastAsia="楷体"/>
          <w:sz w:val="32"/>
          <w:szCs w:val="32"/>
        </w:rPr>
        <w:t>提案办理结果公开情况</w:t>
      </w:r>
      <w:r>
        <w:rPr>
          <w:rFonts w:ascii="Times New Roman" w:hAnsi="Times New Roman" w:eastAsia="仿宋_GB2312"/>
          <w:sz w:val="32"/>
          <w:szCs w:val="32"/>
        </w:rPr>
        <w:t>。</w:t>
      </w:r>
      <w:r>
        <w:rPr>
          <w:rFonts w:ascii="Times New Roman" w:hAnsi="Times New Roman" w:eastAsia="仿宋_GB2312"/>
          <w:color w:val="000000" w:themeColor="text1"/>
          <w:kern w:val="2"/>
          <w:sz w:val="32"/>
          <w:szCs w:val="32"/>
          <w14:textFill>
            <w14:solidFill>
              <w14:schemeClr w14:val="tx1"/>
            </w14:solidFill>
          </w14:textFill>
        </w:rPr>
        <w:t>2023年共公开人大建议办理情况8件，政协提案办理情况14件，均按时完成答复。</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4、</w:t>
      </w:r>
      <w:r>
        <w:rPr>
          <w:rFonts w:ascii="Times New Roman" w:hAnsi="Times New Roman" w:eastAsia="楷体"/>
          <w:sz w:val="32"/>
          <w:szCs w:val="32"/>
        </w:rPr>
        <w:t>政务公开工作创新情况。</w:t>
      </w:r>
      <w:r>
        <w:rPr>
          <w:rFonts w:ascii="Times New Roman" w:hAnsi="Times New Roman" w:eastAsia="仿宋_GB2312"/>
          <w:color w:val="000000" w:themeColor="text1"/>
          <w:kern w:val="2"/>
          <w:sz w:val="32"/>
          <w:szCs w:val="32"/>
          <w14:textFill>
            <w14:solidFill>
              <w14:schemeClr w14:val="tx1"/>
            </w14:solidFill>
          </w14:textFill>
        </w:rPr>
        <w:t>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5、</w:t>
      </w:r>
      <w:r>
        <w:rPr>
          <w:rFonts w:ascii="Times New Roman" w:hAnsi="Times New Roman" w:eastAsia="楷体"/>
          <w:sz w:val="32"/>
          <w:szCs w:val="32"/>
        </w:rPr>
        <w:t>政府信息公开工作年度报告数据统计需要说明的事项。</w:t>
      </w:r>
      <w:r>
        <w:rPr>
          <w:rFonts w:ascii="Times New Roman" w:hAnsi="Times New Roman" w:eastAsia="仿宋_GB2312"/>
          <w:color w:val="000000" w:themeColor="text1"/>
          <w:kern w:val="2"/>
          <w:sz w:val="32"/>
          <w:szCs w:val="32"/>
          <w14:textFill>
            <w14:solidFill>
              <w14:schemeClr w14:val="tx1"/>
            </w14:solidFill>
          </w14:textFill>
        </w:rPr>
        <w:t>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6、</w:t>
      </w:r>
      <w:r>
        <w:rPr>
          <w:rFonts w:ascii="Times New Roman" w:hAnsi="Times New Roman" w:eastAsia="楷体"/>
          <w:sz w:val="32"/>
          <w:szCs w:val="32"/>
        </w:rPr>
        <w:t>本行政机关认为需要报告的其他事项。</w:t>
      </w:r>
      <w:r>
        <w:rPr>
          <w:rFonts w:ascii="Times New Roman" w:hAnsi="Times New Roman" w:eastAsia="仿宋_GB2312"/>
          <w:color w:val="000000" w:themeColor="text1"/>
          <w:kern w:val="2"/>
          <w:sz w:val="32"/>
          <w:szCs w:val="32"/>
          <w14:textFill>
            <w14:solidFill>
              <w14:schemeClr w14:val="tx1"/>
            </w14:solidFill>
          </w14:textFill>
        </w:rPr>
        <w:t>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7、</w:t>
      </w:r>
      <w:r>
        <w:rPr>
          <w:rFonts w:ascii="Times New Roman" w:hAnsi="Times New Roman" w:eastAsia="楷体"/>
          <w:sz w:val="32"/>
          <w:szCs w:val="32"/>
        </w:rPr>
        <w:t>其他有关文件专门要求通过政府信息公开工作年度报告予以报告的事项。</w:t>
      </w:r>
      <w:r>
        <w:rPr>
          <w:rFonts w:ascii="Times New Roman" w:hAnsi="Times New Roman" w:eastAsia="仿宋_GB2312"/>
          <w:color w:val="000000" w:themeColor="text1"/>
          <w:kern w:val="2"/>
          <w:sz w:val="32"/>
          <w:szCs w:val="32"/>
          <w14:textFill>
            <w14:solidFill>
              <w14:schemeClr w14:val="tx1"/>
            </w14:solidFill>
          </w14:textFill>
        </w:rPr>
        <w:t>无。</w:t>
      </w:r>
    </w:p>
    <w:p>
      <w:pPr>
        <w:pStyle w:val="4"/>
        <w:widowControl/>
        <w:shd w:val="clear" w:color="auto" w:fill="FFFFFF"/>
        <w:spacing w:before="0" w:beforeAutospacing="0" w:after="0" w:afterAutospacing="0" w:line="560" w:lineRule="exact"/>
        <w:ind w:firstLine="640" w:firstLineChars="200"/>
        <w:jc w:val="right"/>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淄川区卫生健康局</w:t>
      </w:r>
    </w:p>
    <w:p>
      <w:pPr>
        <w:pStyle w:val="4"/>
        <w:widowControl/>
        <w:shd w:val="clear" w:color="auto" w:fill="FFFFFF"/>
        <w:spacing w:before="0" w:beforeAutospacing="0" w:after="0" w:afterAutospacing="0" w:line="560" w:lineRule="exact"/>
        <w:ind w:firstLine="640" w:firstLineChars="200"/>
        <w:jc w:val="right"/>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2024年1月16日</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p>
    <w:p>
      <w:pPr>
        <w:rPr>
          <w:rFonts w:ascii="Times New Roman" w:hAnsi="Times New Roman" w:eastAsia="黑体"/>
          <w:bCs/>
          <w:color w:val="000000" w:themeColor="text1"/>
          <w:kern w:val="0"/>
          <w:sz w:val="32"/>
          <w:szCs w:val="32"/>
          <w:shd w:val="clear" w:color="auto" w:fill="FFFFFF"/>
          <w:lang w:bidi="ar"/>
          <w14:textFill>
            <w14:solidFill>
              <w14:schemeClr w14:val="tx1"/>
            </w14:solidFill>
          </w14:textFill>
        </w:rPr>
      </w:pPr>
    </w:p>
    <w:p>
      <w:pPr>
        <w:ind w:firstLine="640" w:firstLineChars="200"/>
        <w:rPr>
          <w:rFonts w:ascii="Times New Roman" w:hAnsi="Times New Roman" w:eastAsia="仿宋_GB2312"/>
          <w:color w:val="FF0000"/>
          <w:sz w:val="32"/>
          <w:szCs w:val="32"/>
        </w:rPr>
      </w:pPr>
    </w:p>
    <w:p>
      <w:pPr>
        <w:ind w:firstLine="640" w:firstLineChars="200"/>
        <w:rPr>
          <w:rFonts w:ascii="Times New Roman" w:hAnsi="Times New Roman" w:eastAsia="仿宋_GB2312"/>
          <w:color w:val="0000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4C922"/>
    <w:multiLevelType w:val="singleLevel"/>
    <w:tmpl w:val="29E4C922"/>
    <w:lvl w:ilvl="0" w:tentative="0">
      <w:start w:val="3"/>
      <w:numFmt w:val="chineseCounting"/>
      <w:suff w:val="nothing"/>
      <w:lvlText w:val="%1、"/>
      <w:lvlJc w:val="left"/>
      <w:pPr>
        <w:ind w:left="0"/>
      </w:pPr>
      <w:rPr>
        <w:rFonts w:hint="eastAsia"/>
      </w:rPr>
    </w:lvl>
  </w:abstractNum>
  <w:abstractNum w:abstractNumId="1">
    <w:nsid w:val="35151986"/>
    <w:multiLevelType w:val="singleLevel"/>
    <w:tmpl w:val="3515198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DNhMzdmY2Q1MDkzMmUzZDYwNDUxOWFiNTZjZmMifQ=="/>
    <w:docVar w:name="KSO_WPS_MARK_KEY" w:val="d179ed39-f3d7-4a1c-a0ec-34e573a4ae93"/>
  </w:docVars>
  <w:rsids>
    <w:rsidRoot w:val="00A55A22"/>
    <w:rsid w:val="0036572D"/>
    <w:rsid w:val="00A55A22"/>
    <w:rsid w:val="00CA515F"/>
    <w:rsid w:val="00DC3E29"/>
    <w:rsid w:val="03AD05A3"/>
    <w:rsid w:val="09806862"/>
    <w:rsid w:val="0B74343D"/>
    <w:rsid w:val="0D243012"/>
    <w:rsid w:val="0DF04D08"/>
    <w:rsid w:val="0F431EF4"/>
    <w:rsid w:val="1794650D"/>
    <w:rsid w:val="18037CE2"/>
    <w:rsid w:val="180961EE"/>
    <w:rsid w:val="1ADE38C8"/>
    <w:rsid w:val="1D693BF2"/>
    <w:rsid w:val="1DFA0B37"/>
    <w:rsid w:val="26676124"/>
    <w:rsid w:val="26E15CE7"/>
    <w:rsid w:val="284207F7"/>
    <w:rsid w:val="2AEF3F60"/>
    <w:rsid w:val="30CC46C7"/>
    <w:rsid w:val="31824BEB"/>
    <w:rsid w:val="33391390"/>
    <w:rsid w:val="339B5FEF"/>
    <w:rsid w:val="37346480"/>
    <w:rsid w:val="38132093"/>
    <w:rsid w:val="38C211D8"/>
    <w:rsid w:val="397B013F"/>
    <w:rsid w:val="3AD07104"/>
    <w:rsid w:val="3C5F4A28"/>
    <w:rsid w:val="3FD4446F"/>
    <w:rsid w:val="3FDD4184"/>
    <w:rsid w:val="4C2517AC"/>
    <w:rsid w:val="4CD754F1"/>
    <w:rsid w:val="4E971861"/>
    <w:rsid w:val="500F26C8"/>
    <w:rsid w:val="516E04D5"/>
    <w:rsid w:val="63D77B42"/>
    <w:rsid w:val="64965DAC"/>
    <w:rsid w:val="6CA52BE1"/>
    <w:rsid w:val="6D946D06"/>
    <w:rsid w:val="6EDD3D1E"/>
    <w:rsid w:val="729E28EA"/>
    <w:rsid w:val="72A72E7B"/>
    <w:rsid w:val="73F47970"/>
    <w:rsid w:val="79226841"/>
    <w:rsid w:val="7A5B5C0C"/>
    <w:rsid w:val="7EA0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 w:type="character" w:customStyle="1" w:styleId="8">
    <w:name w:val="页眉 字符"/>
    <w:basedOn w:val="6"/>
    <w:link w:val="3"/>
    <w:uiPriority w:val="0"/>
    <w:rPr>
      <w:rFonts w:ascii="Calibri" w:hAnsi="Calibri" w:eastAsia="宋体" w:cs="Times New Roman"/>
      <w:kern w:val="2"/>
      <w:sz w:val="18"/>
      <w:szCs w:val="18"/>
    </w:rPr>
  </w:style>
  <w:style w:type="character" w:customStyle="1" w:styleId="9">
    <w:name w:val="页脚 字符"/>
    <w:basedOn w:val="6"/>
    <w:link w:val="2"/>
    <w:qFormat/>
    <w:uiPriority w:val="0"/>
    <w:rPr>
      <w:rFonts w:ascii="Calibri" w:hAnsi="Calibri" w:eastAsia="宋体" w:cs="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458</Words>
  <Characters>2615</Characters>
  <Lines>21</Lines>
  <Paragraphs>6</Paragraphs>
  <TotalTime>45</TotalTime>
  <ScaleCrop>false</ScaleCrop>
  <LinksUpToDate>false</LinksUpToDate>
  <CharactersWithSpaces>3067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2024-01-11T00:59:00Z</dcterms:created>
  <dc:creator>wsj</dc:creator>
  <cp:lastModifiedBy>银杏果</cp:lastModifiedBy>
  <dcterms:modified xsi:type="dcterms:W3CDTF">2024-01-26T03:20:14Z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EF5F4EDF914041B69FE1F55060085A5C</vt:lpwstr>
  </property>
</Properties>
</file>