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560" w:lineRule="exact"/>
        <w:jc w:val="center"/>
        <w:rPr>
          <w:rFonts w:hint="eastAsia" w:ascii="Times New Roman" w:hAnsi="Times New Roman" w:eastAsia="方正小标宋简体"/>
          <w:bCs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eastAsia="zh-CN"/>
        </w:rPr>
        <w:t>淄川区行政审批服务局</w:t>
      </w:r>
    </w:p>
    <w:p>
      <w:pPr>
        <w:widowControl/>
        <w:shd w:val="clear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政府信息公开工作年度报告</w:t>
      </w:r>
    </w:p>
    <w:p>
      <w:pPr>
        <w:widowControl/>
        <w:shd w:val="clear"/>
        <w:spacing w:line="560" w:lineRule="exact"/>
        <w:ind w:firstLine="482"/>
        <w:rPr>
          <w:rFonts w:ascii="Times New Roman" w:hAnsi="Times New Roman" w:eastAsia="黑体"/>
          <w:bCs/>
          <w:kern w:val="0"/>
          <w:sz w:val="32"/>
          <w:szCs w:val="32"/>
        </w:rPr>
      </w:pPr>
    </w:p>
    <w:p>
      <w:pPr>
        <w:widowControl/>
        <w:shd w:val="clear"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一、总体情况</w:t>
      </w:r>
    </w:p>
    <w:p>
      <w:pPr>
        <w:widowControl/>
        <w:shd w:val="clear"/>
        <w:spacing w:line="560" w:lineRule="exact"/>
        <w:ind w:firstLine="640" w:firstLineChars="200"/>
        <w:rPr>
          <w:rFonts w:hint="eastAsia"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2020年，本机关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依法执行信息公开有关规定和省市区意见精神，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加强组织领导，健全信息公开工作机制，紧紧围绕政务服务标准化、规范化、便利化，做好重点领域政府信息主动公开，拓展公开渠道，深化公开内容，确保政府信息公开的准确性、权威性、完整性和时效性。</w:t>
      </w:r>
    </w:p>
    <w:p>
      <w:pPr>
        <w:widowControl/>
        <w:shd w:val="clear"/>
        <w:spacing w:line="560" w:lineRule="exact"/>
        <w:ind w:firstLine="640" w:firstLineChars="200"/>
        <w:rPr>
          <w:rFonts w:hint="eastAsia"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1、主动公开政府信息情况。2020年，主动公开政府信息295条。公开类别：机构职能类6条；政府信息公开指南类1条；政策文件类10条；规划计划类1条；重要部署执行类5条；建议提案类2条；财政信息类6条；社会信用体系类196条；行政执法公示类22条；优化服务类11条；优化营商环境类1条；重大建设项目类2条；政府信息公开制度类10条；政府信息公开制度类20条；政府信息公开目录类1条；政府信息公开年度报告1条。</w:t>
      </w:r>
    </w:p>
    <w:p>
      <w:pPr>
        <w:widowControl/>
        <w:shd w:val="clear"/>
        <w:spacing w:line="560" w:lineRule="exact"/>
        <w:ind w:firstLine="640" w:firstLineChars="200"/>
        <w:rPr>
          <w:rFonts w:hint="eastAsia"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2、人大代表建议和政协委员提案办理情况。我局全年共承办政协委员提案办理答复1件，主要涉及在区政务服务中心增加淄川交通旅游图。</w:t>
      </w:r>
    </w:p>
    <w:p>
      <w:pPr>
        <w:widowControl/>
        <w:shd w:val="clear"/>
        <w:spacing w:line="560" w:lineRule="exact"/>
        <w:ind w:firstLine="640" w:firstLineChars="200"/>
        <w:rPr>
          <w:rFonts w:hint="eastAsia"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3、依申请公开政府信息情况。我局2020年无依申请公开信息情况。</w:t>
      </w:r>
    </w:p>
    <w:p>
      <w:pPr>
        <w:widowControl/>
        <w:shd w:val="clear"/>
        <w:spacing w:line="560" w:lineRule="exact"/>
        <w:ind w:firstLine="640" w:firstLineChars="200"/>
        <w:rPr>
          <w:rFonts w:hint="eastAsia"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4、政府信息管理情况。成立了以分管领导为组长的信息管理工作小组，安排专人负责网站的日常管理、投稿、归档等工作。严格要求，信息审核须经分管领导和主要领导审核签字后方可报送。</w:t>
      </w:r>
    </w:p>
    <w:p>
      <w:pPr>
        <w:widowControl/>
        <w:shd w:val="clear"/>
        <w:spacing w:line="560" w:lineRule="exact"/>
        <w:ind w:firstLine="640" w:firstLineChars="200"/>
        <w:rPr>
          <w:rFonts w:hint="eastAsia"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5、平台建设情况。一是进一步优化网站功能、栏目设置，推进完善政策解读、防范化解重大风险、优化营商环境等栏目。继续推进政务新媒体建设，不断丰富传播内容、持续完善服务功能；二是通过政府信息公开平台，尽最大限度地把各方面的政策、法规、新闻动态及时通过平台对外公布。</w:t>
      </w:r>
    </w:p>
    <w:p>
      <w:pPr>
        <w:widowControl/>
        <w:shd w:val="clear"/>
        <w:spacing w:line="560" w:lineRule="exact"/>
        <w:ind w:firstLine="640" w:firstLineChars="200"/>
        <w:rPr>
          <w:rFonts w:hint="eastAsia"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6、监督保障情况。根据政务信息管理监督考核实施细则，按照平时加强监管，定期督促检查，年终考核的方式，对我局政务信息公开、政务信息报送、采用情况进行监督考核，促进我局政务水平迈上新台阶。</w:t>
      </w:r>
    </w:p>
    <w:p>
      <w:pPr>
        <w:widowControl/>
        <w:numPr>
          <w:ilvl w:val="0"/>
          <w:numId w:val="0"/>
        </w:numPr>
        <w:shd w:val="clear"/>
        <w:spacing w:line="560" w:lineRule="exact"/>
        <w:ind w:firstLine="640" w:firstLineChars="20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二、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主动公开政府信息情况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030" w:type="dxa"/>
            <w:vAlign w:val="center"/>
          </w:tcPr>
          <w:p>
            <w:pPr>
              <w:shd w:val="clea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2222" w:type="dxa"/>
            <w:vAlign w:val="center"/>
          </w:tcPr>
          <w:p>
            <w:pPr>
              <w:shd w:val="clea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030" w:type="dxa"/>
            <w:vAlign w:val="center"/>
          </w:tcPr>
          <w:p>
            <w:pPr>
              <w:shd w:val="clea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-58</w:t>
            </w:r>
          </w:p>
        </w:tc>
        <w:tc>
          <w:tcPr>
            <w:tcW w:w="2222" w:type="dxa"/>
            <w:vAlign w:val="center"/>
          </w:tcPr>
          <w:p>
            <w:pPr>
              <w:shd w:val="clea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hd w:val="clear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shd w:val="clea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hd w:val="clea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1166000元</w:t>
            </w:r>
          </w:p>
        </w:tc>
      </w:tr>
    </w:tbl>
    <w:p>
      <w:pPr>
        <w:widowControl/>
        <w:numPr>
          <w:ilvl w:val="0"/>
          <w:numId w:val="0"/>
        </w:numPr>
        <w:shd w:val="clear"/>
        <w:spacing w:line="560" w:lineRule="exact"/>
        <w:ind w:firstLine="640" w:firstLineChars="200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bCs/>
          <w:kern w:val="0"/>
          <w:sz w:val="32"/>
          <w:szCs w:val="32"/>
        </w:rPr>
        <w:t>收到和处理政府信息公开申请情况</w:t>
      </w:r>
    </w:p>
    <w:tbl>
      <w:tblPr>
        <w:tblStyle w:val="8"/>
        <w:tblW w:w="9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538"/>
        <w:gridCol w:w="567"/>
        <w:gridCol w:w="709"/>
        <w:gridCol w:w="709"/>
        <w:gridCol w:w="567"/>
        <w:gridCol w:w="7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shd w:val="clear"/>
              <w:jc w:val="center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365" w:type="dxa"/>
            <w:gridSpan w:val="7"/>
            <w:vAlign w:val="center"/>
          </w:tcPr>
          <w:p>
            <w:pPr>
              <w:shd w:val="clear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shd w:val="clear"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shd w:val="clear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090" w:type="dxa"/>
            <w:gridSpan w:val="5"/>
            <w:vAlign w:val="center"/>
          </w:tcPr>
          <w:p>
            <w:pPr>
              <w:shd w:val="clear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hd w:val="clear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820" w:type="dxa"/>
            <w:gridSpan w:val="3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>
            <w:pPr>
              <w:shd w:val="clear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shd w:val="clear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shd w:val="clear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hd w:val="clea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shd w:val="clear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hd w:val="clea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hd w:val="clea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shd w:val="clear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shd w:val="clear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hd w:val="clear"/>
            </w:pPr>
          </w:p>
        </w:tc>
        <w:tc>
          <w:tcPr>
            <w:tcW w:w="2693" w:type="dxa"/>
            <w:vAlign w:val="center"/>
          </w:tcPr>
          <w:p>
            <w:pPr>
              <w:shd w:val="clear"/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hd w:val="clea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shd w:val="clear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538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709" w:type="dxa"/>
            <w:vAlign w:val="center"/>
          </w:tcPr>
          <w:p>
            <w:pPr>
              <w:shd w:val="clear"/>
            </w:pPr>
          </w:p>
        </w:tc>
        <w:tc>
          <w:tcPr>
            <w:tcW w:w="567" w:type="dxa"/>
            <w:vAlign w:val="center"/>
          </w:tcPr>
          <w:p>
            <w:pPr>
              <w:shd w:val="clear"/>
            </w:pPr>
          </w:p>
        </w:tc>
        <w:tc>
          <w:tcPr>
            <w:tcW w:w="708" w:type="dxa"/>
            <w:vAlign w:val="center"/>
          </w:tcPr>
          <w:p>
            <w:pPr>
              <w:shd w:val="clea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/>
        <w:tabs>
          <w:tab w:val="left" w:pos="5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bCs/>
          <w:kern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8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7" w:type="dxa"/>
            <w:gridSpan w:val="5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行政复议</w:t>
            </w:r>
          </w:p>
        </w:tc>
        <w:tc>
          <w:tcPr>
            <w:tcW w:w="5670" w:type="dxa"/>
            <w:gridSpan w:val="10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Merge w:val="restart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未经复议直接起诉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538" w:type="dxa"/>
            <w:vMerge w:val="continue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结果维持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结果纠正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其他结果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8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hd w:val="clea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五、存在的主要问题及改进情况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为进一步做好政府信息公开工作，20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年我局主要采取以下措施：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（一）加强专业队伍建设。选派专人作为信息公开人员，负责推进、协调、监督政务公开工作，保证信息公开及时、透明。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（二）扎实做好信息公开。按照要求及时、准确、规范发布信息，把公众普遍关心、重点关注的信息予以公开，进一步提高政务公开的实效。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无其他需要报告的事项。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right"/>
        <w:textAlignment w:val="auto"/>
        <w:rPr>
          <w:rFonts w:hint="default" w:ascii="Times New Roman" w:hAnsi="Times New Roman" w:eastAsia="方正仿宋简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淄川区行政审批服务局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right"/>
        <w:textAlignment w:val="auto"/>
        <w:rPr>
          <w:rFonts w:hint="default" w:ascii="Times New Roman" w:hAnsi="Times New Roman" w:eastAsia="方正仿宋简体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2020年1月2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方正仿宋简体"/>
          <w:kern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7" w:h="16840"/>
      <w:pgMar w:top="2098" w:right="1474" w:bottom="1985" w:left="158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8958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38.55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L284htIAAAAD&#10;AQAADwAAAGRycy9kb3ducmV2LnhtbE2PwU7DMBBE70j8g7VI3KiTFFEUsqlERTgi0XDg6MZLErDX&#10;ke2m4e8xXOhlpdGMZt5W28UaMZMPo2OEfJWBIO6cHrlHeGubm3sQISrWyjgmhG8KsK0vLypVanfi&#10;V5r3sRephEOpEIYYp1LK0A1kVVi5iTh5H85bFZP0vdRenVK5NbLIsjtp1chpYVAT7QbqvvZHi7Br&#10;2tbPFLx5p+dm/fnyeEtPC+L1VZ49gIi0xP8w/OIndKgT08EdWQdhENIj8e8mb7PJQRwQ1kUBsq7k&#10;OXv9A1BLAwQUAAAACACHTuJA89Ksky8CAABTBAAADgAAAGRycy9lMm9Eb2MueG1srVTLbhMxFN0j&#10;8Q+W92SSkJQQZVKFRkFIFa1UEGvH48mM5JdsJzPhA+APWHXDnu/qd3DsmaSosOiCjXPnvs+592Zx&#10;2SpJDsL52uicjgZDSoTmpqj1LqefP21ezSjxgemCSaNFTo/C08vlyxeLxs7F2FRGFsIRJNF+3tic&#10;ViHYeZZ5XgnF/MBYoWEsjVMs4NPtssKxBtmVzMbD4UXWGFdYZ7jwHtp1Z6R9RvechKYsay7Whu+V&#10;0KHL6oRkAZB8VVtPl6nbshQ83JSlF4HInAJpSC+KQN7GN1su2HznmK1q3rfAntPCE0yK1RpFz6nW&#10;LDCyd/VfqVTNnfGmDANuVNYBSYwAxWj4hJu7ilmRsIBqb8+k+/+Xln883DpSF9gESjRTGPjDj+8P&#10;978efn4jo0hPY/0cXncWfqF9Z9ro2us9lBF1WzoVf4GHwA5yj2dyRRsIh3IyezudTSnhMI2Hk8mb&#10;RH72GGydD++FUSQKOXWYXaKUHa59QEG4nlxiLW02tZRpflKTJqcXr6fDFHC2IEJqBEYIXatRCu22&#10;7fvfmuIIWM50e+Et39Qofs18uGUOiwAkOJVwg6eUBkVML1FSGff1X/roj/nASkmDxcqpxh1RIj9o&#10;zC3u4ElwJ2F7EvReXRlsKmaBXpKIABfkSSydUV9wP6tYAyamOSrlNJzEq9AtN+6Pi9UqOWHTLAvX&#10;+s7ymDqS5+1qH0Bg4jWS0jHRc4VdS3T3dxGX+c/v5PX4X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9vOIbSAAAAAwEAAA8AAAAAAAAAAQAgAAAAIgAAAGRycy9kb3ducmV2LnhtbFBLAQIUABQA&#10;AAAIAIdO4kDz0qyT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EE"/>
    <w:rsid w:val="00035664"/>
    <w:rsid w:val="00037EFB"/>
    <w:rsid w:val="0006626C"/>
    <w:rsid w:val="00194B25"/>
    <w:rsid w:val="001C4F78"/>
    <w:rsid w:val="001E372B"/>
    <w:rsid w:val="002B5841"/>
    <w:rsid w:val="002C5B60"/>
    <w:rsid w:val="00301CA6"/>
    <w:rsid w:val="00317CB7"/>
    <w:rsid w:val="00322437"/>
    <w:rsid w:val="00341973"/>
    <w:rsid w:val="003428E7"/>
    <w:rsid w:val="003A7DAC"/>
    <w:rsid w:val="003D0437"/>
    <w:rsid w:val="004210D5"/>
    <w:rsid w:val="00490626"/>
    <w:rsid w:val="004F7BF2"/>
    <w:rsid w:val="00540433"/>
    <w:rsid w:val="0058577E"/>
    <w:rsid w:val="006046B5"/>
    <w:rsid w:val="0068638C"/>
    <w:rsid w:val="006A0541"/>
    <w:rsid w:val="006A3111"/>
    <w:rsid w:val="006D6D0B"/>
    <w:rsid w:val="00732CA0"/>
    <w:rsid w:val="00777FEE"/>
    <w:rsid w:val="00796BB6"/>
    <w:rsid w:val="00846887"/>
    <w:rsid w:val="008D12FC"/>
    <w:rsid w:val="00914CFD"/>
    <w:rsid w:val="009D2C00"/>
    <w:rsid w:val="00AC569C"/>
    <w:rsid w:val="00AF235E"/>
    <w:rsid w:val="00AF5F99"/>
    <w:rsid w:val="00B00E8A"/>
    <w:rsid w:val="00B00FEE"/>
    <w:rsid w:val="00B34114"/>
    <w:rsid w:val="00B80C2F"/>
    <w:rsid w:val="00BD525D"/>
    <w:rsid w:val="00C01734"/>
    <w:rsid w:val="00C702C4"/>
    <w:rsid w:val="00C70B88"/>
    <w:rsid w:val="00D5218C"/>
    <w:rsid w:val="00D72CFE"/>
    <w:rsid w:val="00D804C9"/>
    <w:rsid w:val="00D920F2"/>
    <w:rsid w:val="00E4116C"/>
    <w:rsid w:val="00F579DF"/>
    <w:rsid w:val="00F6465D"/>
    <w:rsid w:val="00FC71F7"/>
    <w:rsid w:val="02D86DB9"/>
    <w:rsid w:val="084A4178"/>
    <w:rsid w:val="087F3E7B"/>
    <w:rsid w:val="0A135D37"/>
    <w:rsid w:val="14555CCF"/>
    <w:rsid w:val="1EF20821"/>
    <w:rsid w:val="25C9120A"/>
    <w:rsid w:val="2B4B6276"/>
    <w:rsid w:val="2CF32449"/>
    <w:rsid w:val="34400E4E"/>
    <w:rsid w:val="36774695"/>
    <w:rsid w:val="3F0D7EB6"/>
    <w:rsid w:val="501355F3"/>
    <w:rsid w:val="50C71488"/>
    <w:rsid w:val="57687019"/>
    <w:rsid w:val="598D4C24"/>
    <w:rsid w:val="60176E2D"/>
    <w:rsid w:val="751A7756"/>
    <w:rsid w:val="7DBF7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1"/>
    </w:pPr>
    <w:rPr>
      <w:sz w:val="32"/>
      <w:szCs w:val="32"/>
    </w:rPr>
  </w:style>
  <w:style w:type="paragraph" w:styleId="3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12">
    <w:name w:val="CM1"/>
    <w:basedOn w:val="11"/>
    <w:next w:val="11"/>
    <w:qFormat/>
    <w:uiPriority w:val="99"/>
    <w:rPr>
      <w:rFonts w:cs="Times New Roman"/>
      <w:color w:val="auto"/>
    </w:rPr>
  </w:style>
  <w:style w:type="paragraph" w:customStyle="1" w:styleId="13">
    <w:name w:val="CM8"/>
    <w:basedOn w:val="11"/>
    <w:next w:val="11"/>
    <w:qFormat/>
    <w:uiPriority w:val="99"/>
    <w:pPr>
      <w:spacing w:after="255"/>
    </w:pPr>
    <w:rPr>
      <w:rFonts w:cs="Times New Roman"/>
      <w:color w:val="auto"/>
    </w:rPr>
  </w:style>
  <w:style w:type="paragraph" w:customStyle="1" w:styleId="14">
    <w:name w:val="CM2"/>
    <w:basedOn w:val="11"/>
    <w:next w:val="11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5">
    <w:name w:val="CM3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4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7">
    <w:name w:val="CM9"/>
    <w:basedOn w:val="11"/>
    <w:next w:val="11"/>
    <w:qFormat/>
    <w:uiPriority w:val="99"/>
    <w:pPr>
      <w:spacing w:after="572"/>
    </w:pPr>
    <w:rPr>
      <w:rFonts w:cs="Times New Roman"/>
      <w:color w:val="auto"/>
    </w:rPr>
  </w:style>
  <w:style w:type="paragraph" w:customStyle="1" w:styleId="18">
    <w:name w:val="CM5"/>
    <w:basedOn w:val="11"/>
    <w:next w:val="11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9">
    <w:name w:val="CM6"/>
    <w:basedOn w:val="11"/>
    <w:next w:val="11"/>
    <w:qFormat/>
    <w:uiPriority w:val="99"/>
    <w:rPr>
      <w:rFonts w:cs="Times New Roman"/>
      <w:color w:val="auto"/>
    </w:rPr>
  </w:style>
  <w:style w:type="paragraph" w:customStyle="1" w:styleId="20">
    <w:name w:val="CM10"/>
    <w:basedOn w:val="11"/>
    <w:next w:val="11"/>
    <w:qFormat/>
    <w:uiPriority w:val="99"/>
    <w:pPr>
      <w:spacing w:after="188"/>
    </w:pPr>
    <w:rPr>
      <w:rFonts w:cs="Times New Roman"/>
      <w:color w:val="auto"/>
    </w:rPr>
  </w:style>
  <w:style w:type="paragraph" w:customStyle="1" w:styleId="21">
    <w:name w:val="CM7"/>
    <w:basedOn w:val="11"/>
    <w:next w:val="11"/>
    <w:qFormat/>
    <w:uiPriority w:val="99"/>
    <w:rPr>
      <w:rFonts w:cs="Times New Roman"/>
      <w:color w:val="auto"/>
    </w:rPr>
  </w:style>
  <w:style w:type="paragraph" w:customStyle="1" w:styleId="22">
    <w:name w:val="CM11"/>
    <w:basedOn w:val="11"/>
    <w:next w:val="11"/>
    <w:qFormat/>
    <w:uiPriority w:val="99"/>
    <w:pPr>
      <w:spacing w:after="840"/>
    </w:pPr>
    <w:rPr>
      <w:rFonts w:cs="Times New Roman"/>
      <w:color w:val="auto"/>
    </w:rPr>
  </w:style>
  <w:style w:type="character" w:customStyle="1" w:styleId="23">
    <w:name w:val="页眉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26">
    <w:name w:val="日期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1100</Words>
  <Characters>6276</Characters>
  <Lines>52</Lines>
  <Paragraphs>14</Paragraphs>
  <TotalTime>157</TotalTime>
  <ScaleCrop>false</ScaleCrop>
  <LinksUpToDate>false</LinksUpToDate>
  <CharactersWithSpaces>7362</CharactersWithSpaces>
  <Application>WPS Office_11.1.0.10314_F1E327BC-269C-435d-A152-05C5408002CA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2021-01-19T02:18:00Z</dcterms:created>
  <dc:creator>作者</dc:creator>
  <cp:keywords>关键字</cp:keywords>
  <cp:lastModifiedBy>柳泉巨石</cp:lastModifiedBy>
  <cp:lastPrinted>2021-01-29T06:35:00Z</cp:lastPrinted>
  <dcterms:modified xsi:type="dcterms:W3CDTF">2021-02-02T06:39:04Z</dcterms:modified>
  <dc:subject>科目</dc:subject>
  <dc:title>标题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450739719_btnclosed</vt:lpwstr>
  </property>
</Properties>
</file>