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cs="Times New Roman"/>
          <w:sz w:val="44"/>
          <w:szCs w:val="44"/>
          <w:lang w:eastAsia="zh-CN"/>
        </w:rPr>
      </w:pPr>
    </w:p>
    <w:p>
      <w:pPr>
        <w:spacing w:line="5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淄博市</w:t>
      </w:r>
      <w:r>
        <w:rPr>
          <w:rFonts w:ascii="Times New Roman" w:hAnsi="Times New Roman" w:eastAsia="方正小标宋简体" w:cs="Times New Roman"/>
          <w:sz w:val="44"/>
          <w:szCs w:val="44"/>
        </w:rPr>
        <w:t>淄川区行政审批服务局</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520" w:lineRule="exact"/>
        <w:rPr>
          <w:rFonts w:ascii="Times New Roman" w:hAnsi="Times New Roman" w:eastAsia="仿宋" w:cs="Times New Roman"/>
          <w:sz w:val="32"/>
          <w:szCs w:val="32"/>
        </w:rPr>
      </w:pPr>
    </w:p>
    <w:p>
      <w:pPr>
        <w:numPr>
          <w:ilvl w:val="0"/>
          <w:numId w:val="0"/>
        </w:numPr>
        <w:spacing w:line="520" w:lineRule="exact"/>
        <w:ind w:firstLine="640" w:firstLineChars="200"/>
        <w:rPr>
          <w:rFonts w:hint="default" w:ascii="Times New Roman" w:hAnsi="Times New Roman" w:eastAsia="仿宋_GB2312" w:cs="Times New Roman"/>
          <w:sz w:val="32"/>
          <w:szCs w:val="32"/>
          <w:lang w:eastAsia="zh-CN"/>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ascii="Times New Roman" w:hAnsi="Times New Roman" w:eastAsia="仿宋_GB2312"/>
          <w:color w:val="000000"/>
          <w:sz w:val="32"/>
          <w:szCs w:val="32"/>
          <w:shd w:val="clear" w:color="auto" w:fill="FFFFFF"/>
        </w:rPr>
        <w:t>本报告由政府信息公开工作总体情况，主动公开政府信息情况，收到和处理政府信息公开申请情况，政府信息公开行政复议、行政诉讼情况，存在的主要问题及改进情况，其他需要报告的事项等六部分的内容组成</w:t>
      </w:r>
      <w:r>
        <w:rPr>
          <w:rFonts w:hint="eastAsia" w:ascii="Times New Roman" w:hAnsi="Times New Roman" w:eastAsia="仿宋_GB2312"/>
          <w:color w:val="000000"/>
          <w:sz w:val="32"/>
          <w:szCs w:val="32"/>
          <w:shd w:val="clear" w:color="auto" w:fill="FFFFFF"/>
          <w:lang w:eastAsia="zh-CN"/>
        </w:rPr>
        <w:t>。</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本年度报告中所列数据的统计期限自2022年1月1日起，至2022年12月31日止。如对报告内容有疑问，请与淄博市淄川区行政审批服务局联系（</w:t>
      </w:r>
      <w:r>
        <w:rPr>
          <w:rFonts w:hint="default" w:ascii="Times New Roman" w:hAnsi="Times New Roman" w:eastAsia="仿宋_GB2312" w:cs="Times New Roman"/>
          <w:i w:val="0"/>
          <w:caps w:val="0"/>
          <w:color w:val="000000"/>
          <w:spacing w:val="0"/>
          <w:sz w:val="32"/>
          <w:szCs w:val="32"/>
          <w:shd w:val="clear" w:fill="FFFFFF"/>
        </w:rPr>
        <w:t>地址：山东省淄博市淄川区将军东路168号　</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电话：0533-5289005</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邮箱：zc_qzwfwzxadmin@zb.shandong.cn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2022年，我局</w:t>
      </w:r>
      <w:r>
        <w:rPr>
          <w:rFonts w:hint="eastAsia" w:ascii="Times New Roman" w:hAnsi="Times New Roman" w:eastAsia="仿宋" w:cs="Times New Roman"/>
          <w:sz w:val="32"/>
          <w:szCs w:val="32"/>
        </w:rPr>
        <w:t>政府信息公开工作</w:t>
      </w:r>
      <w:r>
        <w:rPr>
          <w:rFonts w:ascii="Times New Roman" w:hAnsi="Times New Roman" w:eastAsia="仿宋" w:cs="Times New Roman"/>
          <w:sz w:val="32"/>
          <w:szCs w:val="32"/>
        </w:rPr>
        <w:t>坚持以公开为常态、不公开为例外，进一步加强组织领导，完善体制机制，突出重点，狠抓落实，政府信息公开范围和渠道不断拓展，公开内容不断丰富，政府工作的透明度切实提高，保障了人民群众的知情权、参与权和监督权。</w:t>
      </w:r>
      <w:r>
        <w:rPr>
          <w:rFonts w:hint="eastAsia" w:ascii="Times New Roman" w:hAnsi="Times New Roman" w:eastAsia="仿宋" w:cs="Times New Roman"/>
          <w:sz w:val="32"/>
          <w:szCs w:val="32"/>
        </w:rPr>
        <w:t>现将2022年度政府信息公开工作情况报告如下。</w:t>
      </w:r>
    </w:p>
    <w:p>
      <w:pPr>
        <w:spacing w:line="520" w:lineRule="exact"/>
        <w:ind w:firstLine="640" w:firstLineChars="200"/>
        <w:rPr>
          <w:rFonts w:ascii="Times New Roman" w:hAnsi="Times New Roman" w:eastAsia="仿宋" w:cs="Times New Roman"/>
          <w:sz w:val="32"/>
          <w:szCs w:val="32"/>
        </w:rPr>
      </w:pPr>
      <w:r>
        <w:rPr>
          <w:rFonts w:hint="eastAsia" w:ascii="楷体" w:hAnsi="楷体" w:eastAsia="楷体" w:cs="楷体"/>
          <w:sz w:val="32"/>
          <w:szCs w:val="32"/>
        </w:rPr>
        <w:t>（一）主动公开。</w:t>
      </w:r>
      <w:r>
        <w:rPr>
          <w:rFonts w:ascii="Times New Roman" w:hAnsi="Times New Roman" w:eastAsia="仿宋" w:cs="Times New Roman"/>
          <w:sz w:val="32"/>
          <w:szCs w:val="32"/>
        </w:rPr>
        <w:t>2022年，通过政府信息平台共发布各类政务信息398条。其中重大建设项目批准结果信息14条，重大建设项目批准服务信息8条，行政执法结果公示25条，行政许可公示126</w:t>
      </w:r>
      <w:r>
        <w:rPr>
          <w:rFonts w:hint="eastAsia" w:ascii="Times New Roman" w:hAnsi="Times New Roman" w:eastAsia="仿宋" w:cs="Times New Roman"/>
          <w:sz w:val="32"/>
          <w:szCs w:val="32"/>
        </w:rPr>
        <w:t>条</w:t>
      </w:r>
      <w:r>
        <w:rPr>
          <w:rFonts w:ascii="Times New Roman" w:hAnsi="Times New Roman" w:eastAsia="仿宋" w:cs="Times New Roman"/>
          <w:sz w:val="32"/>
          <w:szCs w:val="32"/>
        </w:rPr>
        <w:t>等。</w:t>
      </w:r>
    </w:p>
    <w:p>
      <w:pPr>
        <w:ind w:firstLine="420" w:firstLineChars="200"/>
        <w:rPr>
          <w:rFonts w:hint="eastAsia" w:ascii="Times New Roman" w:hAnsi="Times New Roman" w:eastAsia="仿宋" w:cs="Times New Roman"/>
          <w:sz w:val="32"/>
          <w:szCs w:val="32"/>
        </w:rPr>
      </w:pPr>
      <w:r>
        <w:drawing>
          <wp:inline distT="0" distB="0" distL="0" distR="0">
            <wp:extent cx="5274310" cy="48120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812030"/>
                    </a:xfrm>
                    <a:prstGeom prst="rect">
                      <a:avLst/>
                    </a:prstGeom>
                  </pic:spPr>
                </pic:pic>
              </a:graphicData>
            </a:graphic>
          </wp:inline>
        </w:drawing>
      </w:r>
    </w:p>
    <w:p>
      <w:pPr>
        <w:spacing w:line="520" w:lineRule="exact"/>
        <w:ind w:firstLine="640" w:firstLineChars="200"/>
        <w:rPr>
          <w:rFonts w:ascii="Times New Roman" w:hAnsi="Times New Roman" w:eastAsia="仿宋" w:cs="Times New Roman"/>
          <w:sz w:val="32"/>
          <w:szCs w:val="32"/>
        </w:rPr>
      </w:pPr>
      <w:r>
        <w:rPr>
          <w:rFonts w:hint="eastAsia" w:ascii="楷体" w:hAnsi="楷体" w:eastAsia="楷体" w:cs="楷体"/>
          <w:sz w:val="32"/>
          <w:szCs w:val="32"/>
        </w:rPr>
        <w:t>（二）</w:t>
      </w:r>
      <w:r>
        <w:rPr>
          <w:rFonts w:hint="eastAsia" w:ascii="楷体" w:hAnsi="楷体" w:eastAsia="楷体" w:cs="楷体"/>
          <w:color w:val="000000"/>
          <w:sz w:val="32"/>
        </w:rPr>
        <w:t>依申请公开。</w:t>
      </w:r>
      <w:r>
        <w:rPr>
          <w:rFonts w:hint="eastAsia" w:ascii="仿宋_GB2312" w:hAnsi="Times New Roman" w:eastAsia="仿宋_GB2312" w:cs="Times New Roman"/>
          <w:sz w:val="32"/>
          <w:szCs w:val="32"/>
        </w:rPr>
        <w:t>建立了依申请公开工作机制，对依申请公开政府信息工作的程序、申请方式、答复方式、答复时限等都做了详细规定。对公民依申请公开政府信息不收取任何费用。</w:t>
      </w:r>
      <w:r>
        <w:rPr>
          <w:rFonts w:hint="eastAsia" w:ascii="仿宋_GB2312" w:hAnsi="Times New Roman" w:eastAsia="仿宋_GB2312" w:cs="Times New Roman"/>
          <w:color w:val="000000"/>
          <w:sz w:val="32"/>
        </w:rPr>
        <w:t>2022年未收到依申请公开，</w:t>
      </w:r>
      <w:r>
        <w:rPr>
          <w:rFonts w:hint="eastAsia" w:ascii="仿宋_GB2312" w:hAnsi="Times New Roman" w:eastAsia="仿宋_GB2312" w:cs="Times New Roman"/>
          <w:sz w:val="32"/>
          <w:szCs w:val="32"/>
        </w:rPr>
        <w:t>没有因政府信息公开产生行政复议案件和行政诉讼案件。</w:t>
      </w:r>
    </w:p>
    <w:p>
      <w:pPr>
        <w:spacing w:line="520" w:lineRule="exact"/>
        <w:ind w:firstLine="640" w:firstLineChars="200"/>
        <w:rPr>
          <w:rFonts w:hint="eastAsia" w:ascii="仿宋_GB2312" w:hAnsi="Times New Roman" w:eastAsia="仿宋_GB2312" w:cs="Times New Roman"/>
          <w:sz w:val="32"/>
          <w:szCs w:val="32"/>
        </w:rPr>
      </w:pPr>
      <w:r>
        <w:rPr>
          <w:rFonts w:hint="eastAsia" w:ascii="楷体" w:hAnsi="楷体" w:eastAsia="楷体" w:cs="楷体"/>
          <w:color w:val="000000"/>
          <w:sz w:val="32"/>
        </w:rPr>
        <w:t>（三）政府信息管理。</w:t>
      </w:r>
      <w:r>
        <w:rPr>
          <w:rFonts w:hint="eastAsia" w:ascii="仿宋_GB2312" w:hAnsi="Times New Roman" w:eastAsia="仿宋_GB2312" w:cs="Times New Roman"/>
          <w:sz w:val="32"/>
          <w:szCs w:val="32"/>
        </w:rPr>
        <w:t>根据《政府信息公开条例》等法规规章规定，建立局信息公开工作制度，由政策法规科负责单位日常政府信息公开工作。充分发挥政策法规科参谋助手作用，所有对外作出的信息公开答复，需经政策法规科审核并报主要负责人批准后方可对外答复，确保信息公开内容的及时、准确、严谨。</w:t>
      </w:r>
    </w:p>
    <w:p>
      <w:pPr>
        <w:spacing w:line="520" w:lineRule="exact"/>
        <w:ind w:firstLine="640" w:firstLineChars="200"/>
        <w:rPr>
          <w:rFonts w:hint="eastAsia" w:ascii="仿宋_GB2312" w:hAnsi="Times New Roman" w:eastAsia="仿宋_GB2312" w:cs="Times New Roman"/>
          <w:color w:val="000000"/>
          <w:sz w:val="32"/>
          <w:szCs w:val="32"/>
          <w:shd w:val="clear" w:color="auto" w:fill="FFFFFF"/>
        </w:rPr>
      </w:pPr>
      <w:r>
        <w:rPr>
          <w:rFonts w:hint="eastAsia" w:ascii="楷体" w:hAnsi="楷体" w:eastAsia="楷体" w:cs="楷体"/>
          <w:sz w:val="32"/>
          <w:szCs w:val="32"/>
        </w:rPr>
        <w:t>(四)</w:t>
      </w:r>
      <w:r>
        <w:rPr>
          <w:rFonts w:hint="eastAsia" w:ascii="楷体" w:hAnsi="楷体" w:eastAsia="楷体" w:cs="Times New Roman"/>
          <w:color w:val="000000"/>
          <w:sz w:val="32"/>
          <w:szCs w:val="32"/>
          <w:shd w:val="clear" w:color="auto" w:fill="FFFFFF"/>
        </w:rPr>
        <w:t>平台建设情况</w:t>
      </w:r>
      <w:r>
        <w:rPr>
          <w:rFonts w:hint="eastAsia" w:ascii="仿宋_GB2312" w:hAnsi="Times New Roman" w:eastAsia="仿宋_GB2312" w:cs="Times New Roman"/>
          <w:color w:val="000000"/>
          <w:sz w:val="32"/>
          <w:szCs w:val="32"/>
          <w:shd w:val="clear" w:color="auto" w:fill="FFFFFF"/>
        </w:rPr>
        <w:t>。依托淄川政务服务微信公众号和政府信息公开平台，确实做好政务公开各项公开录入，深化、细化信息公开内容。充分发挥新媒体平台覆盖面广、传播迅速、便于查询的优势，进一步扩大受众面。</w:t>
      </w:r>
    </w:p>
    <w:p>
      <w:pPr>
        <w:ind w:firstLine="420" w:firstLineChars="200"/>
        <w:rPr>
          <w:rFonts w:hint="eastAsia" w:ascii="Times New Roman" w:hAnsi="Times New Roman" w:eastAsia="仿宋_GB2312" w:cs="Times New Roman"/>
          <w:color w:val="000000"/>
          <w:sz w:val="32"/>
        </w:rPr>
      </w:pPr>
      <w:r>
        <w:drawing>
          <wp:inline distT="0" distB="0" distL="0" distR="0">
            <wp:extent cx="4914900" cy="777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14900" cy="7772400"/>
                    </a:xfrm>
                    <a:prstGeom prst="rect">
                      <a:avLst/>
                    </a:prstGeom>
                  </pic:spPr>
                </pic:pic>
              </a:graphicData>
            </a:graphic>
          </wp:inline>
        </w:drawing>
      </w:r>
    </w:p>
    <w:p>
      <w:pPr>
        <w:spacing w:line="520" w:lineRule="exact"/>
        <w:ind w:firstLine="640" w:firstLineChars="200"/>
        <w:rPr>
          <w:rFonts w:hint="eastAsia" w:ascii="Times New Roman" w:hAnsi="Times New Roman" w:eastAsia="仿宋" w:cs="Times New Roman"/>
          <w:sz w:val="32"/>
          <w:szCs w:val="32"/>
        </w:rPr>
      </w:pPr>
      <w:r>
        <w:rPr>
          <w:rFonts w:hint="eastAsia" w:ascii="楷体" w:hAnsi="楷体" w:eastAsia="楷体" w:cs="楷体"/>
          <w:sz w:val="32"/>
          <w:szCs w:val="32"/>
        </w:rPr>
        <w:t>(五)强化监督保障。</w:t>
      </w:r>
      <w:r>
        <w:rPr>
          <w:rFonts w:ascii="Times New Roman" w:hAnsi="Times New Roman" w:eastAsia="仿宋" w:cs="Times New Roman"/>
          <w:sz w:val="32"/>
          <w:szCs w:val="32"/>
        </w:rPr>
        <w:t>局党组高度重视政府信息公开工作，按照政务公开管理体制和工作机制，成立了局长任组长的政务公开领导小组，办公室设在政策法规科，负责全局政务信息公开工作。加强重点人员培训。抓住信息公开关键少数，有重点的对建设项目、投资项目、商事登记等涉及信息公开、涉诉任务较重的科室负责人及重点工作人员，进行信息公开程序、文书制作、法条学习等全方位、多维度培训，在不断提高法治思维的同时，提升信息公开工作能力，加大公开力度。</w:t>
      </w:r>
    </w:p>
    <w:p>
      <w:pPr>
        <w:spacing w:line="520" w:lineRule="exact"/>
        <w:ind w:firstLine="640" w:firstLineChars="200"/>
        <w:rPr>
          <w:rFonts w:hint="eastAsia"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tbl>
      <w:tblPr>
        <w:tblStyle w:val="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spacing w:line="520" w:lineRule="exact"/>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29009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spacing w:line="520" w:lineRule="exact"/>
              <w:jc w:val="center"/>
              <w:rPr>
                <w:rFonts w:ascii="Times New Roman" w:hAnsi="Times New Roman" w:cs="Times New Roman"/>
              </w:rPr>
            </w:pPr>
            <w:r>
              <w:rPr>
                <w:rFonts w:ascii="Times New Roman" w:hAnsi="Times New Roman" w:cs="Times New Roman"/>
              </w:rPr>
              <w:t>0</w:t>
            </w:r>
          </w:p>
        </w:tc>
      </w:tr>
    </w:tbl>
    <w:p>
      <w:pPr>
        <w:spacing w:line="520" w:lineRule="exact"/>
        <w:ind w:left="420" w:leftChars="200"/>
        <w:rPr>
          <w:rFonts w:ascii="Times New Roman" w:hAnsi="Times New Roman" w:cs="Times New Roman"/>
          <w:sz w:val="24"/>
        </w:rPr>
      </w:pPr>
    </w:p>
    <w:p>
      <w:pPr>
        <w:spacing w:line="520" w:lineRule="exact"/>
        <w:ind w:firstLine="640" w:firstLineChars="200"/>
        <w:rPr>
          <w:rFonts w:hint="eastAsia" w:ascii="黑体" w:hAnsi="黑体" w:eastAsia="黑体" w:cs="黑体"/>
          <w:sz w:val="24"/>
        </w:rPr>
      </w:pPr>
      <w:r>
        <w:rPr>
          <w:rFonts w:hint="eastAsia" w:ascii="黑体" w:hAnsi="黑体" w:eastAsia="黑体" w:cs="黑体"/>
          <w:sz w:val="32"/>
        </w:rPr>
        <w:t>三、收到和处理政府信息公开申请情况</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210" w:firstLineChars="100"/>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spacing w:line="520" w:lineRule="exact"/>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r>
    </w:tbl>
    <w:p>
      <w:pPr>
        <w:pStyle w:val="9"/>
        <w:spacing w:line="520" w:lineRule="exact"/>
        <w:ind w:right="153" w:firstLine="640" w:firstLineChars="200"/>
        <w:jc w:val="both"/>
      </w:pPr>
      <w:r>
        <w:rPr>
          <w:rFonts w:cs="黑体"/>
          <w:sz w:val="32"/>
        </w:rPr>
        <w:t>四、因政府信息公开工作被申请行政复议、提起行政诉讼情况</w:t>
      </w:r>
    </w:p>
    <w:tbl>
      <w:tblPr>
        <w:tblStyle w:val="3"/>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cs="Times New Roman"/>
              </w:rPr>
            </w:pPr>
            <w:r>
              <w:rPr>
                <w:rFonts w:ascii="Times New Roman" w:hAnsi="Times New Roman" w:cs="Times New Roman"/>
              </w:rPr>
              <w:t>0</w:t>
            </w:r>
          </w:p>
        </w:tc>
      </w:tr>
    </w:tbl>
    <w:p>
      <w:pPr>
        <w:spacing w:line="520" w:lineRule="exact"/>
        <w:rPr>
          <w:rFonts w:hint="eastAsia" w:ascii="Times New Roman" w:hAnsi="Times New Roman" w:cs="Times New Roman"/>
          <w:sz w:val="24"/>
        </w:rPr>
      </w:pPr>
    </w:p>
    <w:p>
      <w:pPr>
        <w:pStyle w:val="10"/>
        <w:spacing w:line="520" w:lineRule="exact"/>
        <w:ind w:right="143" w:firstLine="640" w:firstLineChars="200"/>
        <w:jc w:val="both"/>
        <w:rPr>
          <w:rFonts w:hint="default" w:cs="黑体"/>
          <w:sz w:val="32"/>
        </w:rPr>
      </w:pPr>
      <w:r>
        <w:rPr>
          <w:rFonts w:cs="黑体"/>
          <w:sz w:val="32"/>
        </w:rPr>
        <w:t>五、政府信息公开工作存在的主要问题及改进情况</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政府信息公开工作开展以来，虽然取得了初步成效，但在具体推进过程中，还存在一些问题如具体工作人员业务不熟，缺乏专业信息技术人员，对信息公开工作认识不深等等，在工作中予以高度重视并加以解决。</w:t>
      </w:r>
    </w:p>
    <w:p>
      <w:pPr>
        <w:spacing w:line="52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改进措施：</w:t>
      </w:r>
      <w:r>
        <w:rPr>
          <w:rFonts w:ascii="Times New Roman" w:hAnsi="Times New Roman" w:eastAsia="仿宋" w:cs="Times New Roman"/>
          <w:sz w:val="32"/>
          <w:szCs w:val="32"/>
        </w:rPr>
        <w:t>我局按照区委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区政府有关信息公开的各项要求和目标，进一步提高认识，加强对政府信息公开工作人员的业务培训，深入学习《条例》和相关法律法规，提高政府信息公开工作水平。一是规范流程，以制度化、规范化、科学化为着力点，建立长效机制。二是创新途径，补充完善。及时更新、扩大政府信息公开内容，保证公开信息的完整性和准确性，不断创新公开形式，探索新途径，提高政务公开工作的质量和服务水平。三是进一步完善信息管理工作制度，明确责任，保障信息通畅。</w:t>
      </w:r>
    </w:p>
    <w:p>
      <w:pPr>
        <w:pStyle w:val="11"/>
        <w:spacing w:line="520" w:lineRule="exact"/>
        <w:ind w:firstLine="640" w:firstLineChars="200"/>
        <w:jc w:val="both"/>
        <w:rPr>
          <w:rFonts w:hint="default" w:cs="黑体"/>
          <w:sz w:val="32"/>
        </w:rPr>
      </w:pPr>
      <w:r>
        <w:rPr>
          <w:rFonts w:cs="黑体"/>
          <w:sz w:val="32"/>
        </w:rPr>
        <w:t>六、其他需要报告的事项</w:t>
      </w:r>
    </w:p>
    <w:p>
      <w:pPr>
        <w:pStyle w:val="11"/>
        <w:spacing w:line="520" w:lineRule="exact"/>
        <w:ind w:firstLine="640" w:firstLineChars="200"/>
        <w:rPr>
          <w:rFonts w:ascii="Times New Roman" w:hAnsi="Times New Roman" w:eastAsia="仿宋"/>
          <w:kern w:val="2"/>
          <w:sz w:val="32"/>
          <w:szCs w:val="32"/>
        </w:rPr>
      </w:pPr>
      <w:r>
        <w:rPr>
          <w:rFonts w:hint="eastAsia" w:ascii="楷体" w:hAnsi="楷体" w:eastAsia="楷体" w:cs="楷体"/>
          <w:kern w:val="2"/>
          <w:sz w:val="32"/>
          <w:szCs w:val="32"/>
        </w:rPr>
        <w:t>1、收取信息处理费情况</w:t>
      </w:r>
      <w:r>
        <w:rPr>
          <w:rFonts w:ascii="Times New Roman" w:hAnsi="Times New Roman" w:eastAsia="仿宋"/>
          <w:kern w:val="2"/>
          <w:sz w:val="32"/>
          <w:szCs w:val="32"/>
        </w:rPr>
        <w:t>。依据《国务院办公厅关于印发〈政府信息公开信息处理费管理办法〉的通知》（国办函〔2020〕109号）和《山东省人民政府办公厅关于做好政府信息公开信息处理费管理工作有关事项的通知》（鲁政办字〔2020〕179号）收取信息处理费。202</w:t>
      </w:r>
      <w:r>
        <w:rPr>
          <w:rFonts w:hint="default" w:ascii="Times New Roman" w:hAnsi="Times New Roman" w:eastAsia="仿宋"/>
          <w:kern w:val="2"/>
          <w:sz w:val="32"/>
          <w:szCs w:val="32"/>
        </w:rPr>
        <w:t>2</w:t>
      </w:r>
      <w:r>
        <w:rPr>
          <w:rFonts w:ascii="Times New Roman" w:hAnsi="Times New Roman" w:eastAsia="仿宋"/>
          <w:kern w:val="2"/>
          <w:sz w:val="32"/>
          <w:szCs w:val="32"/>
        </w:rPr>
        <w:t>年本机关依申请公开政府信息未收取任何费用。</w:t>
      </w:r>
    </w:p>
    <w:p>
      <w:pPr>
        <w:pStyle w:val="11"/>
        <w:spacing w:line="520" w:lineRule="exact"/>
        <w:ind w:firstLine="640" w:firstLineChars="200"/>
        <w:jc w:val="both"/>
        <w:rPr>
          <w:rFonts w:ascii="Times New Roman" w:hAnsi="Times New Roman" w:eastAsia="仿宋"/>
          <w:kern w:val="2"/>
          <w:sz w:val="32"/>
          <w:szCs w:val="32"/>
        </w:rPr>
      </w:pPr>
      <w:r>
        <w:rPr>
          <w:rFonts w:hint="eastAsia" w:ascii="楷体" w:hAnsi="楷体" w:eastAsia="楷体" w:cs="楷体"/>
          <w:kern w:val="2"/>
          <w:sz w:val="32"/>
          <w:szCs w:val="32"/>
        </w:rPr>
        <w:t>2、落实上级年度政务公开工作要点情况</w:t>
      </w:r>
      <w:r>
        <w:rPr>
          <w:rFonts w:ascii="Times New Roman" w:hAnsi="Times New Roman" w:eastAsia="仿宋"/>
          <w:kern w:val="2"/>
          <w:sz w:val="32"/>
          <w:szCs w:val="32"/>
        </w:rPr>
        <w:t>。严格落实《淄川区人民政府办公室关于印发2022年淄川区政务公开工作实施方案的通知》所涉任务清单，迅速对我局202</w:t>
      </w:r>
      <w:r>
        <w:rPr>
          <w:rFonts w:hint="default" w:ascii="Times New Roman" w:hAnsi="Times New Roman" w:eastAsia="仿宋"/>
          <w:kern w:val="2"/>
          <w:sz w:val="32"/>
          <w:szCs w:val="32"/>
        </w:rPr>
        <w:t>2</w:t>
      </w:r>
      <w:r>
        <w:rPr>
          <w:rFonts w:ascii="Times New Roman" w:hAnsi="Times New Roman" w:eastAsia="仿宋"/>
          <w:kern w:val="2"/>
          <w:sz w:val="32"/>
          <w:szCs w:val="32"/>
        </w:rPr>
        <w:t>年政务公开重点工作进行分工，形成责任分工表，及时、准确公开影响企业和群众的审批服务事项。在政务服务大厅设置政务公开服务专区，梳理公开事项，细化公开内容，推动行政审批决策更加公开透明，政务服务更加优化暖心。</w:t>
      </w:r>
    </w:p>
    <w:p>
      <w:pPr>
        <w:pStyle w:val="11"/>
        <w:spacing w:line="520" w:lineRule="exact"/>
        <w:ind w:firstLine="640" w:firstLineChars="200"/>
        <w:jc w:val="both"/>
        <w:rPr>
          <w:rFonts w:ascii="Times New Roman" w:hAnsi="Times New Roman" w:eastAsia="仿宋"/>
          <w:kern w:val="2"/>
          <w:sz w:val="32"/>
          <w:szCs w:val="32"/>
        </w:rPr>
      </w:pPr>
      <w:r>
        <w:rPr>
          <w:rFonts w:hint="eastAsia" w:ascii="楷体" w:hAnsi="楷体" w:eastAsia="楷体" w:cs="楷体"/>
          <w:kern w:val="2"/>
          <w:sz w:val="32"/>
          <w:szCs w:val="32"/>
        </w:rPr>
        <w:t>3、人大代表建议和政协提案办理情况</w:t>
      </w:r>
      <w:r>
        <w:rPr>
          <w:rFonts w:ascii="Times New Roman" w:hAnsi="Times New Roman" w:eastAsia="仿宋"/>
          <w:kern w:val="2"/>
          <w:sz w:val="32"/>
          <w:szCs w:val="32"/>
        </w:rPr>
        <w:t>。淄川区行政审批服务局2022年未收到人大代表建议，收到政协委员“为新注册小微企业提供注册地址助力创业就业”提案1件，按法定程序给予了圆满答复。未有上级建议提案办理任务。</w:t>
      </w:r>
    </w:p>
    <w:p>
      <w:pPr>
        <w:pStyle w:val="7"/>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楷体" w:hAnsi="楷体" w:eastAsia="楷体" w:cs="楷体"/>
          <w:kern w:val="2"/>
          <w:sz w:val="32"/>
          <w:szCs w:val="32"/>
          <w:lang w:val="en-US" w:eastAsia="zh-CN" w:bidi="ar-SA"/>
        </w:rPr>
        <w:t>4、政务公开工作创新情况。</w:t>
      </w:r>
      <w:r>
        <w:rPr>
          <w:rFonts w:hint="eastAsia" w:ascii="Times New Roman" w:hAnsi="Times New Roman" w:eastAsia="仿宋" w:cs="Times New Roman"/>
          <w:kern w:val="2"/>
          <w:sz w:val="32"/>
          <w:szCs w:val="32"/>
          <w:lang w:val="en-US" w:eastAsia="zh-CN" w:bidi="ar-SA"/>
        </w:rPr>
        <w:t>充</w:t>
      </w:r>
      <w:r>
        <w:rPr>
          <w:rFonts w:hint="default" w:ascii="Times New Roman" w:hAnsi="Times New Roman" w:eastAsia="仿宋" w:cs="Times New Roman"/>
          <w:color w:val="000000"/>
          <w:kern w:val="2"/>
          <w:sz w:val="32"/>
          <w:szCs w:val="32"/>
          <w:lang w:val="en-US" w:eastAsia="zh-CN" w:bidi="ar-SA"/>
        </w:rPr>
        <w:t>分利用政务服务中心宣传阵地，通过在咨询台和各业务窗口摆放宣传手册、LED电子屏滚动播放宣传短片及标语等方式，加强政策法规等方面</w:t>
      </w:r>
      <w:r>
        <w:rPr>
          <w:rFonts w:hint="eastAsia" w:ascii="Times New Roman" w:hAnsi="Times New Roman" w:eastAsia="仿宋" w:cs="Times New Roman"/>
          <w:color w:val="000000"/>
          <w:kern w:val="2"/>
          <w:sz w:val="32"/>
          <w:szCs w:val="32"/>
          <w:lang w:val="en-US" w:eastAsia="zh-CN" w:bidi="ar-SA"/>
        </w:rPr>
        <w:t>的宣传</w:t>
      </w:r>
      <w:r>
        <w:rPr>
          <w:rFonts w:hint="default" w:ascii="Times New Roman" w:hAnsi="Times New Roman" w:eastAsia="仿宋" w:cs="Times New Roman"/>
          <w:color w:val="000000"/>
          <w:kern w:val="2"/>
          <w:sz w:val="32"/>
          <w:szCs w:val="32"/>
          <w:lang w:val="en-US" w:eastAsia="zh-CN" w:bidi="ar-SA"/>
        </w:rPr>
        <w:t>。通过</w:t>
      </w:r>
      <w:r>
        <w:rPr>
          <w:rFonts w:hint="eastAsia" w:ascii="Times New Roman" w:hAnsi="Times New Roman" w:eastAsia="仿宋" w:cs="Times New Roman"/>
          <w:color w:val="000000"/>
          <w:kern w:val="2"/>
          <w:sz w:val="32"/>
          <w:szCs w:val="32"/>
          <w:lang w:val="en-US" w:eastAsia="zh-CN" w:bidi="ar-SA"/>
        </w:rPr>
        <w:t>“淄川政务服务”</w:t>
      </w:r>
      <w:r>
        <w:rPr>
          <w:rFonts w:hint="default" w:ascii="Times New Roman" w:hAnsi="Times New Roman" w:eastAsia="仿宋" w:cs="Times New Roman"/>
          <w:color w:val="000000"/>
          <w:kern w:val="2"/>
          <w:sz w:val="32"/>
          <w:szCs w:val="32"/>
          <w:lang w:val="en-US" w:eastAsia="zh-CN" w:bidi="ar-SA"/>
        </w:rPr>
        <w:t>官方微信公众号</w:t>
      </w:r>
      <w:r>
        <w:rPr>
          <w:rFonts w:hint="eastAsia" w:ascii="Times New Roman" w:hAnsi="Times New Roman" w:eastAsia="仿宋" w:cs="Times New Roman"/>
          <w:color w:val="000000"/>
          <w:kern w:val="2"/>
          <w:sz w:val="32"/>
          <w:szCs w:val="32"/>
          <w:lang w:val="en-US" w:eastAsia="zh-CN" w:bidi="ar-SA"/>
        </w:rPr>
        <w:t>积极</w:t>
      </w:r>
      <w:r>
        <w:rPr>
          <w:rFonts w:hint="default" w:ascii="Times New Roman" w:hAnsi="Times New Roman" w:eastAsia="仿宋" w:cs="Times New Roman"/>
          <w:color w:val="000000"/>
          <w:kern w:val="2"/>
          <w:sz w:val="32"/>
          <w:szCs w:val="32"/>
          <w:lang w:val="en-US" w:eastAsia="zh-CN" w:bidi="ar-SA"/>
        </w:rPr>
        <w:t>发布政</w:t>
      </w:r>
      <w:bookmarkStart w:id="0" w:name="_GoBack"/>
      <w:bookmarkEnd w:id="0"/>
      <w:r>
        <w:rPr>
          <w:rFonts w:hint="default" w:ascii="Times New Roman" w:hAnsi="Times New Roman" w:eastAsia="仿宋" w:cs="Times New Roman"/>
          <w:color w:val="000000"/>
          <w:kern w:val="2"/>
          <w:sz w:val="32"/>
          <w:szCs w:val="32"/>
          <w:lang w:val="en-US" w:eastAsia="zh-CN" w:bidi="ar-SA"/>
        </w:rPr>
        <w:t>务工作动态</w:t>
      </w:r>
      <w:r>
        <w:rPr>
          <w:rFonts w:hint="eastAsia" w:ascii="Times New Roman" w:hAnsi="Times New Roman" w:eastAsia="仿宋" w:cs="Times New Roman"/>
          <w:color w:val="000000"/>
          <w:kern w:val="2"/>
          <w:sz w:val="32"/>
          <w:szCs w:val="32"/>
          <w:lang w:val="en-US" w:eastAsia="zh-CN" w:bidi="ar-SA"/>
        </w:rPr>
        <w:t>、政策解读等</w:t>
      </w:r>
      <w:r>
        <w:rPr>
          <w:rFonts w:hint="default" w:ascii="Times New Roman" w:hAnsi="Times New Roman" w:eastAsia="仿宋" w:cs="Times New Roman"/>
          <w:color w:val="000000"/>
          <w:kern w:val="2"/>
          <w:sz w:val="32"/>
          <w:szCs w:val="32"/>
          <w:lang w:val="en-US" w:eastAsia="zh-CN" w:bidi="ar-SA"/>
        </w:rPr>
        <w:t>，提高群众对政务信息的知晓率及接受率。</w:t>
      </w:r>
    </w:p>
    <w:p>
      <w:pPr>
        <w:pStyle w:val="7"/>
        <w:ind w:firstLine="640" w:firstLineChars="200"/>
        <w:rPr>
          <w:rFonts w:hint="eastAsia" w:ascii="Times New Roman" w:hAnsi="Times New Roman" w:eastAsia="仿宋" w:cs="Times New Roman"/>
          <w:kern w:val="2"/>
          <w:sz w:val="32"/>
          <w:szCs w:val="32"/>
          <w:lang w:val="en-US" w:eastAsia="zh-CN" w:bidi="ar-SA"/>
        </w:rPr>
      </w:pPr>
      <w:r>
        <w:rPr>
          <w:rFonts w:hint="eastAsia" w:ascii="楷体" w:hAnsi="楷体" w:eastAsia="楷体" w:cs="楷体"/>
          <w:kern w:val="2"/>
          <w:sz w:val="32"/>
          <w:szCs w:val="32"/>
          <w:lang w:val="en-US" w:eastAsia="zh-CN" w:bidi="ar-SA"/>
        </w:rPr>
        <w:t>5、年报数据统计需要说明的事项</w:t>
      </w:r>
      <w:r>
        <w:rPr>
          <w:rFonts w:hint="eastAsia" w:ascii="Times New Roman" w:hAnsi="Times New Roman" w:eastAsia="仿宋" w:cs="Times New Roman"/>
          <w:kern w:val="2"/>
          <w:sz w:val="32"/>
          <w:szCs w:val="32"/>
          <w:lang w:val="en-US" w:eastAsia="zh-CN" w:bidi="ar-SA"/>
        </w:rPr>
        <w:t>。无</w:t>
      </w:r>
    </w:p>
    <w:p>
      <w:pPr>
        <w:pStyle w:val="7"/>
        <w:rPr>
          <w:rFonts w:hint="default" w:ascii="Times New Roman" w:hAnsi="Times New Roman" w:eastAsia="仿宋" w:cs="Times New Roman"/>
          <w:kern w:val="2"/>
          <w:sz w:val="32"/>
          <w:szCs w:val="32"/>
          <w:lang w:val="en-US" w:eastAsia="zh-CN" w:bidi="ar-SA"/>
        </w:rPr>
      </w:pPr>
    </w:p>
    <w:p>
      <w:pPr>
        <w:widowControl/>
        <w:shd w:val="clear" w:color="auto" w:fill="FFFFFF"/>
        <w:spacing w:line="600" w:lineRule="atLeast"/>
        <w:ind w:firstLine="960"/>
        <w:jc w:val="right"/>
        <w:rPr>
          <w:rFonts w:ascii="微软雅黑" w:hAnsi="微软雅黑" w:eastAsia="微软雅黑" w:cs="宋体"/>
          <w:color w:val="000000"/>
          <w:kern w:val="0"/>
          <w:sz w:val="27"/>
          <w:szCs w:val="27"/>
        </w:rPr>
      </w:pPr>
      <w:r>
        <w:rPr>
          <w:rFonts w:hint="eastAsia" w:ascii="仿宋_GB2312" w:hAnsi="Times New Roman" w:eastAsia="仿宋_GB2312" w:cs="Times New Roman"/>
          <w:color w:val="000000"/>
          <w:kern w:val="0"/>
          <w:sz w:val="32"/>
          <w:szCs w:val="32"/>
        </w:rPr>
        <w:t>淄川区行政审批服务局</w:t>
      </w:r>
    </w:p>
    <w:p>
      <w:pPr>
        <w:widowControl/>
        <w:shd w:val="clear" w:color="auto" w:fill="FFFFFF"/>
        <w:spacing w:line="600" w:lineRule="atLeast"/>
        <w:ind w:firstLine="640"/>
        <w:jc w:val="right"/>
        <w:rPr>
          <w:rFonts w:hint="eastAsia" w:ascii="微软雅黑" w:hAnsi="微软雅黑" w:eastAsia="微软雅黑" w:cs="宋体"/>
          <w:color w:val="000000"/>
          <w:kern w:val="0"/>
          <w:sz w:val="27"/>
          <w:szCs w:val="27"/>
        </w:rPr>
      </w:pPr>
      <w:r>
        <w:rPr>
          <w:rFonts w:ascii="Times New Roman" w:hAnsi="Times New Roman" w:eastAsia="微软雅黑" w:cs="Times New Roman"/>
          <w:color w:val="000000"/>
          <w:kern w:val="0"/>
          <w:sz w:val="32"/>
          <w:szCs w:val="32"/>
        </w:rPr>
        <w:t>2023</w:t>
      </w:r>
      <w:r>
        <w:rPr>
          <w:rFonts w:hint="eastAsia" w:ascii="仿宋_GB2312" w:hAnsi="Times New Roman" w:eastAsia="仿宋_GB2312" w:cs="Times New Roman"/>
          <w:color w:val="000000"/>
          <w:kern w:val="0"/>
          <w:sz w:val="32"/>
          <w:szCs w:val="32"/>
        </w:rPr>
        <w:t>年</w:t>
      </w:r>
      <w:r>
        <w:rPr>
          <w:rFonts w:ascii="Times New Roman" w:hAnsi="Times New Roman" w:eastAsia="微软雅黑"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微软雅黑" w:cs="Times New Roman"/>
          <w:color w:val="000000"/>
          <w:kern w:val="0"/>
          <w:sz w:val="32"/>
          <w:szCs w:val="32"/>
        </w:rPr>
        <w:t>16</w:t>
      </w:r>
      <w:r>
        <w:rPr>
          <w:rFonts w:hint="eastAsia" w:ascii="仿宋_GB2312" w:hAnsi="Times New Roman" w:eastAsia="仿宋_GB2312" w:cs="Times New Roman"/>
          <w:color w:val="000000"/>
          <w:kern w:val="0"/>
          <w:sz w:val="32"/>
          <w:szCs w:val="32"/>
        </w:rPr>
        <w:t>日</w:t>
      </w:r>
    </w:p>
    <w:p>
      <w:pPr>
        <w:pStyle w:val="7"/>
      </w:pP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jBjMTU5NmQ1NmM5ZmI5NWY1NzQ2MzI3MzgxZWIifQ=="/>
  </w:docVars>
  <w:rsids>
    <w:rsidRoot w:val="04264F46"/>
    <w:rsid w:val="005C13A7"/>
    <w:rsid w:val="00D70CD3"/>
    <w:rsid w:val="00F1230F"/>
    <w:rsid w:val="04264F46"/>
    <w:rsid w:val="08B91D1D"/>
    <w:rsid w:val="0B386398"/>
    <w:rsid w:val="0DF06C33"/>
    <w:rsid w:val="241356BE"/>
    <w:rsid w:val="2E392742"/>
    <w:rsid w:val="36452300"/>
    <w:rsid w:val="393D2B18"/>
    <w:rsid w:val="43F517A9"/>
    <w:rsid w:val="456111B1"/>
    <w:rsid w:val="48953B45"/>
    <w:rsid w:val="5EC23124"/>
    <w:rsid w:val="617E0BE9"/>
    <w:rsid w:val="63A31776"/>
    <w:rsid w:val="6A1336FD"/>
    <w:rsid w:val="7A1D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 w:type="paragraph" w:customStyle="1" w:styleId="6">
    <w:name w:val="CM4"/>
    <w:basedOn w:val="7"/>
    <w:next w:val="7"/>
    <w:unhideWhenUsed/>
    <w:qFormat/>
    <w:uiPriority w:val="99"/>
    <w:pPr>
      <w:spacing w:line="626" w:lineRule="atLeast"/>
    </w:pPr>
  </w:style>
  <w:style w:type="paragraph" w:customStyle="1" w:styleId="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8">
    <w:name w:val="CM12"/>
    <w:basedOn w:val="7"/>
    <w:next w:val="7"/>
    <w:unhideWhenUsed/>
    <w:qFormat/>
    <w:uiPriority w:val="99"/>
    <w:pPr>
      <w:spacing w:after="1015"/>
    </w:pPr>
  </w:style>
  <w:style w:type="paragraph" w:customStyle="1" w:styleId="9">
    <w:name w:val="CM5"/>
    <w:basedOn w:val="7"/>
    <w:next w:val="7"/>
    <w:unhideWhenUsed/>
    <w:qFormat/>
    <w:uiPriority w:val="99"/>
    <w:pPr>
      <w:spacing w:line="626" w:lineRule="atLeast"/>
    </w:pPr>
  </w:style>
  <w:style w:type="paragraph" w:customStyle="1" w:styleId="10">
    <w:name w:val="CM6"/>
    <w:basedOn w:val="7"/>
    <w:next w:val="7"/>
    <w:unhideWhenUsed/>
    <w:qFormat/>
    <w:uiPriority w:val="99"/>
    <w:pPr>
      <w:spacing w:line="626" w:lineRule="atLeast"/>
    </w:pPr>
  </w:style>
  <w:style w:type="paragraph" w:customStyle="1" w:styleId="11">
    <w:name w:val="CM3"/>
    <w:basedOn w:val="7"/>
    <w:next w:val="7"/>
    <w:unhideWhenUsed/>
    <w:qFormat/>
    <w:uiPriority w:val="99"/>
    <w:pPr>
      <w:spacing w:line="626"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2480</Words>
  <Characters>2550</Characters>
  <Lines>21</Lines>
  <Paragraphs>5</Paragraphs>
  <TotalTime>1</TotalTime>
  <ScaleCrop>false</ScaleCrop>
  <LinksUpToDate>false</LinksUpToDate>
  <CharactersWithSpaces>2588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2023-01-10T01:08:00Z</dcterms:created>
  <dc:creator>大头儿子</dc:creator>
  <cp:lastModifiedBy>银杏果</cp:lastModifiedBy>
  <cp:lastPrinted>2023-01-10T07:09:00Z</cp:lastPrinted>
  <dcterms:modified xsi:type="dcterms:W3CDTF">2023-02-10T06:28:29Z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834BF74E02624AA7A9CFCD43D0E85617</vt:lpwstr>
  </property>
</Properties>
</file>