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0" w:beforeAutospacing="0" w:after="0" w:afterAutospacing="0" w:line="560" w:lineRule="exact"/>
        <w:jc w:val="center"/>
        <w:rPr>
          <w:rFonts w:ascii="Times New Roman" w:hAnsi="Times New Roman" w:eastAsia="方正小标宋简体"/>
          <w:bCs/>
          <w:color w:val="333333"/>
          <w:spacing w:val="-17"/>
          <w:sz w:val="44"/>
          <w:szCs w:val="44"/>
          <w:shd w:val="clear" w:color="auto" w:fill="FFFFFF"/>
        </w:rPr>
      </w:pPr>
      <w:bookmarkStart w:id="10" w:name="_GoBack"/>
      <w:r>
        <w:rPr>
          <w:rFonts w:ascii="Times New Roman" w:hAnsi="Times New Roman" w:eastAsia="方正小标宋简体"/>
          <w:bCs/>
          <w:color w:val="333333"/>
          <w:spacing w:val="-17"/>
          <w:sz w:val="44"/>
          <w:szCs w:val="44"/>
          <w:shd w:val="clear" w:color="auto" w:fill="FFFFFF"/>
        </w:rPr>
        <w:t>淄博市医疗保障局淄川分局</w:t>
      </w:r>
    </w:p>
    <w:p>
      <w:pPr>
        <w:pStyle w:val="4"/>
        <w:widowControl/>
        <w:shd w:val="clear" w:color="auto" w:fill="FFFFFF"/>
        <w:spacing w:before="0" w:beforeAutospacing="0" w:after="0" w:afterAutospacing="0" w:line="560" w:lineRule="exact"/>
        <w:jc w:val="center"/>
        <w:rPr>
          <w:rFonts w:ascii="Times New Roman" w:hAnsi="Times New Roman" w:eastAsia="方正小标宋简体"/>
          <w:bCs/>
          <w:color w:val="333333"/>
          <w:sz w:val="44"/>
          <w:szCs w:val="44"/>
          <w:shd w:val="clear" w:color="auto" w:fill="FFFFFF"/>
        </w:rPr>
      </w:pPr>
      <w:r>
        <w:rPr>
          <w:rFonts w:ascii="Times New Roman" w:hAnsi="Times New Roman" w:eastAsia="方正小标宋简体"/>
          <w:bCs/>
          <w:color w:val="333333"/>
          <w:spacing w:val="-17"/>
          <w:sz w:val="44"/>
          <w:szCs w:val="44"/>
          <w:shd w:val="clear" w:color="auto" w:fill="FFFFFF"/>
        </w:rPr>
        <w:t>2023年政府信息公开工作</w:t>
      </w:r>
      <w:r>
        <w:rPr>
          <w:rFonts w:ascii="Times New Roman" w:hAnsi="Times New Roman" w:eastAsia="方正小标宋简体"/>
          <w:bCs/>
          <w:color w:val="333333"/>
          <w:sz w:val="44"/>
          <w:szCs w:val="44"/>
          <w:shd w:val="clear" w:color="auto" w:fill="FFFFFF"/>
        </w:rPr>
        <w:t>年度报告</w:t>
      </w:r>
    </w:p>
    <w:bookmarkEnd w:id="10"/>
    <w:p>
      <w:pPr>
        <w:pStyle w:val="4"/>
        <w:widowControl/>
        <w:shd w:val="clear" w:color="auto" w:fill="FFFFFF"/>
        <w:spacing w:before="0" w:beforeAutospacing="0" w:after="0" w:afterAutospacing="0"/>
        <w:ind w:firstLine="420"/>
        <w:jc w:val="both"/>
        <w:rPr>
          <w:rFonts w:ascii="Times New Roman" w:hAnsi="Times New Roman"/>
          <w:color w:val="333333"/>
          <w:szCs w:val="24"/>
        </w:rPr>
      </w:pPr>
    </w:p>
    <w:p>
      <w:pPr>
        <w:pStyle w:val="4"/>
        <w:widowControl/>
        <w:shd w:val="clear" w:color="auto" w:fill="FFFFFF"/>
        <w:spacing w:before="0" w:beforeAutospacing="0" w:after="0" w:afterAutospacing="0"/>
        <w:ind w:firstLine="420"/>
        <w:jc w:val="both"/>
        <w:rPr>
          <w:rFonts w:ascii="Times New Roman" w:hAnsi="Times New Roman"/>
          <w:color w:val="333333"/>
          <w:szCs w:val="24"/>
        </w:rPr>
      </w:pPr>
    </w:p>
    <w:p>
      <w:pPr>
        <w:pStyle w:val="4"/>
        <w:widowControl/>
        <w:shd w:val="clear" w:color="auto" w:fill="FFFFFF"/>
        <w:spacing w:before="0" w:beforeAutospacing="0" w:after="0" w:afterAutospacing="0" w:line="560" w:lineRule="exact"/>
        <w:jc w:val="both"/>
        <w:rPr>
          <w:rFonts w:ascii="Times New Roman" w:hAnsi="Times New Roman" w:eastAsia="仿宋_GB2312"/>
          <w:color w:val="000000"/>
          <w:spacing w:val="-20"/>
          <w:sz w:val="32"/>
          <w:szCs w:val="32"/>
        </w:rPr>
      </w:pPr>
      <w:r>
        <w:rPr>
          <w:rFonts w:ascii="Times New Roman" w:hAnsi="Times New Roman" w:eastAsia="仿宋_GB2312"/>
          <w:color w:val="000000"/>
          <w:sz w:val="32"/>
          <w:szCs w:val="32"/>
        </w:rPr>
        <w:t xml:space="preserve">   本年度报告中所列数据的统计期限自2023年1月1日起，至2023年12月31日止。如对报告内容有疑问，请与淄博市医疗保障局淄川分局联系（地址：淄博市淄川区淄城东路228号；</w:t>
      </w:r>
      <w:r>
        <w:rPr>
          <w:rFonts w:ascii="Times New Roman" w:hAnsi="Times New Roman" w:eastAsia="仿宋_GB2312"/>
          <w:color w:val="000000"/>
          <w:spacing w:val="-20"/>
          <w:sz w:val="32"/>
          <w:szCs w:val="32"/>
        </w:rPr>
        <w:t>邮编：255100；电话：0533-5168765；电子邮箱：sylbzjzchfj@zb.shandong.cn）。</w:t>
      </w:r>
    </w:p>
    <w:p>
      <w:pPr>
        <w:pStyle w:val="4"/>
        <w:widowControl/>
        <w:shd w:val="clear" w:color="auto" w:fill="FFFFFF"/>
        <w:spacing w:before="0" w:beforeAutospacing="0" w:after="0" w:afterAutospacing="0" w:line="560" w:lineRule="exact"/>
        <w:ind w:firstLine="643" w:firstLineChars="200"/>
        <w:jc w:val="both"/>
        <w:rPr>
          <w:rFonts w:ascii="Times New Roman" w:hAnsi="Times New Roman" w:eastAsia="黑体"/>
          <w:color w:val="333333"/>
          <w:sz w:val="32"/>
          <w:szCs w:val="32"/>
        </w:rPr>
      </w:pPr>
      <w:r>
        <w:rPr>
          <w:rFonts w:ascii="Times New Roman" w:hAnsi="Times New Roman" w:eastAsia="黑体"/>
          <w:b/>
          <w:color w:val="333333"/>
          <w:sz w:val="32"/>
          <w:szCs w:val="32"/>
          <w:shd w:val="clear" w:color="auto" w:fill="FFFFFF"/>
        </w:rPr>
        <w:t>一、总体情况</w:t>
      </w:r>
    </w:p>
    <w:p>
      <w:pPr>
        <w:spacing w:line="56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2023年淄博市医疗保障局淄川分局全面贯彻落实党的二十大精神，严格执行</w:t>
      </w:r>
      <w:r>
        <w:rPr>
          <w:rFonts w:ascii="Times New Roman" w:hAnsi="Times New Roman" w:eastAsia="仿宋_GB2312"/>
          <w:color w:val="000000" w:themeColor="text1"/>
          <w:sz w:val="32"/>
          <w:szCs w:val="32"/>
          <w:shd w:val="clear" w:color="auto" w:fill="FFFFFF"/>
          <w14:textFill>
            <w14:solidFill>
              <w14:schemeClr w14:val="tx1"/>
            </w14:solidFill>
          </w14:textFill>
        </w:rPr>
        <w:t>《中华人民共和国政府信息公开条例》，</w:t>
      </w:r>
      <w:r>
        <w:rPr>
          <w:rFonts w:ascii="Times New Roman" w:hAnsi="Times New Roman" w:eastAsia="仿宋_GB2312"/>
          <w:color w:val="000000" w:themeColor="text1"/>
          <w:kern w:val="0"/>
          <w:sz w:val="32"/>
          <w:szCs w:val="32"/>
          <w14:textFill>
            <w14:solidFill>
              <w14:schemeClr w14:val="tx1"/>
            </w14:solidFill>
          </w14:textFill>
        </w:rPr>
        <w:t>按照区政府信息公开有关要求</w:t>
      </w:r>
      <w:r>
        <w:rPr>
          <w:rFonts w:ascii="Times New Roman" w:hAnsi="Times New Roman" w:eastAsia="仿宋_GB2312"/>
          <w:color w:val="000000" w:themeColor="text1"/>
          <w:sz w:val="32"/>
          <w:szCs w:val="32"/>
          <w:shd w:val="clear" w:color="auto" w:fill="FFFFFF"/>
          <w14:textFill>
            <w14:solidFill>
              <w14:schemeClr w14:val="tx1"/>
            </w14:solidFill>
          </w14:textFill>
        </w:rPr>
        <w:t>认真做好各项工作任务的落实</w:t>
      </w:r>
      <w:r>
        <w:rPr>
          <w:rFonts w:ascii="Times New Roman" w:hAnsi="Times New Roman" w:eastAsia="仿宋_GB2312"/>
          <w:color w:val="000000" w:themeColor="text1"/>
          <w:kern w:val="0"/>
          <w:sz w:val="32"/>
          <w:szCs w:val="32"/>
          <w14:textFill>
            <w14:solidFill>
              <w14:schemeClr w14:val="tx1"/>
            </w14:solidFill>
          </w14:textFill>
        </w:rPr>
        <w:t>，严格执行</w:t>
      </w:r>
      <w:r>
        <w:rPr>
          <w:rFonts w:ascii="Times New Roman" w:hAnsi="Times New Roman" w:eastAsia="仿宋_GB2312"/>
          <w:color w:val="000000" w:themeColor="text1"/>
          <w:sz w:val="32"/>
          <w:szCs w:val="32"/>
          <w:shd w:val="clear" w:color="auto" w:fill="FFFFFF"/>
          <w14:textFill>
            <w14:solidFill>
              <w14:schemeClr w14:val="tx1"/>
            </w14:solidFill>
          </w14:textFill>
        </w:rPr>
        <w:t>政府信息公开管理制度，规范政府信息公开内容，落实条例公开要求，</w:t>
      </w:r>
      <w:r>
        <w:rPr>
          <w:rFonts w:ascii="Times New Roman" w:hAnsi="Times New Roman" w:eastAsia="仿宋_GB2312"/>
          <w:color w:val="000000" w:themeColor="text1"/>
          <w:kern w:val="0"/>
          <w:sz w:val="32"/>
          <w:szCs w:val="32"/>
          <w14:textFill>
            <w14:solidFill>
              <w14:schemeClr w14:val="tx1"/>
            </w14:solidFill>
          </w14:textFill>
        </w:rPr>
        <w:t>扎实推进政府信息公开工作</w:t>
      </w:r>
      <w:r>
        <w:rPr>
          <w:rFonts w:ascii="Times New Roman" w:hAnsi="Times New Roman" w:eastAsia="仿宋_GB2312"/>
          <w:color w:val="000000" w:themeColor="text1"/>
          <w:sz w:val="32"/>
          <w:szCs w:val="32"/>
          <w:shd w:val="clear" w:color="auto" w:fill="FFFFFF"/>
          <w14:textFill>
            <w14:solidFill>
              <w14:schemeClr w14:val="tx1"/>
            </w14:solidFill>
          </w14:textFill>
        </w:rPr>
        <w:t>。</w:t>
      </w:r>
    </w:p>
    <w:p>
      <w:pPr>
        <w:spacing w:line="560" w:lineRule="exact"/>
        <w:ind w:firstLine="643" w:firstLineChars="200"/>
        <w:rPr>
          <w:rFonts w:ascii="Times New Roman" w:hAnsi="Times New Roman" w:eastAsia="仿宋_GB2312"/>
          <w:b/>
          <w:bCs/>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1.主动公开方面</w:t>
      </w:r>
    </w:p>
    <w:p>
      <w:pPr>
        <w:widowControl/>
        <w:shd w:val="clear" w:color="auto" w:fill="FFFFFF"/>
        <w:spacing w:line="56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2023年，淄博市医疗保障局淄川分局公开</w:t>
      </w:r>
      <w:r>
        <w:rPr>
          <w:rFonts w:ascii="Times New Roman" w:hAnsi="Times New Roman" w:eastAsia="仿宋_GB2312"/>
          <w:color w:val="000000" w:themeColor="text1"/>
          <w:kern w:val="0"/>
          <w:sz w:val="32"/>
          <w:szCs w:val="32"/>
          <w14:textFill>
            <w14:solidFill>
              <w14:schemeClr w14:val="tx1"/>
            </w14:solidFill>
          </w14:textFill>
        </w:rPr>
        <w:t>政府文件、政策解读、部门工作、工作报告和单位领导分工、内设机构、内设机构职责、办事指南；公开了政府信息公开指南、药品目录、诊疗目录和定点医疗机构，社保运行和医疗救助情况、行政执法情况等；定期公开民生实事项目进展情况。</w:t>
      </w:r>
    </w:p>
    <w:p>
      <w:pPr>
        <w:spacing w:line="560" w:lineRule="exact"/>
        <w:ind w:firstLine="643" w:firstLineChars="200"/>
        <w:rPr>
          <w:rFonts w:ascii="Times New Roman" w:hAnsi="Times New Roman" w:eastAsia="仿宋_GB2312"/>
          <w:b/>
          <w:bCs/>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2.依申请公开工作方面</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2023年，收到政府信息公开申请1件，同比增长100%，全部依法依规予以办理。因依申请公开引发的行政复议案件0件，行政诉讼案件0件。</w:t>
      </w:r>
    </w:p>
    <w:p>
      <w:pPr>
        <w:spacing w:line="560" w:lineRule="exact"/>
        <w:ind w:firstLine="643" w:firstLineChars="200"/>
        <w:rPr>
          <w:rFonts w:ascii="Times New Roman" w:hAnsi="Times New Roman" w:eastAsia="仿宋_GB2312"/>
          <w:b/>
          <w:bCs/>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3.政府信息管理方面</w:t>
      </w:r>
    </w:p>
    <w:p>
      <w:pPr>
        <w:pStyle w:val="4"/>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color w:val="000000"/>
          <w:sz w:val="32"/>
          <w:szCs w:val="32"/>
        </w:rPr>
        <w:t>一是加强组织领导。</w:t>
      </w:r>
      <w:r>
        <w:rPr>
          <w:rFonts w:ascii="Times New Roman" w:hAnsi="Times New Roman" w:eastAsia="仿宋_GB2312"/>
          <w:sz w:val="32"/>
          <w:szCs w:val="32"/>
        </w:rPr>
        <w:t>成立了局主要负责人任组长的医保分局政务公开工作领导小组。</w:t>
      </w:r>
      <w:r>
        <w:rPr>
          <w:rFonts w:ascii="Times New Roman" w:hAnsi="Times New Roman" w:eastAsia="仿宋_GB2312"/>
          <w:color w:val="000000"/>
          <w:sz w:val="32"/>
          <w:szCs w:val="32"/>
        </w:rPr>
        <w:t>实行政府信息采集、梳理、编辑、审核、发布、更新等工作常态化工作机制，落实专人负责统筹、协调、编制、公布信息公开内容，</w:t>
      </w:r>
      <w:r>
        <w:rPr>
          <w:rFonts w:ascii="Times New Roman" w:hAnsi="Times New Roman" w:eastAsia="仿宋_GB2312"/>
          <w:sz w:val="32"/>
          <w:szCs w:val="32"/>
        </w:rPr>
        <w:t>将政务公开工作纳入科室年度工作任务目标，为推进政务公开工作提供了有力的组织保证。</w:t>
      </w:r>
    </w:p>
    <w:p>
      <w:pPr>
        <w:pStyle w:val="4"/>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二是落实工作制度。结合我局工作实际，严格执行政府信息公开审核制度，坚持分级审核、先审后发，</w:t>
      </w:r>
      <w:r>
        <w:rPr>
          <w:rFonts w:ascii="Times New Roman" w:hAnsi="Times New Roman" w:eastAsia="仿宋_GB2312"/>
          <w:sz w:val="32"/>
          <w:szCs w:val="32"/>
        </w:rPr>
        <w:t>普通事项报分管领导审核批准、重大事项报主要领导审核，经领导审核同意后方可公开，信息发布</w:t>
      </w:r>
      <w:r>
        <w:rPr>
          <w:rFonts w:ascii="Times New Roman" w:hAnsi="Times New Roman" w:eastAsia="仿宋_GB2312"/>
          <w:color w:val="000000"/>
          <w:sz w:val="32"/>
          <w:szCs w:val="32"/>
        </w:rPr>
        <w:t>真正做到“谁起草、谁解读、谁负责”的相关要求，确保上传的信息资源</w:t>
      </w:r>
      <w:r>
        <w:rPr>
          <w:rFonts w:ascii="Times New Roman" w:hAnsi="Times New Roman" w:eastAsia="仿宋_GB2312"/>
          <w:sz w:val="32"/>
          <w:szCs w:val="32"/>
        </w:rPr>
        <w:t>合法性和规范性。</w:t>
      </w:r>
    </w:p>
    <w:p>
      <w:pPr>
        <w:pStyle w:val="4"/>
        <w:spacing w:before="0" w:beforeAutospacing="0" w:after="0" w:afterAutospacing="0" w:line="560" w:lineRule="exact"/>
        <w:ind w:firstLine="640" w:firstLineChars="200"/>
        <w:jc w:val="both"/>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rPr>
        <w:t>三是强化公开内容。根据业务发展和制度修订情况，及时更新信息公开目录和</w:t>
      </w:r>
      <w:r>
        <w:rPr>
          <w:rFonts w:ascii="Times New Roman" w:hAnsi="Times New Roman" w:eastAsia="仿宋_GB2312"/>
          <w:sz w:val="32"/>
          <w:szCs w:val="32"/>
        </w:rPr>
        <w:t>政务公开</w:t>
      </w:r>
      <w:r>
        <w:rPr>
          <w:rFonts w:ascii="Times New Roman" w:hAnsi="Times New Roman" w:eastAsia="仿宋_GB2312"/>
          <w:color w:val="000000"/>
          <w:sz w:val="32"/>
          <w:szCs w:val="32"/>
        </w:rPr>
        <w:t>公开指南，</w:t>
      </w:r>
      <w:r>
        <w:rPr>
          <w:rFonts w:ascii="Times New Roman" w:hAnsi="Times New Roman" w:eastAsia="仿宋_GB2312"/>
          <w:sz w:val="32"/>
          <w:szCs w:val="32"/>
        </w:rPr>
        <w:t>对各项新政新规及时进行公开</w:t>
      </w:r>
      <w:r>
        <w:rPr>
          <w:rFonts w:ascii="Times New Roman" w:hAnsi="Times New Roman" w:eastAsia="仿宋_GB2312"/>
          <w:color w:val="000000"/>
          <w:sz w:val="32"/>
          <w:szCs w:val="32"/>
          <w:shd w:val="clear" w:color="auto" w:fill="FFFFFF"/>
        </w:rPr>
        <w:t>。</w:t>
      </w:r>
      <w:r>
        <w:rPr>
          <w:rFonts w:ascii="Times New Roman" w:hAnsi="Times New Roman" w:eastAsia="仿宋_GB2312"/>
          <w:sz w:val="32"/>
          <w:szCs w:val="32"/>
        </w:rPr>
        <w:t>做好社会保障、医疗救助、医疗服务信息公开，做好行政执法方面公示，做好人大代表和政协委员建议提案办理情况等公开工作，密切关注涉及医保方面的舆情并及时回复。</w:t>
      </w:r>
    </w:p>
    <w:p>
      <w:pPr>
        <w:spacing w:line="560" w:lineRule="exact"/>
        <w:ind w:firstLine="643" w:firstLineChars="200"/>
        <w:rPr>
          <w:rFonts w:ascii="Times New Roman" w:hAnsi="Times New Roman" w:eastAsia="仿宋_GB2312"/>
          <w:b/>
          <w:bCs/>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4.平台建设方面</w:t>
      </w:r>
    </w:p>
    <w:p>
      <w:pPr>
        <w:widowControl/>
        <w:shd w:val="clear" w:color="auto" w:fill="FFFFFF"/>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2023年，我局及时更新信息，根据信息公开工作要求，安排专门人员，</w:t>
      </w:r>
      <w:r>
        <w:rPr>
          <w:rFonts w:ascii="Times New Roman" w:hAnsi="Times New Roman" w:eastAsia="仿宋_GB2312"/>
          <w:color w:val="000000"/>
          <w:sz w:val="32"/>
          <w:szCs w:val="32"/>
          <w:shd w:val="clear" w:color="auto" w:fill="FFFFFF"/>
        </w:rPr>
        <w:t>对政务公开信息定期或不定期进行更新和维护。</w:t>
      </w:r>
      <w:r>
        <w:rPr>
          <w:rFonts w:ascii="Times New Roman" w:hAnsi="Times New Roman" w:eastAsia="仿宋_GB2312"/>
          <w:color w:val="000000"/>
          <w:kern w:val="0"/>
          <w:sz w:val="32"/>
          <w:szCs w:val="32"/>
        </w:rPr>
        <w:t>主要通过以下两种方式公开信息：一是通过政府网站公开；二是通过微信、报纸、制作小视频、电视节目、村村响等形式对新政策、办事程序等进行公开。</w:t>
      </w:r>
    </w:p>
    <w:p>
      <w:pPr>
        <w:spacing w:line="560" w:lineRule="exact"/>
        <w:ind w:firstLine="643" w:firstLineChars="200"/>
        <w:rPr>
          <w:rFonts w:ascii="Times New Roman" w:hAnsi="Times New Roman" w:eastAsia="仿宋_GB2312"/>
          <w:b/>
          <w:bCs/>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5.监督保障方面</w:t>
      </w:r>
    </w:p>
    <w:p>
      <w:pPr>
        <w:widowControl/>
        <w:shd w:val="clear" w:color="auto" w:fill="FFFFFF"/>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定期开展业务培训。提前制定培训计划，按照计划对科室政务公开负责人员进行培训，积极与上级政务公开部门沟通，及时掌握政务公开方面的政策，全年开展专题培训1次，进一步提升了工作能力，提高了工作效率。严格按照工作要求规范开展。完善工作制度，从内容、程序、监督、责任追究等各环节入手，规范工作流程。对信息公开目录和内容进行认真审核，坚持分级审核、先审后发，严格遵守《保密法》规定，树立公开的信息不涉密，涉密的信息不公开的意识，守好信息公开的底线。</w:t>
      </w:r>
    </w:p>
    <w:p>
      <w:pPr>
        <w:pStyle w:val="4"/>
        <w:widowControl/>
        <w:shd w:val="clear" w:color="auto" w:fill="FFFFFF"/>
        <w:spacing w:before="0" w:beforeAutospacing="0" w:after="0" w:afterAutospacing="0"/>
        <w:ind w:firstLine="420"/>
        <w:jc w:val="both"/>
        <w:rPr>
          <w:rFonts w:ascii="Times New Roman" w:hAnsi="Times New Roman" w:eastAsia="黑体"/>
          <w:bCs/>
          <w:color w:val="333333"/>
          <w:sz w:val="32"/>
          <w:szCs w:val="32"/>
        </w:rPr>
      </w:pPr>
      <w:r>
        <w:rPr>
          <w:rFonts w:ascii="Times New Roman" w:hAnsi="Times New Roman" w:eastAsia="黑体"/>
          <w:bCs/>
          <w:color w:val="333333"/>
          <w:sz w:val="32"/>
          <w:szCs w:val="32"/>
          <w:shd w:val="clear" w:color="auto" w:fill="FFFFFF"/>
        </w:rPr>
        <w:t>二、主动公开政府信息情况</w:t>
      </w:r>
    </w:p>
    <w:tbl>
      <w:tblPr>
        <w:tblStyle w:val="5"/>
        <w:tblW w:w="8802" w:type="dxa"/>
        <w:tblInd w:w="0" w:type="dxa"/>
        <w:tblLayout w:type="fixed"/>
        <w:tblCellMar>
          <w:top w:w="0" w:type="dxa"/>
          <w:left w:w="108" w:type="dxa"/>
          <w:bottom w:w="0" w:type="dxa"/>
          <w:right w:w="108" w:type="dxa"/>
        </w:tblCellMar>
      </w:tblPr>
      <w:tblGrid>
        <w:gridCol w:w="2427"/>
        <w:gridCol w:w="2100"/>
        <w:gridCol w:w="2040"/>
        <w:gridCol w:w="2235"/>
      </w:tblGrid>
      <w:tr>
        <w:tblPrEx>
          <w:tblCellMar>
            <w:top w:w="0" w:type="dxa"/>
            <w:left w:w="108" w:type="dxa"/>
            <w:bottom w:w="0" w:type="dxa"/>
            <w:right w:w="108" w:type="dxa"/>
          </w:tblCellMar>
        </w:tblPrEx>
        <w:trPr>
          <w:trHeight w:val="497" w:hRule="atLeast"/>
        </w:trPr>
        <w:tc>
          <w:tcPr>
            <w:tcW w:w="8802"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第二十条第（一）项</w:t>
            </w:r>
          </w:p>
        </w:tc>
      </w:tr>
      <w:tr>
        <w:tblPrEx>
          <w:tblCellMar>
            <w:top w:w="0" w:type="dxa"/>
            <w:left w:w="108" w:type="dxa"/>
            <w:bottom w:w="0" w:type="dxa"/>
            <w:right w:w="108" w:type="dxa"/>
          </w:tblCellMar>
        </w:tblPrEx>
        <w:trPr>
          <w:trHeight w:val="571" w:hRule="atLeast"/>
        </w:trPr>
        <w:tc>
          <w:tcPr>
            <w:tcW w:w="2427"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信息内容</w:t>
            </w:r>
          </w:p>
        </w:tc>
        <w:tc>
          <w:tcPr>
            <w:tcW w:w="2100" w:type="dxa"/>
            <w:tcBorders>
              <w:top w:val="nil"/>
              <w:left w:val="nil"/>
              <w:bottom w:val="single" w:color="auto" w:sz="8" w:space="0"/>
              <w:right w:val="single" w:color="auto" w:sz="8" w:space="0"/>
            </w:tcBorders>
            <w:vAlign w:val="center"/>
          </w:tcPr>
          <w:p>
            <w:pPr>
              <w:widowControl/>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本年制发件数</w:t>
            </w:r>
          </w:p>
        </w:tc>
        <w:tc>
          <w:tcPr>
            <w:tcW w:w="2040" w:type="dxa"/>
            <w:tcBorders>
              <w:top w:val="nil"/>
              <w:left w:val="nil"/>
              <w:bottom w:val="single" w:color="auto" w:sz="8" w:space="0"/>
              <w:right w:val="single" w:color="auto" w:sz="8" w:space="0"/>
            </w:tcBorders>
            <w:vAlign w:val="center"/>
          </w:tcPr>
          <w:p>
            <w:pPr>
              <w:widowControl/>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本年废止件数</w:t>
            </w:r>
          </w:p>
        </w:tc>
        <w:tc>
          <w:tcPr>
            <w:tcW w:w="2235" w:type="dxa"/>
            <w:tcBorders>
              <w:top w:val="nil"/>
              <w:left w:val="nil"/>
              <w:bottom w:val="single" w:color="auto" w:sz="8" w:space="0"/>
              <w:right w:val="single" w:color="auto" w:sz="8" w:space="0"/>
            </w:tcBorders>
            <w:vAlign w:val="center"/>
          </w:tcPr>
          <w:p>
            <w:pPr>
              <w:widowControl/>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现行有效件数</w:t>
            </w:r>
          </w:p>
        </w:tc>
      </w:tr>
      <w:tr>
        <w:tblPrEx>
          <w:tblCellMar>
            <w:top w:w="0" w:type="dxa"/>
            <w:left w:w="108" w:type="dxa"/>
            <w:bottom w:w="0" w:type="dxa"/>
            <w:right w:w="108" w:type="dxa"/>
          </w:tblCellMar>
        </w:tblPrEx>
        <w:trPr>
          <w:trHeight w:val="514" w:hRule="atLeast"/>
        </w:trPr>
        <w:tc>
          <w:tcPr>
            <w:tcW w:w="2427"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规章</w:t>
            </w:r>
          </w:p>
        </w:tc>
        <w:tc>
          <w:tcPr>
            <w:tcW w:w="2100" w:type="dxa"/>
            <w:tcBorders>
              <w:top w:val="nil"/>
              <w:left w:val="nil"/>
              <w:bottom w:val="single" w:color="auto" w:sz="8" w:space="0"/>
              <w:right w:val="single" w:color="auto" w:sz="8" w:space="0"/>
            </w:tcBorders>
            <w:vAlign w:val="center"/>
          </w:tcPr>
          <w:p>
            <w:pPr>
              <w:widowControl/>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0</w:t>
            </w:r>
          </w:p>
        </w:tc>
        <w:tc>
          <w:tcPr>
            <w:tcW w:w="2040" w:type="dxa"/>
            <w:tcBorders>
              <w:top w:val="nil"/>
              <w:left w:val="nil"/>
              <w:bottom w:val="single" w:color="auto" w:sz="8" w:space="0"/>
              <w:right w:val="single" w:color="auto" w:sz="8" w:space="0"/>
            </w:tcBorders>
            <w:vAlign w:val="center"/>
          </w:tcPr>
          <w:p>
            <w:pPr>
              <w:widowControl/>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0</w:t>
            </w:r>
          </w:p>
        </w:tc>
        <w:tc>
          <w:tcPr>
            <w:tcW w:w="2235" w:type="dxa"/>
            <w:tcBorders>
              <w:top w:val="nil"/>
              <w:left w:val="nil"/>
              <w:bottom w:val="single" w:color="auto" w:sz="8" w:space="0"/>
              <w:right w:val="single" w:color="auto" w:sz="8" w:space="0"/>
            </w:tcBorders>
            <w:vAlign w:val="center"/>
          </w:tcPr>
          <w:p>
            <w:pPr>
              <w:widowControl/>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563" w:hRule="atLeast"/>
        </w:trPr>
        <w:tc>
          <w:tcPr>
            <w:tcW w:w="2427"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行政规范性文件</w:t>
            </w:r>
          </w:p>
        </w:tc>
        <w:tc>
          <w:tcPr>
            <w:tcW w:w="2100" w:type="dxa"/>
            <w:tcBorders>
              <w:top w:val="nil"/>
              <w:left w:val="nil"/>
              <w:bottom w:val="single" w:color="auto" w:sz="8" w:space="0"/>
              <w:right w:val="single" w:color="auto" w:sz="8" w:space="0"/>
            </w:tcBorders>
            <w:vAlign w:val="center"/>
          </w:tcPr>
          <w:p>
            <w:pPr>
              <w:widowControl/>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0</w:t>
            </w:r>
          </w:p>
        </w:tc>
        <w:tc>
          <w:tcPr>
            <w:tcW w:w="2040" w:type="dxa"/>
            <w:tcBorders>
              <w:top w:val="nil"/>
              <w:left w:val="nil"/>
              <w:bottom w:val="single" w:color="auto" w:sz="8" w:space="0"/>
              <w:right w:val="single" w:color="auto" w:sz="8" w:space="0"/>
            </w:tcBorders>
            <w:vAlign w:val="center"/>
          </w:tcPr>
          <w:p>
            <w:pPr>
              <w:widowControl/>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0</w:t>
            </w:r>
          </w:p>
        </w:tc>
        <w:tc>
          <w:tcPr>
            <w:tcW w:w="2235" w:type="dxa"/>
            <w:tcBorders>
              <w:top w:val="nil"/>
              <w:left w:val="nil"/>
              <w:bottom w:val="single" w:color="auto" w:sz="8" w:space="0"/>
              <w:right w:val="single" w:color="auto" w:sz="8" w:space="0"/>
            </w:tcBorders>
            <w:vAlign w:val="center"/>
          </w:tcPr>
          <w:p>
            <w:pPr>
              <w:widowControl/>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541" w:hRule="atLeast"/>
        </w:trPr>
        <w:tc>
          <w:tcPr>
            <w:tcW w:w="8802"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第二十条第（五）项</w:t>
            </w:r>
          </w:p>
        </w:tc>
      </w:tr>
      <w:tr>
        <w:tblPrEx>
          <w:tblCellMar>
            <w:top w:w="0" w:type="dxa"/>
            <w:left w:w="108" w:type="dxa"/>
            <w:bottom w:w="0" w:type="dxa"/>
            <w:right w:w="108" w:type="dxa"/>
          </w:tblCellMar>
        </w:tblPrEx>
        <w:trPr>
          <w:trHeight w:val="586" w:hRule="atLeast"/>
        </w:trPr>
        <w:tc>
          <w:tcPr>
            <w:tcW w:w="2427"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信息内容</w:t>
            </w:r>
          </w:p>
        </w:tc>
        <w:tc>
          <w:tcPr>
            <w:tcW w:w="6375" w:type="dxa"/>
            <w:gridSpan w:val="3"/>
            <w:tcBorders>
              <w:top w:val="single" w:color="auto" w:sz="8" w:space="0"/>
              <w:left w:val="nil"/>
              <w:bottom w:val="single" w:color="auto" w:sz="8" w:space="0"/>
              <w:right w:val="single" w:color="000000" w:sz="8" w:space="0"/>
            </w:tcBorders>
            <w:vAlign w:val="center"/>
          </w:tcPr>
          <w:p>
            <w:pPr>
              <w:widowControl/>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本年处理决定数量</w:t>
            </w:r>
          </w:p>
        </w:tc>
      </w:tr>
      <w:tr>
        <w:tblPrEx>
          <w:tblCellMar>
            <w:top w:w="0" w:type="dxa"/>
            <w:left w:w="108" w:type="dxa"/>
            <w:bottom w:w="0" w:type="dxa"/>
            <w:right w:w="108" w:type="dxa"/>
          </w:tblCellMar>
        </w:tblPrEx>
        <w:trPr>
          <w:trHeight w:val="565" w:hRule="atLeast"/>
        </w:trPr>
        <w:tc>
          <w:tcPr>
            <w:tcW w:w="2427"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b/>
                <w:bCs/>
                <w:color w:val="000000"/>
                <w:kern w:val="0"/>
                <w:szCs w:val="21"/>
              </w:rPr>
              <w:t>行政许可</w:t>
            </w:r>
          </w:p>
        </w:tc>
        <w:tc>
          <w:tcPr>
            <w:tcW w:w="6375" w:type="dxa"/>
            <w:gridSpan w:val="3"/>
            <w:tcBorders>
              <w:top w:val="single" w:color="auto" w:sz="8" w:space="0"/>
              <w:left w:val="nil"/>
              <w:bottom w:val="single" w:color="auto" w:sz="8" w:space="0"/>
              <w:right w:val="single" w:color="000000" w:sz="8" w:space="0"/>
            </w:tcBorders>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0</w:t>
            </w:r>
          </w:p>
        </w:tc>
      </w:tr>
      <w:tr>
        <w:tblPrEx>
          <w:tblCellMar>
            <w:top w:w="0" w:type="dxa"/>
            <w:left w:w="108" w:type="dxa"/>
            <w:bottom w:w="0" w:type="dxa"/>
            <w:right w:w="108" w:type="dxa"/>
          </w:tblCellMar>
        </w:tblPrEx>
        <w:trPr>
          <w:trHeight w:val="501" w:hRule="atLeast"/>
        </w:trPr>
        <w:tc>
          <w:tcPr>
            <w:tcW w:w="8802"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第二十条第（六）项</w:t>
            </w:r>
          </w:p>
        </w:tc>
      </w:tr>
      <w:tr>
        <w:tblPrEx>
          <w:tblCellMar>
            <w:top w:w="0" w:type="dxa"/>
            <w:left w:w="108" w:type="dxa"/>
            <w:bottom w:w="0" w:type="dxa"/>
            <w:right w:w="108" w:type="dxa"/>
          </w:tblCellMar>
        </w:tblPrEx>
        <w:trPr>
          <w:trHeight w:val="556" w:hRule="atLeast"/>
        </w:trPr>
        <w:tc>
          <w:tcPr>
            <w:tcW w:w="24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信息内容</w:t>
            </w:r>
          </w:p>
        </w:tc>
        <w:tc>
          <w:tcPr>
            <w:tcW w:w="6375" w:type="dxa"/>
            <w:gridSpan w:val="3"/>
            <w:tcBorders>
              <w:top w:val="single" w:color="auto" w:sz="8" w:space="0"/>
              <w:left w:val="single" w:color="auto" w:sz="4" w:space="0"/>
              <w:bottom w:val="single" w:color="auto" w:sz="8" w:space="0"/>
              <w:right w:val="single" w:color="000000" w:sz="8" w:space="0"/>
            </w:tcBorders>
            <w:vAlign w:val="center"/>
          </w:tcPr>
          <w:p>
            <w:pPr>
              <w:widowControl/>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本年处理决定数量</w:t>
            </w:r>
          </w:p>
        </w:tc>
      </w:tr>
      <w:tr>
        <w:tblPrEx>
          <w:tblCellMar>
            <w:top w:w="0" w:type="dxa"/>
            <w:left w:w="108" w:type="dxa"/>
            <w:bottom w:w="0" w:type="dxa"/>
            <w:right w:w="108" w:type="dxa"/>
          </w:tblCellMar>
        </w:tblPrEx>
        <w:trPr>
          <w:trHeight w:val="551" w:hRule="atLeast"/>
        </w:trPr>
        <w:tc>
          <w:tcPr>
            <w:tcW w:w="2427" w:type="dxa"/>
            <w:tcBorders>
              <w:top w:val="single" w:color="auto" w:sz="4" w:space="0"/>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行政处罚</w:t>
            </w:r>
          </w:p>
        </w:tc>
        <w:tc>
          <w:tcPr>
            <w:tcW w:w="6375" w:type="dxa"/>
            <w:gridSpan w:val="3"/>
            <w:tcBorders>
              <w:top w:val="single" w:color="auto" w:sz="8" w:space="0"/>
              <w:left w:val="nil"/>
              <w:bottom w:val="single" w:color="auto" w:sz="8" w:space="0"/>
              <w:right w:val="single" w:color="000000" w:sz="8" w:space="0"/>
            </w:tcBorders>
            <w:vAlign w:val="center"/>
          </w:tcPr>
          <w:p>
            <w:pPr>
              <w:widowControl/>
              <w:jc w:val="center"/>
              <w:rPr>
                <w:rFonts w:ascii="Times New Roman" w:hAnsi="Times New Roman" w:eastAsia="仿宋_GB2312"/>
                <w:color w:val="FF0000"/>
                <w:kern w:val="0"/>
                <w:szCs w:val="21"/>
              </w:rPr>
            </w:pPr>
            <w:r>
              <w:rPr>
                <w:rFonts w:ascii="Times New Roman" w:hAnsi="Times New Roman" w:eastAsia="仿宋_GB2312"/>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trHeight w:val="571" w:hRule="atLeast"/>
        </w:trPr>
        <w:tc>
          <w:tcPr>
            <w:tcW w:w="2427"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行政强制</w:t>
            </w:r>
          </w:p>
        </w:tc>
        <w:tc>
          <w:tcPr>
            <w:tcW w:w="6375" w:type="dxa"/>
            <w:gridSpan w:val="3"/>
            <w:tcBorders>
              <w:top w:val="single" w:color="auto" w:sz="8" w:space="0"/>
              <w:left w:val="nil"/>
              <w:bottom w:val="single" w:color="auto" w:sz="8" w:space="0"/>
              <w:right w:val="single" w:color="000000" w:sz="8" w:space="0"/>
            </w:tcBorders>
            <w:vAlign w:val="center"/>
          </w:tcPr>
          <w:p>
            <w:pPr>
              <w:widowControl/>
              <w:jc w:val="center"/>
              <w:rPr>
                <w:rFonts w:ascii="Times New Roman" w:hAnsi="Times New Roman" w:eastAsia="仿宋_GB2312"/>
                <w:color w:val="FF0000"/>
                <w:kern w:val="0"/>
                <w:szCs w:val="21"/>
              </w:rPr>
            </w:pPr>
            <w:r>
              <w:rPr>
                <w:rFonts w:ascii="Times New Roman" w:hAnsi="Times New Roman" w:eastAsia="仿宋_GB2312"/>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531" w:hRule="atLeast"/>
        </w:trPr>
        <w:tc>
          <w:tcPr>
            <w:tcW w:w="8802"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第二十条第（八）项</w:t>
            </w:r>
          </w:p>
        </w:tc>
      </w:tr>
      <w:tr>
        <w:tblPrEx>
          <w:tblCellMar>
            <w:top w:w="0" w:type="dxa"/>
            <w:left w:w="108" w:type="dxa"/>
            <w:bottom w:w="0" w:type="dxa"/>
            <w:right w:w="108" w:type="dxa"/>
          </w:tblCellMar>
        </w:tblPrEx>
        <w:trPr>
          <w:trHeight w:val="631" w:hRule="atLeast"/>
        </w:trPr>
        <w:tc>
          <w:tcPr>
            <w:tcW w:w="2427"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信息内容</w:t>
            </w:r>
          </w:p>
        </w:tc>
        <w:tc>
          <w:tcPr>
            <w:tcW w:w="6375" w:type="dxa"/>
            <w:gridSpan w:val="3"/>
            <w:tcBorders>
              <w:top w:val="single" w:color="auto" w:sz="8" w:space="0"/>
              <w:left w:val="nil"/>
              <w:bottom w:val="single" w:color="auto" w:sz="8" w:space="0"/>
              <w:right w:val="single" w:color="000000" w:sz="8" w:space="0"/>
            </w:tcBorders>
            <w:vAlign w:val="center"/>
          </w:tcPr>
          <w:p>
            <w:pPr>
              <w:widowControl/>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本年收费金额（单位：万元）</w:t>
            </w:r>
          </w:p>
        </w:tc>
      </w:tr>
      <w:tr>
        <w:tblPrEx>
          <w:tblCellMar>
            <w:top w:w="0" w:type="dxa"/>
            <w:left w:w="108" w:type="dxa"/>
            <w:bottom w:w="0" w:type="dxa"/>
            <w:right w:w="108" w:type="dxa"/>
          </w:tblCellMar>
        </w:tblPrEx>
        <w:trPr>
          <w:trHeight w:val="650" w:hRule="atLeast"/>
        </w:trPr>
        <w:tc>
          <w:tcPr>
            <w:tcW w:w="2427"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b/>
                <w:bCs/>
                <w:color w:val="000000"/>
                <w:kern w:val="0"/>
                <w:szCs w:val="21"/>
              </w:rPr>
              <w:t>行政事业性收费</w:t>
            </w:r>
          </w:p>
        </w:tc>
        <w:tc>
          <w:tcPr>
            <w:tcW w:w="6375" w:type="dxa"/>
            <w:gridSpan w:val="3"/>
            <w:tcBorders>
              <w:top w:val="single" w:color="auto" w:sz="8" w:space="0"/>
              <w:left w:val="nil"/>
              <w:bottom w:val="single" w:color="auto" w:sz="8" w:space="0"/>
              <w:right w:val="single" w:color="000000" w:sz="8" w:space="0"/>
            </w:tcBorders>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0</w:t>
            </w:r>
          </w:p>
        </w:tc>
      </w:tr>
    </w:tbl>
    <w:p>
      <w:pPr>
        <w:ind w:firstLine="640" w:firstLineChars="200"/>
        <w:rPr>
          <w:rFonts w:ascii="Times New Roman" w:hAnsi="Times New Roman" w:eastAsia="黑体"/>
          <w:bCs/>
          <w:color w:val="333333"/>
          <w:kern w:val="0"/>
          <w:sz w:val="32"/>
          <w:szCs w:val="32"/>
          <w:shd w:val="clear" w:color="auto" w:fill="FFFFFF"/>
          <w:lang w:bidi="ar"/>
        </w:rPr>
      </w:pPr>
      <w:r>
        <w:rPr>
          <w:rFonts w:ascii="Times New Roman" w:hAnsi="Times New Roman" w:eastAsia="黑体"/>
          <w:bCs/>
          <w:color w:val="333333"/>
          <w:kern w:val="0"/>
          <w:sz w:val="32"/>
          <w:szCs w:val="32"/>
          <w:shd w:val="clear" w:color="auto" w:fill="FFFFFF"/>
          <w:lang w:bidi="ar"/>
        </w:rPr>
        <w:t>三、收到和处理政府信息公开申请情况</w:t>
      </w:r>
    </w:p>
    <w:tbl>
      <w:tblPr>
        <w:tblStyle w:val="5"/>
        <w:tblW w:w="87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55"/>
        <w:gridCol w:w="885"/>
        <w:gridCol w:w="2370"/>
        <w:gridCol w:w="615"/>
        <w:gridCol w:w="585"/>
        <w:gridCol w:w="555"/>
        <w:gridCol w:w="840"/>
        <w:gridCol w:w="765"/>
        <w:gridCol w:w="690"/>
        <w:gridCol w:w="6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4110" w:type="dxa"/>
            <w:gridSpan w:val="3"/>
            <w:vMerge w:val="restart"/>
            <w:tcMar>
              <w:left w:w="108" w:type="dxa"/>
              <w:right w:w="108" w:type="dxa"/>
            </w:tcMar>
            <w:vAlign w:val="center"/>
          </w:tcPr>
          <w:p>
            <w:pPr>
              <w:widowControl/>
              <w:jc w:val="center"/>
              <w:rPr>
                <w:rFonts w:ascii="Times New Roman" w:hAnsi="Times New Roman" w:eastAsia="楷体_GB2312"/>
                <w:kern w:val="0"/>
                <w:szCs w:val="21"/>
              </w:rPr>
            </w:pPr>
            <w:r>
              <w:rPr>
                <w:rFonts w:ascii="Times New Roman" w:hAnsi="Times New Roman" w:eastAsia="楷体_GB2312"/>
                <w:kern w:val="0"/>
                <w:szCs w:val="21"/>
              </w:rPr>
              <w:t>（本列数据的勾稽关系为：第一项加第二项之和，</w:t>
            </w:r>
          </w:p>
          <w:p>
            <w:pPr>
              <w:widowControl/>
              <w:jc w:val="center"/>
              <w:rPr>
                <w:rFonts w:ascii="Times New Roman" w:hAnsi="Times New Roman" w:eastAsia="仿宋_GB2312"/>
                <w:szCs w:val="21"/>
              </w:rPr>
            </w:pPr>
            <w:r>
              <w:rPr>
                <w:rFonts w:ascii="Times New Roman" w:hAnsi="Times New Roman" w:eastAsia="楷体_GB2312"/>
                <w:kern w:val="0"/>
                <w:szCs w:val="21"/>
              </w:rPr>
              <w:t>等于第三项加第四项之和）</w:t>
            </w:r>
          </w:p>
        </w:tc>
        <w:tc>
          <w:tcPr>
            <w:tcW w:w="4665" w:type="dxa"/>
            <w:gridSpan w:val="7"/>
            <w:tcMar>
              <w:left w:w="108" w:type="dxa"/>
              <w:right w:w="108" w:type="dxa"/>
            </w:tcMar>
            <w:vAlign w:val="center"/>
          </w:tcPr>
          <w:p>
            <w:pPr>
              <w:widowControl/>
              <w:spacing w:line="320" w:lineRule="exact"/>
              <w:jc w:val="center"/>
              <w:rPr>
                <w:rFonts w:ascii="Times New Roman" w:hAnsi="Times New Roman" w:eastAsia="黑体"/>
                <w:szCs w:val="21"/>
              </w:rPr>
            </w:pPr>
            <w:r>
              <w:rPr>
                <w:rFonts w:ascii="Times New Roman" w:hAnsi="Times New Roman"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4110" w:type="dxa"/>
            <w:gridSpan w:val="3"/>
            <w:vMerge w:val="continue"/>
            <w:tcMar>
              <w:left w:w="108" w:type="dxa"/>
              <w:right w:w="108" w:type="dxa"/>
            </w:tcMar>
            <w:vAlign w:val="center"/>
          </w:tcPr>
          <w:p>
            <w:pPr>
              <w:jc w:val="center"/>
              <w:rPr>
                <w:rFonts w:ascii="Times New Roman" w:hAnsi="Times New Roman" w:eastAsia="仿宋_GB2312"/>
                <w:szCs w:val="21"/>
              </w:rPr>
            </w:pPr>
          </w:p>
        </w:tc>
        <w:tc>
          <w:tcPr>
            <w:tcW w:w="615" w:type="dxa"/>
            <w:vMerge w:val="restart"/>
            <w:tcMar>
              <w:left w:w="108" w:type="dxa"/>
              <w:right w:w="108" w:type="dxa"/>
            </w:tcMar>
            <w:vAlign w:val="center"/>
          </w:tcPr>
          <w:p>
            <w:pPr>
              <w:widowControl/>
              <w:jc w:val="center"/>
              <w:rPr>
                <w:rFonts w:ascii="Times New Roman" w:hAnsi="Times New Roman" w:eastAsia="黑体"/>
                <w:szCs w:val="21"/>
              </w:rPr>
            </w:pPr>
            <w:r>
              <w:rPr>
                <w:rFonts w:ascii="Times New Roman" w:hAnsi="Times New Roman" w:eastAsia="黑体"/>
                <w:kern w:val="0"/>
                <w:szCs w:val="21"/>
              </w:rPr>
              <w:t>自然人</w:t>
            </w:r>
          </w:p>
        </w:tc>
        <w:tc>
          <w:tcPr>
            <w:tcW w:w="3435" w:type="dxa"/>
            <w:gridSpan w:val="5"/>
            <w:tcMar>
              <w:left w:w="108" w:type="dxa"/>
              <w:right w:w="108" w:type="dxa"/>
            </w:tcMar>
            <w:vAlign w:val="center"/>
          </w:tcPr>
          <w:p>
            <w:pPr>
              <w:widowControl/>
              <w:spacing w:line="320" w:lineRule="exact"/>
              <w:jc w:val="center"/>
              <w:rPr>
                <w:rFonts w:ascii="Times New Roman" w:hAnsi="Times New Roman" w:eastAsia="黑体"/>
                <w:szCs w:val="21"/>
              </w:rPr>
            </w:pPr>
            <w:r>
              <w:rPr>
                <w:rFonts w:ascii="Times New Roman" w:hAnsi="Times New Roman" w:eastAsia="黑体"/>
                <w:kern w:val="0"/>
                <w:szCs w:val="21"/>
              </w:rPr>
              <w:t>法人或其他组织</w:t>
            </w:r>
          </w:p>
        </w:tc>
        <w:tc>
          <w:tcPr>
            <w:tcW w:w="615" w:type="dxa"/>
            <w:vMerge w:val="restart"/>
            <w:tcMar>
              <w:left w:w="108" w:type="dxa"/>
              <w:right w:w="108" w:type="dxa"/>
            </w:tcMar>
            <w:vAlign w:val="center"/>
          </w:tcPr>
          <w:p>
            <w:pPr>
              <w:widowControl/>
              <w:jc w:val="center"/>
              <w:rPr>
                <w:rFonts w:ascii="Times New Roman" w:hAnsi="Times New Roman" w:eastAsia="黑体"/>
                <w:szCs w:val="21"/>
              </w:rPr>
            </w:pPr>
            <w:r>
              <w:rPr>
                <w:rFonts w:ascii="Times New Roman" w:hAnsi="Times New Roman"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4110" w:type="dxa"/>
            <w:gridSpan w:val="3"/>
            <w:vMerge w:val="continue"/>
            <w:tcMar>
              <w:left w:w="108" w:type="dxa"/>
              <w:right w:w="108" w:type="dxa"/>
            </w:tcMar>
            <w:vAlign w:val="center"/>
          </w:tcPr>
          <w:p>
            <w:pPr>
              <w:jc w:val="center"/>
              <w:rPr>
                <w:rFonts w:ascii="Times New Roman" w:hAnsi="Times New Roman" w:eastAsia="仿宋_GB2312"/>
                <w:szCs w:val="21"/>
              </w:rPr>
            </w:pPr>
          </w:p>
        </w:tc>
        <w:tc>
          <w:tcPr>
            <w:tcW w:w="615" w:type="dxa"/>
            <w:vMerge w:val="continue"/>
            <w:tcMar>
              <w:left w:w="108" w:type="dxa"/>
              <w:right w:w="108" w:type="dxa"/>
            </w:tcMar>
            <w:vAlign w:val="center"/>
          </w:tcPr>
          <w:p>
            <w:pPr>
              <w:jc w:val="center"/>
              <w:rPr>
                <w:rFonts w:ascii="Times New Roman" w:hAnsi="Times New Roman" w:eastAsia="黑体"/>
                <w:szCs w:val="21"/>
              </w:rPr>
            </w:pPr>
          </w:p>
        </w:tc>
        <w:tc>
          <w:tcPr>
            <w:tcW w:w="585" w:type="dxa"/>
            <w:tcMar>
              <w:left w:w="108" w:type="dxa"/>
              <w:right w:w="108" w:type="dxa"/>
            </w:tcMar>
            <w:vAlign w:val="center"/>
          </w:tcPr>
          <w:p>
            <w:pPr>
              <w:widowControl/>
              <w:spacing w:line="320" w:lineRule="exact"/>
              <w:ind w:left="-106" w:leftChars="-51" w:right="-107" w:rightChars="-51" w:hanging="1"/>
              <w:jc w:val="center"/>
              <w:rPr>
                <w:rFonts w:ascii="Times New Roman" w:hAnsi="Times New Roman" w:eastAsia="黑体"/>
                <w:szCs w:val="21"/>
              </w:rPr>
            </w:pPr>
            <w:r>
              <w:rPr>
                <w:rFonts w:ascii="Times New Roman" w:hAnsi="Times New Roman" w:eastAsia="黑体"/>
                <w:kern w:val="0"/>
                <w:szCs w:val="21"/>
              </w:rPr>
              <w:t>商业企业</w:t>
            </w:r>
          </w:p>
        </w:tc>
        <w:tc>
          <w:tcPr>
            <w:tcW w:w="555" w:type="dxa"/>
            <w:tcMar>
              <w:left w:w="108" w:type="dxa"/>
              <w:right w:w="108" w:type="dxa"/>
            </w:tcMar>
            <w:vAlign w:val="center"/>
          </w:tcPr>
          <w:p>
            <w:pPr>
              <w:widowControl/>
              <w:spacing w:line="320" w:lineRule="exact"/>
              <w:ind w:left="-107" w:leftChars="-51" w:right="-107" w:rightChars="-51"/>
              <w:jc w:val="center"/>
              <w:rPr>
                <w:rFonts w:ascii="Times New Roman" w:hAnsi="Times New Roman" w:eastAsia="黑体"/>
                <w:szCs w:val="21"/>
              </w:rPr>
            </w:pPr>
            <w:r>
              <w:rPr>
                <w:rFonts w:ascii="Times New Roman" w:hAnsi="Times New Roman" w:eastAsia="黑体"/>
                <w:kern w:val="0"/>
                <w:szCs w:val="21"/>
              </w:rPr>
              <w:t>科研机构</w:t>
            </w:r>
          </w:p>
        </w:tc>
        <w:tc>
          <w:tcPr>
            <w:tcW w:w="840" w:type="dxa"/>
            <w:tcMar>
              <w:left w:w="108" w:type="dxa"/>
              <w:right w:w="108" w:type="dxa"/>
            </w:tcMar>
            <w:vAlign w:val="center"/>
          </w:tcPr>
          <w:p>
            <w:pPr>
              <w:widowControl/>
              <w:spacing w:line="320" w:lineRule="exact"/>
              <w:ind w:left="-107" w:leftChars="-51" w:right="-107" w:rightChars="-51"/>
              <w:jc w:val="center"/>
              <w:rPr>
                <w:rFonts w:ascii="Times New Roman" w:hAnsi="Times New Roman" w:eastAsia="黑体"/>
                <w:szCs w:val="21"/>
              </w:rPr>
            </w:pPr>
            <w:r>
              <w:rPr>
                <w:rFonts w:ascii="Times New Roman" w:hAnsi="Times New Roman" w:eastAsia="黑体"/>
                <w:kern w:val="0"/>
                <w:szCs w:val="21"/>
              </w:rPr>
              <w:t>社会公益组织</w:t>
            </w:r>
          </w:p>
        </w:tc>
        <w:tc>
          <w:tcPr>
            <w:tcW w:w="765" w:type="dxa"/>
            <w:tcMar>
              <w:left w:w="108" w:type="dxa"/>
              <w:right w:w="108" w:type="dxa"/>
            </w:tcMar>
            <w:vAlign w:val="center"/>
          </w:tcPr>
          <w:p>
            <w:pPr>
              <w:widowControl/>
              <w:spacing w:line="320" w:lineRule="exact"/>
              <w:ind w:left="-106" w:leftChars="-51" w:right="-107" w:rightChars="-51" w:hanging="1"/>
              <w:jc w:val="center"/>
              <w:rPr>
                <w:rFonts w:ascii="Times New Roman" w:hAnsi="Times New Roman" w:eastAsia="黑体"/>
                <w:szCs w:val="21"/>
              </w:rPr>
            </w:pPr>
            <w:r>
              <w:rPr>
                <w:rFonts w:ascii="Times New Roman" w:hAnsi="Times New Roman" w:eastAsia="黑体"/>
                <w:kern w:val="0"/>
                <w:szCs w:val="21"/>
              </w:rPr>
              <w:t>法律服务机构</w:t>
            </w:r>
          </w:p>
        </w:tc>
        <w:tc>
          <w:tcPr>
            <w:tcW w:w="690" w:type="dxa"/>
            <w:tcMar>
              <w:left w:w="108" w:type="dxa"/>
              <w:right w:w="108" w:type="dxa"/>
            </w:tcMar>
            <w:vAlign w:val="center"/>
          </w:tcPr>
          <w:p>
            <w:pPr>
              <w:widowControl/>
              <w:spacing w:line="360" w:lineRule="exact"/>
              <w:ind w:left="-63" w:leftChars="-30" w:right="-134" w:rightChars="-64"/>
              <w:jc w:val="center"/>
              <w:rPr>
                <w:rFonts w:ascii="Times New Roman" w:hAnsi="Times New Roman" w:eastAsia="黑体"/>
                <w:szCs w:val="21"/>
              </w:rPr>
            </w:pPr>
            <w:r>
              <w:rPr>
                <w:rFonts w:ascii="Times New Roman" w:hAnsi="Times New Roman" w:eastAsia="黑体"/>
                <w:kern w:val="0"/>
                <w:szCs w:val="21"/>
              </w:rPr>
              <w:t>其他</w:t>
            </w:r>
          </w:p>
        </w:tc>
        <w:tc>
          <w:tcPr>
            <w:tcW w:w="615" w:type="dxa"/>
            <w:vMerge w:val="continue"/>
            <w:tcMar>
              <w:left w:w="108" w:type="dxa"/>
              <w:right w:w="108" w:type="dxa"/>
            </w:tcMar>
            <w:vAlign w:val="center"/>
          </w:tcPr>
          <w:p>
            <w:pPr>
              <w:jc w:val="center"/>
              <w:rPr>
                <w:rFonts w:ascii="Times New Roman"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4110" w:type="dxa"/>
            <w:gridSpan w:val="3"/>
            <w:tcMar>
              <w:left w:w="108" w:type="dxa"/>
              <w:right w:w="108" w:type="dxa"/>
            </w:tcMar>
            <w:vAlign w:val="center"/>
          </w:tcPr>
          <w:p>
            <w:pPr>
              <w:widowControl/>
              <w:rPr>
                <w:rFonts w:ascii="Times New Roman" w:hAnsi="Times New Roman" w:eastAsia="黑体"/>
                <w:szCs w:val="21"/>
              </w:rPr>
            </w:pPr>
            <w:r>
              <w:rPr>
                <w:rFonts w:ascii="Times New Roman" w:hAnsi="Times New Roman" w:eastAsia="黑体"/>
                <w:kern w:val="0"/>
                <w:szCs w:val="21"/>
              </w:rPr>
              <w:t>一、</w:t>
            </w:r>
            <w:bookmarkStart w:id="0" w:name="_Hlk66973412"/>
            <w:r>
              <w:rPr>
                <w:rFonts w:ascii="Times New Roman" w:hAnsi="Times New Roman" w:eastAsia="黑体"/>
                <w:kern w:val="0"/>
                <w:szCs w:val="21"/>
              </w:rPr>
              <w:t>本年新收政府信息公开申请数量</w:t>
            </w:r>
            <w:bookmarkEnd w:id="0"/>
          </w:p>
        </w:tc>
        <w:tc>
          <w:tcPr>
            <w:tcW w:w="615"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1</w:t>
            </w:r>
          </w:p>
        </w:tc>
        <w:tc>
          <w:tcPr>
            <w:tcW w:w="585"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555"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840"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765"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690"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615"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4110" w:type="dxa"/>
            <w:gridSpan w:val="3"/>
            <w:shd w:val="clear" w:color="auto" w:fill="auto"/>
            <w:tcMar>
              <w:left w:w="108" w:type="dxa"/>
              <w:right w:w="108" w:type="dxa"/>
            </w:tcMar>
            <w:vAlign w:val="center"/>
          </w:tcPr>
          <w:p>
            <w:pPr>
              <w:widowControl/>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kern w:val="0"/>
                <w:szCs w:val="21"/>
                <w14:textFill>
                  <w14:solidFill>
                    <w14:schemeClr w14:val="tx1"/>
                  </w14:solidFill>
                </w14:textFill>
              </w:rPr>
              <w:t>二、上年结转政府信息公开申请数量</w:t>
            </w:r>
          </w:p>
        </w:tc>
        <w:tc>
          <w:tcPr>
            <w:tcW w:w="615" w:type="dxa"/>
            <w:shd w:val="clear" w:color="auto" w:fill="FFFFFF" w:themeFill="background1"/>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585" w:type="dxa"/>
            <w:shd w:val="clear" w:color="auto" w:fill="FFFFFF" w:themeFill="background1"/>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555" w:type="dxa"/>
            <w:shd w:val="clear" w:color="auto" w:fill="FFFFFF" w:themeFill="background1"/>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840" w:type="dxa"/>
            <w:shd w:val="clear" w:color="auto" w:fill="FFFFFF" w:themeFill="background1"/>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765" w:type="dxa"/>
            <w:shd w:val="clear" w:color="auto" w:fill="FFFFFF" w:themeFill="background1"/>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690" w:type="dxa"/>
            <w:shd w:val="clear" w:color="auto" w:fill="FFFFFF" w:themeFill="background1"/>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615" w:type="dxa"/>
            <w:shd w:val="clear" w:color="auto" w:fill="FFFFFF" w:themeFill="background1"/>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shd w:val="clear" w:color="FFFFFF" w:fill="D9D9D9"/>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855" w:type="dxa"/>
            <w:vMerge w:val="restart"/>
            <w:tcMar>
              <w:left w:w="108" w:type="dxa"/>
              <w:right w:w="108" w:type="dxa"/>
            </w:tcMar>
            <w:vAlign w:val="center"/>
          </w:tcPr>
          <w:p>
            <w:pPr>
              <w:widowControl/>
              <w:spacing w:after="180"/>
              <w:rPr>
                <w:rFonts w:ascii="Times New Roman" w:hAnsi="Times New Roman" w:eastAsia="黑体"/>
                <w:szCs w:val="21"/>
              </w:rPr>
            </w:pPr>
            <w:r>
              <w:rPr>
                <w:rFonts w:ascii="Times New Roman" w:hAnsi="Times New Roman" w:eastAsia="黑体"/>
                <w:kern w:val="0"/>
                <w:szCs w:val="21"/>
              </w:rPr>
              <w:t>三、本年度办理结果</w:t>
            </w:r>
          </w:p>
        </w:tc>
        <w:tc>
          <w:tcPr>
            <w:tcW w:w="3255" w:type="dxa"/>
            <w:gridSpan w:val="2"/>
            <w:tcMar>
              <w:left w:w="108" w:type="dxa"/>
              <w:right w:w="108" w:type="dxa"/>
            </w:tcMar>
            <w:vAlign w:val="center"/>
          </w:tcPr>
          <w:p>
            <w:pPr>
              <w:widowControl/>
              <w:rPr>
                <w:rFonts w:ascii="Times New Roman" w:hAnsi="Times New Roman" w:eastAsia="黑体"/>
                <w:sz w:val="16"/>
                <w:szCs w:val="16"/>
              </w:rPr>
            </w:pPr>
            <w:r>
              <w:rPr>
                <w:rFonts w:ascii="Times New Roman" w:hAnsi="Times New Roman" w:eastAsia="黑体"/>
                <w:kern w:val="0"/>
                <w:sz w:val="16"/>
                <w:szCs w:val="16"/>
              </w:rPr>
              <w:t>（一）予以公开</w:t>
            </w:r>
          </w:p>
        </w:tc>
        <w:tc>
          <w:tcPr>
            <w:tcW w:w="615"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1</w:t>
            </w:r>
          </w:p>
        </w:tc>
        <w:tc>
          <w:tcPr>
            <w:tcW w:w="585"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555"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840"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765"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690"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615"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855" w:type="dxa"/>
            <w:vMerge w:val="continue"/>
            <w:tcMar>
              <w:left w:w="108" w:type="dxa"/>
              <w:right w:w="108" w:type="dxa"/>
            </w:tcMar>
            <w:vAlign w:val="center"/>
          </w:tcPr>
          <w:p>
            <w:pPr>
              <w:rPr>
                <w:rFonts w:ascii="Times New Roman" w:hAnsi="Times New Roman" w:eastAsia="黑体"/>
                <w:szCs w:val="21"/>
              </w:rPr>
            </w:pPr>
          </w:p>
        </w:tc>
        <w:tc>
          <w:tcPr>
            <w:tcW w:w="3255" w:type="dxa"/>
            <w:gridSpan w:val="2"/>
            <w:tcMar>
              <w:left w:w="108" w:type="dxa"/>
              <w:right w:w="108" w:type="dxa"/>
            </w:tcMar>
            <w:vAlign w:val="center"/>
          </w:tcPr>
          <w:p>
            <w:pPr>
              <w:widowControl/>
              <w:rPr>
                <w:rFonts w:ascii="Times New Roman" w:hAnsi="Times New Roman" w:eastAsia="黑体"/>
                <w:sz w:val="16"/>
                <w:szCs w:val="16"/>
              </w:rPr>
            </w:pPr>
            <w:r>
              <w:rPr>
                <w:rFonts w:ascii="Times New Roman" w:hAnsi="Times New Roman" w:eastAsia="黑体"/>
                <w:kern w:val="0"/>
                <w:sz w:val="16"/>
                <w:szCs w:val="16"/>
              </w:rPr>
              <w:t>（二）部分公开（</w:t>
            </w:r>
            <w:bookmarkStart w:id="1" w:name="_Hlk66973981"/>
            <w:r>
              <w:rPr>
                <w:rFonts w:ascii="Times New Roman" w:hAnsi="Times New Roman" w:eastAsia="黑体"/>
                <w:kern w:val="0"/>
                <w:sz w:val="16"/>
                <w:szCs w:val="16"/>
              </w:rPr>
              <w:t>区分处理的，只计这一情形，不计其他情形</w:t>
            </w:r>
            <w:bookmarkEnd w:id="1"/>
            <w:r>
              <w:rPr>
                <w:rFonts w:ascii="Times New Roman" w:hAnsi="Times New Roman" w:eastAsia="黑体"/>
                <w:kern w:val="0"/>
                <w:sz w:val="16"/>
                <w:szCs w:val="16"/>
              </w:rPr>
              <w:t>）</w:t>
            </w:r>
          </w:p>
        </w:tc>
        <w:tc>
          <w:tcPr>
            <w:tcW w:w="615"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585"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555"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840"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765"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690"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615"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855" w:type="dxa"/>
            <w:vMerge w:val="continue"/>
            <w:tcMar>
              <w:left w:w="108" w:type="dxa"/>
              <w:right w:w="108" w:type="dxa"/>
            </w:tcMar>
            <w:vAlign w:val="center"/>
          </w:tcPr>
          <w:p>
            <w:pPr>
              <w:rPr>
                <w:rFonts w:ascii="Times New Roman" w:hAnsi="Times New Roman" w:eastAsia="黑体"/>
                <w:szCs w:val="21"/>
              </w:rPr>
            </w:pPr>
          </w:p>
        </w:tc>
        <w:tc>
          <w:tcPr>
            <w:tcW w:w="885" w:type="dxa"/>
            <w:vMerge w:val="restart"/>
            <w:tcMar>
              <w:left w:w="108" w:type="dxa"/>
              <w:right w:w="108" w:type="dxa"/>
            </w:tcMar>
            <w:vAlign w:val="center"/>
          </w:tcPr>
          <w:p>
            <w:pPr>
              <w:widowControl/>
              <w:spacing w:line="200" w:lineRule="exact"/>
              <w:ind w:left="-107" w:leftChars="-51"/>
              <w:rPr>
                <w:rFonts w:ascii="Times New Roman" w:hAnsi="Times New Roman" w:eastAsia="黑体"/>
                <w:sz w:val="16"/>
                <w:szCs w:val="16"/>
              </w:rPr>
            </w:pPr>
            <w:r>
              <w:rPr>
                <w:rFonts w:ascii="Times New Roman" w:hAnsi="Times New Roman" w:eastAsia="黑体"/>
                <w:kern w:val="0"/>
                <w:sz w:val="16"/>
                <w:szCs w:val="16"/>
              </w:rPr>
              <w:t>（三）不予公开</w:t>
            </w:r>
          </w:p>
        </w:tc>
        <w:tc>
          <w:tcPr>
            <w:tcW w:w="2370" w:type="dxa"/>
            <w:tcMar>
              <w:left w:w="108" w:type="dxa"/>
              <w:right w:w="108" w:type="dxa"/>
            </w:tcMar>
            <w:vAlign w:val="center"/>
          </w:tcPr>
          <w:p>
            <w:pPr>
              <w:widowControl/>
              <w:spacing w:line="200" w:lineRule="exact"/>
              <w:rPr>
                <w:rFonts w:ascii="Times New Roman" w:hAnsi="Times New Roman" w:eastAsia="仿宋_GB2312"/>
                <w:kern w:val="0"/>
                <w:sz w:val="16"/>
                <w:szCs w:val="16"/>
              </w:rPr>
            </w:pPr>
            <w:r>
              <w:rPr>
                <w:rFonts w:ascii="Times New Roman" w:hAnsi="Times New Roman" w:eastAsia="仿宋_GB2312"/>
                <w:kern w:val="0"/>
                <w:sz w:val="16"/>
                <w:szCs w:val="16"/>
              </w:rPr>
              <w:t>1.属于国家秘密</w:t>
            </w:r>
          </w:p>
        </w:tc>
        <w:tc>
          <w:tcPr>
            <w:tcW w:w="615"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585"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555"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840"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765"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690"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615"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855" w:type="dxa"/>
            <w:vMerge w:val="continue"/>
            <w:tcMar>
              <w:left w:w="108" w:type="dxa"/>
              <w:right w:w="108" w:type="dxa"/>
            </w:tcMar>
            <w:vAlign w:val="center"/>
          </w:tcPr>
          <w:p>
            <w:pPr>
              <w:rPr>
                <w:rFonts w:ascii="Times New Roman" w:hAnsi="Times New Roman" w:eastAsia="黑体"/>
                <w:szCs w:val="21"/>
              </w:rPr>
            </w:pPr>
            <w:r>
              <w:rPr>
                <w:rFonts w:ascii="Times New Roman" w:hAnsi="Times New Roman" w:eastAsia="黑体"/>
                <w:szCs w:val="21"/>
              </w:rPr>
              <w:t>S</w:t>
            </w:r>
          </w:p>
        </w:tc>
        <w:tc>
          <w:tcPr>
            <w:tcW w:w="885" w:type="dxa"/>
            <w:vMerge w:val="continue"/>
            <w:tcMar>
              <w:left w:w="108" w:type="dxa"/>
              <w:right w:w="108" w:type="dxa"/>
            </w:tcMar>
            <w:vAlign w:val="center"/>
          </w:tcPr>
          <w:p>
            <w:pPr>
              <w:spacing w:line="200" w:lineRule="exact"/>
              <w:rPr>
                <w:rFonts w:ascii="Times New Roman" w:hAnsi="Times New Roman" w:eastAsia="黑体"/>
                <w:sz w:val="16"/>
                <w:szCs w:val="16"/>
              </w:rPr>
            </w:pPr>
          </w:p>
        </w:tc>
        <w:tc>
          <w:tcPr>
            <w:tcW w:w="2370" w:type="dxa"/>
            <w:tcMar>
              <w:left w:w="108" w:type="dxa"/>
              <w:right w:w="108" w:type="dxa"/>
            </w:tcMar>
            <w:vAlign w:val="center"/>
          </w:tcPr>
          <w:p>
            <w:pPr>
              <w:widowControl/>
              <w:spacing w:line="200" w:lineRule="exact"/>
              <w:rPr>
                <w:rFonts w:ascii="Times New Roman" w:hAnsi="Times New Roman" w:eastAsia="仿宋_GB2312"/>
                <w:kern w:val="0"/>
                <w:sz w:val="16"/>
                <w:szCs w:val="16"/>
              </w:rPr>
            </w:pPr>
            <w:r>
              <w:rPr>
                <w:rFonts w:ascii="Times New Roman" w:hAnsi="Times New Roman" w:eastAsia="仿宋_GB2312"/>
                <w:kern w:val="0"/>
                <w:sz w:val="16"/>
                <w:szCs w:val="16"/>
              </w:rPr>
              <w:t>2.</w:t>
            </w:r>
            <w:bookmarkStart w:id="2" w:name="_Hlk66974104"/>
            <w:r>
              <w:rPr>
                <w:rFonts w:ascii="Times New Roman" w:hAnsi="Times New Roman" w:eastAsia="仿宋_GB2312"/>
                <w:kern w:val="0"/>
                <w:sz w:val="16"/>
                <w:szCs w:val="16"/>
              </w:rPr>
              <w:t>其他法律行政法规禁止公开</w:t>
            </w:r>
            <w:bookmarkEnd w:id="2"/>
          </w:p>
        </w:tc>
        <w:tc>
          <w:tcPr>
            <w:tcW w:w="61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8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5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84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9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1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855" w:type="dxa"/>
            <w:vMerge w:val="continue"/>
            <w:tcMar>
              <w:left w:w="108" w:type="dxa"/>
              <w:right w:w="108" w:type="dxa"/>
            </w:tcMar>
            <w:vAlign w:val="center"/>
          </w:tcPr>
          <w:p>
            <w:pPr>
              <w:rPr>
                <w:rFonts w:ascii="Times New Roman" w:hAnsi="Times New Roman" w:eastAsia="黑体"/>
                <w:szCs w:val="21"/>
              </w:rPr>
            </w:pPr>
          </w:p>
        </w:tc>
        <w:tc>
          <w:tcPr>
            <w:tcW w:w="885" w:type="dxa"/>
            <w:vMerge w:val="continue"/>
            <w:tcMar>
              <w:left w:w="108" w:type="dxa"/>
              <w:right w:w="108" w:type="dxa"/>
            </w:tcMar>
            <w:vAlign w:val="center"/>
          </w:tcPr>
          <w:p>
            <w:pPr>
              <w:spacing w:line="200" w:lineRule="exact"/>
              <w:rPr>
                <w:rFonts w:ascii="Times New Roman" w:hAnsi="Times New Roman" w:eastAsia="黑体"/>
                <w:sz w:val="16"/>
                <w:szCs w:val="16"/>
              </w:rPr>
            </w:pPr>
          </w:p>
        </w:tc>
        <w:tc>
          <w:tcPr>
            <w:tcW w:w="2370" w:type="dxa"/>
            <w:tcMar>
              <w:left w:w="108" w:type="dxa"/>
              <w:right w:w="108" w:type="dxa"/>
            </w:tcMar>
            <w:vAlign w:val="center"/>
          </w:tcPr>
          <w:p>
            <w:pPr>
              <w:widowControl/>
              <w:spacing w:line="200" w:lineRule="exact"/>
              <w:rPr>
                <w:rFonts w:ascii="Times New Roman" w:hAnsi="Times New Roman" w:eastAsia="仿宋_GB2312"/>
                <w:kern w:val="0"/>
                <w:sz w:val="16"/>
                <w:szCs w:val="16"/>
              </w:rPr>
            </w:pPr>
            <w:r>
              <w:rPr>
                <w:rFonts w:ascii="Times New Roman" w:hAnsi="Times New Roman" w:eastAsia="仿宋_GB2312"/>
                <w:kern w:val="0"/>
                <w:sz w:val="16"/>
                <w:szCs w:val="16"/>
              </w:rPr>
              <w:t>3.危及“三安全一稳定”</w:t>
            </w:r>
          </w:p>
        </w:tc>
        <w:tc>
          <w:tcPr>
            <w:tcW w:w="61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8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5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84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9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1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855" w:type="dxa"/>
            <w:vMerge w:val="continue"/>
            <w:tcMar>
              <w:left w:w="108" w:type="dxa"/>
              <w:right w:w="108" w:type="dxa"/>
            </w:tcMar>
            <w:vAlign w:val="center"/>
          </w:tcPr>
          <w:p>
            <w:pPr>
              <w:rPr>
                <w:rFonts w:ascii="Times New Roman" w:hAnsi="Times New Roman" w:eastAsia="黑体"/>
                <w:szCs w:val="21"/>
              </w:rPr>
            </w:pPr>
          </w:p>
        </w:tc>
        <w:tc>
          <w:tcPr>
            <w:tcW w:w="885" w:type="dxa"/>
            <w:vMerge w:val="continue"/>
            <w:tcMar>
              <w:left w:w="108" w:type="dxa"/>
              <w:right w:w="108" w:type="dxa"/>
            </w:tcMar>
            <w:vAlign w:val="center"/>
          </w:tcPr>
          <w:p>
            <w:pPr>
              <w:spacing w:line="200" w:lineRule="exact"/>
              <w:rPr>
                <w:rFonts w:ascii="Times New Roman" w:hAnsi="Times New Roman" w:eastAsia="黑体"/>
                <w:sz w:val="16"/>
                <w:szCs w:val="16"/>
              </w:rPr>
            </w:pPr>
          </w:p>
        </w:tc>
        <w:tc>
          <w:tcPr>
            <w:tcW w:w="2370" w:type="dxa"/>
            <w:tcMar>
              <w:left w:w="108" w:type="dxa"/>
              <w:right w:w="108" w:type="dxa"/>
            </w:tcMar>
            <w:vAlign w:val="center"/>
          </w:tcPr>
          <w:p>
            <w:pPr>
              <w:widowControl/>
              <w:spacing w:line="200" w:lineRule="exact"/>
              <w:rPr>
                <w:rFonts w:ascii="Times New Roman" w:hAnsi="Times New Roman" w:eastAsia="仿宋_GB2312"/>
                <w:kern w:val="0"/>
                <w:sz w:val="16"/>
                <w:szCs w:val="16"/>
              </w:rPr>
            </w:pPr>
            <w:r>
              <w:rPr>
                <w:rFonts w:ascii="Times New Roman" w:hAnsi="Times New Roman" w:eastAsia="仿宋_GB2312"/>
                <w:kern w:val="0"/>
                <w:sz w:val="16"/>
                <w:szCs w:val="16"/>
              </w:rPr>
              <w:t>4.</w:t>
            </w:r>
            <w:bookmarkStart w:id="3" w:name="_Hlk66974290"/>
            <w:r>
              <w:rPr>
                <w:rFonts w:ascii="Times New Roman" w:hAnsi="Times New Roman" w:eastAsia="仿宋_GB2312"/>
                <w:kern w:val="0"/>
                <w:sz w:val="16"/>
                <w:szCs w:val="16"/>
              </w:rPr>
              <w:t>保护第三方合法权益</w:t>
            </w:r>
            <w:bookmarkEnd w:id="3"/>
          </w:p>
        </w:tc>
        <w:tc>
          <w:tcPr>
            <w:tcW w:w="61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8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5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84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9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1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855" w:type="dxa"/>
            <w:vMerge w:val="continue"/>
            <w:tcMar>
              <w:left w:w="108" w:type="dxa"/>
              <w:right w:w="108" w:type="dxa"/>
            </w:tcMar>
            <w:vAlign w:val="center"/>
          </w:tcPr>
          <w:p>
            <w:pPr>
              <w:rPr>
                <w:rFonts w:ascii="Times New Roman" w:hAnsi="Times New Roman" w:eastAsia="黑体"/>
                <w:szCs w:val="21"/>
              </w:rPr>
            </w:pPr>
          </w:p>
        </w:tc>
        <w:tc>
          <w:tcPr>
            <w:tcW w:w="885" w:type="dxa"/>
            <w:vMerge w:val="continue"/>
            <w:tcMar>
              <w:left w:w="108" w:type="dxa"/>
              <w:right w:w="108" w:type="dxa"/>
            </w:tcMar>
            <w:vAlign w:val="center"/>
          </w:tcPr>
          <w:p>
            <w:pPr>
              <w:spacing w:line="200" w:lineRule="exact"/>
              <w:rPr>
                <w:rFonts w:ascii="Times New Roman" w:hAnsi="Times New Roman" w:eastAsia="黑体"/>
                <w:sz w:val="16"/>
                <w:szCs w:val="16"/>
              </w:rPr>
            </w:pPr>
          </w:p>
        </w:tc>
        <w:tc>
          <w:tcPr>
            <w:tcW w:w="2370" w:type="dxa"/>
            <w:tcMar>
              <w:left w:w="108" w:type="dxa"/>
              <w:right w:w="108" w:type="dxa"/>
            </w:tcMar>
            <w:vAlign w:val="center"/>
          </w:tcPr>
          <w:p>
            <w:pPr>
              <w:widowControl/>
              <w:spacing w:line="200" w:lineRule="exact"/>
              <w:rPr>
                <w:rFonts w:ascii="Times New Roman" w:hAnsi="Times New Roman" w:eastAsia="仿宋_GB2312"/>
                <w:kern w:val="0"/>
                <w:sz w:val="16"/>
                <w:szCs w:val="16"/>
              </w:rPr>
            </w:pPr>
            <w:r>
              <w:rPr>
                <w:rFonts w:ascii="Times New Roman" w:hAnsi="Times New Roman" w:eastAsia="仿宋_GB2312"/>
                <w:kern w:val="0"/>
                <w:sz w:val="16"/>
                <w:szCs w:val="16"/>
              </w:rPr>
              <w:t>5.属于三类内部事务信息</w:t>
            </w:r>
          </w:p>
        </w:tc>
        <w:tc>
          <w:tcPr>
            <w:tcW w:w="61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8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5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84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9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1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855" w:type="dxa"/>
            <w:vMerge w:val="continue"/>
            <w:tcMar>
              <w:left w:w="108" w:type="dxa"/>
              <w:right w:w="108" w:type="dxa"/>
            </w:tcMar>
            <w:vAlign w:val="center"/>
          </w:tcPr>
          <w:p>
            <w:pPr>
              <w:rPr>
                <w:rFonts w:ascii="Times New Roman" w:hAnsi="Times New Roman" w:eastAsia="黑体"/>
                <w:szCs w:val="21"/>
              </w:rPr>
            </w:pPr>
          </w:p>
        </w:tc>
        <w:tc>
          <w:tcPr>
            <w:tcW w:w="885" w:type="dxa"/>
            <w:vMerge w:val="continue"/>
            <w:tcMar>
              <w:left w:w="108" w:type="dxa"/>
              <w:right w:w="108" w:type="dxa"/>
            </w:tcMar>
            <w:vAlign w:val="center"/>
          </w:tcPr>
          <w:p>
            <w:pPr>
              <w:spacing w:line="200" w:lineRule="exact"/>
              <w:rPr>
                <w:rFonts w:ascii="Times New Roman" w:hAnsi="Times New Roman" w:eastAsia="黑体"/>
                <w:sz w:val="16"/>
                <w:szCs w:val="16"/>
              </w:rPr>
            </w:pPr>
          </w:p>
        </w:tc>
        <w:tc>
          <w:tcPr>
            <w:tcW w:w="2370" w:type="dxa"/>
            <w:tcMar>
              <w:left w:w="108" w:type="dxa"/>
              <w:right w:w="108" w:type="dxa"/>
            </w:tcMar>
            <w:vAlign w:val="center"/>
          </w:tcPr>
          <w:p>
            <w:pPr>
              <w:widowControl/>
              <w:spacing w:line="200" w:lineRule="exact"/>
              <w:rPr>
                <w:rFonts w:ascii="Times New Roman" w:hAnsi="Times New Roman" w:eastAsia="仿宋_GB2312"/>
                <w:kern w:val="0"/>
                <w:sz w:val="16"/>
                <w:szCs w:val="16"/>
              </w:rPr>
            </w:pPr>
            <w:r>
              <w:rPr>
                <w:rFonts w:ascii="Times New Roman" w:hAnsi="Times New Roman" w:eastAsia="仿宋_GB2312"/>
                <w:kern w:val="0"/>
                <w:sz w:val="16"/>
                <w:szCs w:val="16"/>
              </w:rPr>
              <w:t>6.</w:t>
            </w:r>
            <w:bookmarkStart w:id="4" w:name="_Hlk66974555"/>
            <w:r>
              <w:rPr>
                <w:rFonts w:ascii="Times New Roman" w:hAnsi="Times New Roman" w:eastAsia="仿宋_GB2312"/>
                <w:kern w:val="0"/>
                <w:sz w:val="16"/>
                <w:szCs w:val="16"/>
              </w:rPr>
              <w:t>属于四类过程性信息</w:t>
            </w:r>
            <w:bookmarkEnd w:id="4"/>
          </w:p>
        </w:tc>
        <w:tc>
          <w:tcPr>
            <w:tcW w:w="61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8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5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84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9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1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855" w:type="dxa"/>
            <w:vMerge w:val="continue"/>
            <w:tcMar>
              <w:left w:w="108" w:type="dxa"/>
              <w:right w:w="108" w:type="dxa"/>
            </w:tcMar>
            <w:vAlign w:val="center"/>
          </w:tcPr>
          <w:p>
            <w:pPr>
              <w:rPr>
                <w:rFonts w:ascii="Times New Roman" w:hAnsi="Times New Roman" w:eastAsia="黑体"/>
                <w:szCs w:val="21"/>
              </w:rPr>
            </w:pPr>
          </w:p>
        </w:tc>
        <w:tc>
          <w:tcPr>
            <w:tcW w:w="885" w:type="dxa"/>
            <w:vMerge w:val="continue"/>
            <w:tcMar>
              <w:left w:w="108" w:type="dxa"/>
              <w:right w:w="108" w:type="dxa"/>
            </w:tcMar>
            <w:vAlign w:val="center"/>
          </w:tcPr>
          <w:p>
            <w:pPr>
              <w:spacing w:line="200" w:lineRule="exact"/>
              <w:rPr>
                <w:rFonts w:ascii="Times New Roman" w:hAnsi="Times New Roman" w:eastAsia="黑体"/>
                <w:sz w:val="16"/>
                <w:szCs w:val="16"/>
              </w:rPr>
            </w:pPr>
          </w:p>
        </w:tc>
        <w:tc>
          <w:tcPr>
            <w:tcW w:w="2370" w:type="dxa"/>
            <w:tcMar>
              <w:left w:w="108" w:type="dxa"/>
              <w:right w:w="108" w:type="dxa"/>
            </w:tcMar>
            <w:vAlign w:val="center"/>
          </w:tcPr>
          <w:p>
            <w:pPr>
              <w:widowControl/>
              <w:spacing w:line="200" w:lineRule="exact"/>
              <w:rPr>
                <w:rFonts w:ascii="Times New Roman" w:hAnsi="Times New Roman" w:eastAsia="仿宋_GB2312"/>
                <w:kern w:val="0"/>
                <w:sz w:val="16"/>
                <w:szCs w:val="16"/>
              </w:rPr>
            </w:pPr>
            <w:r>
              <w:rPr>
                <w:rFonts w:ascii="Times New Roman" w:hAnsi="Times New Roman" w:eastAsia="仿宋_GB2312"/>
                <w:kern w:val="0"/>
                <w:sz w:val="16"/>
                <w:szCs w:val="16"/>
              </w:rPr>
              <w:t>7.属于行政执法案卷</w:t>
            </w:r>
          </w:p>
        </w:tc>
        <w:tc>
          <w:tcPr>
            <w:tcW w:w="61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8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5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84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9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1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855" w:type="dxa"/>
            <w:vMerge w:val="continue"/>
            <w:tcMar>
              <w:left w:w="108" w:type="dxa"/>
              <w:right w:w="108" w:type="dxa"/>
            </w:tcMar>
            <w:vAlign w:val="center"/>
          </w:tcPr>
          <w:p>
            <w:pPr>
              <w:rPr>
                <w:rFonts w:ascii="Times New Roman" w:hAnsi="Times New Roman" w:eastAsia="黑体"/>
                <w:szCs w:val="21"/>
              </w:rPr>
            </w:pPr>
          </w:p>
        </w:tc>
        <w:tc>
          <w:tcPr>
            <w:tcW w:w="885" w:type="dxa"/>
            <w:vMerge w:val="continue"/>
            <w:tcMar>
              <w:left w:w="108" w:type="dxa"/>
              <w:right w:w="108" w:type="dxa"/>
            </w:tcMar>
            <w:vAlign w:val="center"/>
          </w:tcPr>
          <w:p>
            <w:pPr>
              <w:spacing w:line="200" w:lineRule="exact"/>
              <w:rPr>
                <w:rFonts w:ascii="Times New Roman" w:hAnsi="Times New Roman" w:eastAsia="黑体"/>
                <w:sz w:val="16"/>
                <w:szCs w:val="16"/>
              </w:rPr>
            </w:pPr>
          </w:p>
        </w:tc>
        <w:tc>
          <w:tcPr>
            <w:tcW w:w="2370" w:type="dxa"/>
            <w:tcMar>
              <w:left w:w="108" w:type="dxa"/>
              <w:right w:w="108" w:type="dxa"/>
            </w:tcMar>
            <w:vAlign w:val="center"/>
          </w:tcPr>
          <w:p>
            <w:pPr>
              <w:widowControl/>
              <w:spacing w:line="200" w:lineRule="exact"/>
              <w:rPr>
                <w:rFonts w:ascii="Times New Roman" w:hAnsi="Times New Roman" w:eastAsia="仿宋_GB2312"/>
                <w:kern w:val="0"/>
                <w:sz w:val="16"/>
                <w:szCs w:val="16"/>
              </w:rPr>
            </w:pPr>
            <w:r>
              <w:rPr>
                <w:rFonts w:ascii="Times New Roman" w:hAnsi="Times New Roman" w:eastAsia="仿宋_GB2312"/>
                <w:kern w:val="0"/>
                <w:sz w:val="16"/>
                <w:szCs w:val="16"/>
              </w:rPr>
              <w:t>8.</w:t>
            </w:r>
            <w:bookmarkStart w:id="5" w:name="_Hlk66975211"/>
            <w:r>
              <w:rPr>
                <w:rFonts w:ascii="Times New Roman" w:hAnsi="Times New Roman" w:eastAsia="仿宋_GB2312"/>
                <w:kern w:val="0"/>
                <w:sz w:val="16"/>
                <w:szCs w:val="16"/>
              </w:rPr>
              <w:t>属于行政查询事项</w:t>
            </w:r>
            <w:bookmarkEnd w:id="5"/>
          </w:p>
        </w:tc>
        <w:tc>
          <w:tcPr>
            <w:tcW w:w="61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8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5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84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9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1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855" w:type="dxa"/>
            <w:vMerge w:val="continue"/>
            <w:tcMar>
              <w:left w:w="108" w:type="dxa"/>
              <w:right w:w="108" w:type="dxa"/>
            </w:tcMar>
            <w:vAlign w:val="center"/>
          </w:tcPr>
          <w:p>
            <w:pPr>
              <w:rPr>
                <w:rFonts w:ascii="Times New Roman" w:hAnsi="Times New Roman" w:eastAsia="黑体"/>
                <w:szCs w:val="21"/>
              </w:rPr>
            </w:pPr>
          </w:p>
        </w:tc>
        <w:tc>
          <w:tcPr>
            <w:tcW w:w="885" w:type="dxa"/>
            <w:vMerge w:val="restart"/>
            <w:tcMar>
              <w:left w:w="108" w:type="dxa"/>
              <w:right w:w="108" w:type="dxa"/>
            </w:tcMar>
            <w:vAlign w:val="center"/>
          </w:tcPr>
          <w:p>
            <w:pPr>
              <w:widowControl/>
              <w:spacing w:line="200" w:lineRule="exact"/>
              <w:ind w:left="-107" w:leftChars="-51"/>
              <w:rPr>
                <w:rFonts w:ascii="Times New Roman" w:hAnsi="Times New Roman" w:eastAsia="黑体"/>
                <w:sz w:val="16"/>
                <w:szCs w:val="16"/>
              </w:rPr>
            </w:pPr>
            <w:r>
              <w:rPr>
                <w:rFonts w:ascii="Times New Roman" w:hAnsi="Times New Roman" w:eastAsia="黑体"/>
                <w:kern w:val="0"/>
                <w:sz w:val="16"/>
                <w:szCs w:val="16"/>
              </w:rPr>
              <w:t>（四）无法提供</w:t>
            </w:r>
          </w:p>
        </w:tc>
        <w:tc>
          <w:tcPr>
            <w:tcW w:w="2370" w:type="dxa"/>
            <w:tcMar>
              <w:left w:w="108" w:type="dxa"/>
              <w:right w:w="108" w:type="dxa"/>
            </w:tcMar>
            <w:vAlign w:val="center"/>
          </w:tcPr>
          <w:p>
            <w:pPr>
              <w:widowControl/>
              <w:spacing w:line="200" w:lineRule="exact"/>
              <w:rPr>
                <w:rFonts w:ascii="Times New Roman" w:hAnsi="Times New Roman" w:eastAsia="仿宋_GB2312"/>
                <w:kern w:val="0"/>
                <w:sz w:val="16"/>
                <w:szCs w:val="16"/>
              </w:rPr>
            </w:pPr>
            <w:r>
              <w:rPr>
                <w:rFonts w:ascii="Times New Roman" w:hAnsi="Times New Roman" w:eastAsia="仿宋_GB2312"/>
                <w:kern w:val="0"/>
                <w:sz w:val="16"/>
                <w:szCs w:val="16"/>
              </w:rPr>
              <w:t>1.本机关不掌握相关政府信息</w:t>
            </w:r>
          </w:p>
        </w:tc>
        <w:tc>
          <w:tcPr>
            <w:tcW w:w="61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8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5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84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9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1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855" w:type="dxa"/>
            <w:vMerge w:val="continue"/>
            <w:tcMar>
              <w:left w:w="108" w:type="dxa"/>
              <w:right w:w="108" w:type="dxa"/>
            </w:tcMar>
            <w:vAlign w:val="center"/>
          </w:tcPr>
          <w:p>
            <w:pPr>
              <w:rPr>
                <w:rFonts w:ascii="Times New Roman" w:hAnsi="Times New Roman" w:eastAsia="黑体"/>
                <w:szCs w:val="21"/>
              </w:rPr>
            </w:pPr>
          </w:p>
        </w:tc>
        <w:tc>
          <w:tcPr>
            <w:tcW w:w="885" w:type="dxa"/>
            <w:vMerge w:val="continue"/>
            <w:tcMar>
              <w:left w:w="108" w:type="dxa"/>
              <w:right w:w="108" w:type="dxa"/>
            </w:tcMar>
            <w:vAlign w:val="center"/>
          </w:tcPr>
          <w:p>
            <w:pPr>
              <w:spacing w:line="200" w:lineRule="exact"/>
              <w:ind w:left="-107" w:leftChars="-51"/>
              <w:rPr>
                <w:rFonts w:ascii="Times New Roman" w:hAnsi="Times New Roman" w:eastAsia="黑体"/>
                <w:sz w:val="16"/>
                <w:szCs w:val="16"/>
              </w:rPr>
            </w:pPr>
          </w:p>
        </w:tc>
        <w:tc>
          <w:tcPr>
            <w:tcW w:w="2370" w:type="dxa"/>
            <w:tcMar>
              <w:left w:w="108" w:type="dxa"/>
              <w:right w:w="108" w:type="dxa"/>
            </w:tcMar>
            <w:vAlign w:val="center"/>
          </w:tcPr>
          <w:p>
            <w:pPr>
              <w:widowControl/>
              <w:spacing w:line="200" w:lineRule="exact"/>
              <w:rPr>
                <w:rFonts w:ascii="Times New Roman" w:hAnsi="Times New Roman" w:eastAsia="仿宋_GB2312"/>
                <w:kern w:val="0"/>
                <w:sz w:val="16"/>
                <w:szCs w:val="16"/>
              </w:rPr>
            </w:pPr>
            <w:r>
              <w:rPr>
                <w:rFonts w:ascii="Times New Roman" w:hAnsi="Times New Roman" w:eastAsia="仿宋_GB2312"/>
                <w:kern w:val="0"/>
                <w:sz w:val="16"/>
                <w:szCs w:val="16"/>
              </w:rPr>
              <w:t>2.</w:t>
            </w:r>
            <w:bookmarkStart w:id="6" w:name="_Hlk66975392"/>
            <w:r>
              <w:rPr>
                <w:rFonts w:ascii="Times New Roman" w:hAnsi="Times New Roman" w:eastAsia="仿宋_GB2312"/>
                <w:kern w:val="0"/>
                <w:sz w:val="16"/>
                <w:szCs w:val="16"/>
              </w:rPr>
              <w:t>没有现成信息需要另行制作</w:t>
            </w:r>
            <w:bookmarkEnd w:id="6"/>
          </w:p>
        </w:tc>
        <w:tc>
          <w:tcPr>
            <w:tcW w:w="61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8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5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84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9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1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855" w:type="dxa"/>
            <w:vMerge w:val="continue"/>
            <w:tcMar>
              <w:left w:w="108" w:type="dxa"/>
              <w:right w:w="108" w:type="dxa"/>
            </w:tcMar>
            <w:vAlign w:val="center"/>
          </w:tcPr>
          <w:p>
            <w:pPr>
              <w:rPr>
                <w:rFonts w:ascii="Times New Roman" w:hAnsi="Times New Roman" w:eastAsia="黑体"/>
                <w:szCs w:val="21"/>
              </w:rPr>
            </w:pPr>
          </w:p>
        </w:tc>
        <w:tc>
          <w:tcPr>
            <w:tcW w:w="885" w:type="dxa"/>
            <w:vMerge w:val="continue"/>
            <w:tcMar>
              <w:left w:w="108" w:type="dxa"/>
              <w:right w:w="108" w:type="dxa"/>
            </w:tcMar>
            <w:vAlign w:val="center"/>
          </w:tcPr>
          <w:p>
            <w:pPr>
              <w:spacing w:line="200" w:lineRule="exact"/>
              <w:ind w:left="-107" w:leftChars="-51"/>
              <w:rPr>
                <w:rFonts w:ascii="Times New Roman" w:hAnsi="Times New Roman" w:eastAsia="黑体"/>
                <w:sz w:val="16"/>
                <w:szCs w:val="16"/>
              </w:rPr>
            </w:pPr>
          </w:p>
        </w:tc>
        <w:tc>
          <w:tcPr>
            <w:tcW w:w="2370" w:type="dxa"/>
            <w:tcMar>
              <w:left w:w="108" w:type="dxa"/>
              <w:right w:w="108" w:type="dxa"/>
            </w:tcMar>
            <w:vAlign w:val="center"/>
          </w:tcPr>
          <w:p>
            <w:pPr>
              <w:widowControl/>
              <w:spacing w:line="200" w:lineRule="exact"/>
              <w:rPr>
                <w:rFonts w:ascii="Times New Roman" w:hAnsi="Times New Roman" w:eastAsia="仿宋_GB2312"/>
                <w:kern w:val="0"/>
                <w:sz w:val="16"/>
                <w:szCs w:val="16"/>
              </w:rPr>
            </w:pPr>
            <w:r>
              <w:rPr>
                <w:rFonts w:ascii="Times New Roman" w:hAnsi="Times New Roman" w:eastAsia="仿宋_GB2312"/>
                <w:kern w:val="0"/>
                <w:sz w:val="16"/>
                <w:szCs w:val="16"/>
              </w:rPr>
              <w:t>3.</w:t>
            </w:r>
            <w:bookmarkStart w:id="7" w:name="_Hlk66975466"/>
            <w:r>
              <w:rPr>
                <w:rFonts w:ascii="Times New Roman" w:hAnsi="Times New Roman" w:eastAsia="仿宋_GB2312"/>
                <w:kern w:val="0"/>
                <w:sz w:val="16"/>
                <w:szCs w:val="16"/>
              </w:rPr>
              <w:t>补正后申请内容仍不明确</w:t>
            </w:r>
            <w:bookmarkEnd w:id="7"/>
          </w:p>
        </w:tc>
        <w:tc>
          <w:tcPr>
            <w:tcW w:w="61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8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5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84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9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1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855" w:type="dxa"/>
            <w:vMerge w:val="continue"/>
            <w:tcMar>
              <w:left w:w="108" w:type="dxa"/>
              <w:right w:w="108" w:type="dxa"/>
            </w:tcMar>
            <w:vAlign w:val="center"/>
          </w:tcPr>
          <w:p>
            <w:pPr>
              <w:rPr>
                <w:rFonts w:ascii="Times New Roman" w:hAnsi="Times New Roman" w:eastAsia="黑体"/>
                <w:szCs w:val="21"/>
              </w:rPr>
            </w:pPr>
          </w:p>
        </w:tc>
        <w:tc>
          <w:tcPr>
            <w:tcW w:w="885" w:type="dxa"/>
            <w:vMerge w:val="restart"/>
            <w:tcMar>
              <w:left w:w="108" w:type="dxa"/>
              <w:right w:w="108" w:type="dxa"/>
            </w:tcMar>
            <w:vAlign w:val="center"/>
          </w:tcPr>
          <w:p>
            <w:pPr>
              <w:widowControl/>
              <w:spacing w:line="200" w:lineRule="exact"/>
              <w:ind w:left="-107" w:leftChars="-51"/>
              <w:rPr>
                <w:rFonts w:ascii="Times New Roman" w:hAnsi="Times New Roman" w:eastAsia="黑体"/>
                <w:sz w:val="16"/>
                <w:szCs w:val="16"/>
              </w:rPr>
            </w:pPr>
            <w:r>
              <w:rPr>
                <w:rFonts w:ascii="Times New Roman" w:hAnsi="Times New Roman" w:eastAsia="黑体"/>
                <w:kern w:val="0"/>
                <w:sz w:val="16"/>
                <w:szCs w:val="16"/>
              </w:rPr>
              <w:t>（五）不予处理</w:t>
            </w:r>
          </w:p>
        </w:tc>
        <w:tc>
          <w:tcPr>
            <w:tcW w:w="2370" w:type="dxa"/>
            <w:tcMar>
              <w:left w:w="108" w:type="dxa"/>
              <w:right w:w="108" w:type="dxa"/>
            </w:tcMar>
            <w:vAlign w:val="center"/>
          </w:tcPr>
          <w:p>
            <w:pPr>
              <w:widowControl/>
              <w:spacing w:line="200" w:lineRule="exact"/>
              <w:rPr>
                <w:rFonts w:ascii="Times New Roman" w:hAnsi="Times New Roman" w:eastAsia="仿宋_GB2312"/>
                <w:kern w:val="0"/>
                <w:sz w:val="16"/>
                <w:szCs w:val="16"/>
              </w:rPr>
            </w:pPr>
            <w:r>
              <w:rPr>
                <w:rFonts w:ascii="Times New Roman" w:hAnsi="Times New Roman" w:eastAsia="仿宋_GB2312"/>
                <w:kern w:val="0"/>
                <w:sz w:val="16"/>
                <w:szCs w:val="16"/>
              </w:rPr>
              <w:t>1.</w:t>
            </w:r>
            <w:bookmarkStart w:id="8" w:name="_Hlk66975537"/>
            <w:r>
              <w:rPr>
                <w:rFonts w:ascii="Times New Roman" w:hAnsi="Times New Roman" w:eastAsia="仿宋_GB2312"/>
                <w:kern w:val="0"/>
                <w:sz w:val="16"/>
                <w:szCs w:val="16"/>
              </w:rPr>
              <w:t>信访举报投诉类申请</w:t>
            </w:r>
            <w:bookmarkEnd w:id="8"/>
          </w:p>
        </w:tc>
        <w:tc>
          <w:tcPr>
            <w:tcW w:w="61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8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5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84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9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1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855" w:type="dxa"/>
            <w:vMerge w:val="continue"/>
            <w:tcMar>
              <w:left w:w="108" w:type="dxa"/>
              <w:right w:w="108" w:type="dxa"/>
            </w:tcMar>
            <w:vAlign w:val="center"/>
          </w:tcPr>
          <w:p>
            <w:pPr>
              <w:rPr>
                <w:rFonts w:ascii="Times New Roman" w:hAnsi="Times New Roman" w:eastAsia="黑体"/>
                <w:szCs w:val="21"/>
              </w:rPr>
            </w:pPr>
          </w:p>
        </w:tc>
        <w:tc>
          <w:tcPr>
            <w:tcW w:w="885" w:type="dxa"/>
            <w:vMerge w:val="continue"/>
            <w:tcMar>
              <w:left w:w="108" w:type="dxa"/>
              <w:right w:w="108" w:type="dxa"/>
            </w:tcMar>
            <w:vAlign w:val="center"/>
          </w:tcPr>
          <w:p>
            <w:pPr>
              <w:spacing w:line="200" w:lineRule="exact"/>
              <w:rPr>
                <w:rFonts w:ascii="Times New Roman" w:hAnsi="Times New Roman" w:eastAsia="黑体"/>
                <w:sz w:val="16"/>
                <w:szCs w:val="16"/>
              </w:rPr>
            </w:pPr>
          </w:p>
        </w:tc>
        <w:tc>
          <w:tcPr>
            <w:tcW w:w="2370" w:type="dxa"/>
            <w:tcMar>
              <w:left w:w="108" w:type="dxa"/>
              <w:right w:w="108" w:type="dxa"/>
            </w:tcMar>
            <w:vAlign w:val="center"/>
          </w:tcPr>
          <w:p>
            <w:pPr>
              <w:widowControl/>
              <w:spacing w:line="200" w:lineRule="exact"/>
              <w:rPr>
                <w:rFonts w:ascii="Times New Roman" w:hAnsi="Times New Roman" w:eastAsia="仿宋_GB2312"/>
                <w:kern w:val="0"/>
                <w:sz w:val="16"/>
                <w:szCs w:val="16"/>
              </w:rPr>
            </w:pPr>
            <w:r>
              <w:rPr>
                <w:rFonts w:ascii="Times New Roman" w:hAnsi="Times New Roman" w:eastAsia="仿宋_GB2312"/>
                <w:kern w:val="0"/>
                <w:sz w:val="16"/>
                <w:szCs w:val="16"/>
              </w:rPr>
              <w:t>2.重复申请</w:t>
            </w:r>
          </w:p>
        </w:tc>
        <w:tc>
          <w:tcPr>
            <w:tcW w:w="61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8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5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84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9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1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855" w:type="dxa"/>
            <w:vMerge w:val="continue"/>
            <w:tcMar>
              <w:left w:w="108" w:type="dxa"/>
              <w:right w:w="108" w:type="dxa"/>
            </w:tcMar>
            <w:vAlign w:val="center"/>
          </w:tcPr>
          <w:p>
            <w:pPr>
              <w:rPr>
                <w:rFonts w:ascii="Times New Roman" w:hAnsi="Times New Roman" w:eastAsia="黑体"/>
                <w:szCs w:val="21"/>
              </w:rPr>
            </w:pPr>
          </w:p>
        </w:tc>
        <w:tc>
          <w:tcPr>
            <w:tcW w:w="885" w:type="dxa"/>
            <w:vMerge w:val="continue"/>
            <w:tcMar>
              <w:left w:w="108" w:type="dxa"/>
              <w:right w:w="108" w:type="dxa"/>
            </w:tcMar>
            <w:vAlign w:val="center"/>
          </w:tcPr>
          <w:p>
            <w:pPr>
              <w:spacing w:line="200" w:lineRule="exact"/>
              <w:rPr>
                <w:rFonts w:ascii="Times New Roman" w:hAnsi="Times New Roman" w:eastAsia="黑体"/>
                <w:sz w:val="16"/>
                <w:szCs w:val="16"/>
              </w:rPr>
            </w:pPr>
          </w:p>
        </w:tc>
        <w:tc>
          <w:tcPr>
            <w:tcW w:w="2370" w:type="dxa"/>
            <w:tcMar>
              <w:left w:w="108" w:type="dxa"/>
              <w:right w:w="108" w:type="dxa"/>
            </w:tcMar>
            <w:vAlign w:val="center"/>
          </w:tcPr>
          <w:p>
            <w:pPr>
              <w:widowControl/>
              <w:spacing w:line="200" w:lineRule="exact"/>
              <w:rPr>
                <w:rFonts w:ascii="Times New Roman" w:hAnsi="Times New Roman" w:eastAsia="仿宋_GB2312"/>
                <w:sz w:val="16"/>
                <w:szCs w:val="16"/>
              </w:rPr>
            </w:pPr>
            <w:r>
              <w:rPr>
                <w:rFonts w:ascii="Times New Roman" w:hAnsi="Times New Roman" w:eastAsia="仿宋_GB2312"/>
                <w:kern w:val="0"/>
                <w:sz w:val="16"/>
                <w:szCs w:val="16"/>
              </w:rPr>
              <w:t>3.要求提供公开出版物</w:t>
            </w:r>
          </w:p>
        </w:tc>
        <w:tc>
          <w:tcPr>
            <w:tcW w:w="61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8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5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84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9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1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7" w:hRule="exact"/>
          <w:jc w:val="center"/>
        </w:trPr>
        <w:tc>
          <w:tcPr>
            <w:tcW w:w="855" w:type="dxa"/>
            <w:vMerge w:val="continue"/>
            <w:tcMar>
              <w:left w:w="108" w:type="dxa"/>
              <w:right w:w="108" w:type="dxa"/>
            </w:tcMar>
            <w:vAlign w:val="center"/>
          </w:tcPr>
          <w:p>
            <w:pPr>
              <w:rPr>
                <w:rFonts w:ascii="Times New Roman" w:hAnsi="Times New Roman" w:eastAsia="黑体"/>
                <w:szCs w:val="21"/>
              </w:rPr>
            </w:pPr>
          </w:p>
        </w:tc>
        <w:tc>
          <w:tcPr>
            <w:tcW w:w="885" w:type="dxa"/>
            <w:vMerge w:val="continue"/>
            <w:tcMar>
              <w:left w:w="108" w:type="dxa"/>
              <w:right w:w="108" w:type="dxa"/>
            </w:tcMar>
            <w:vAlign w:val="center"/>
          </w:tcPr>
          <w:p>
            <w:pPr>
              <w:spacing w:line="200" w:lineRule="exact"/>
              <w:rPr>
                <w:rFonts w:ascii="Times New Roman" w:hAnsi="Times New Roman" w:eastAsia="黑体"/>
                <w:sz w:val="16"/>
                <w:szCs w:val="16"/>
              </w:rPr>
            </w:pPr>
          </w:p>
        </w:tc>
        <w:tc>
          <w:tcPr>
            <w:tcW w:w="2370" w:type="dxa"/>
            <w:tcMar>
              <w:left w:w="108" w:type="dxa"/>
              <w:right w:w="108" w:type="dxa"/>
            </w:tcMar>
            <w:vAlign w:val="center"/>
          </w:tcPr>
          <w:p>
            <w:pPr>
              <w:widowControl/>
              <w:spacing w:line="200" w:lineRule="exact"/>
              <w:rPr>
                <w:rFonts w:ascii="Times New Roman" w:hAnsi="Times New Roman" w:eastAsia="仿宋_GB2312"/>
                <w:sz w:val="16"/>
                <w:szCs w:val="16"/>
              </w:rPr>
            </w:pPr>
            <w:r>
              <w:rPr>
                <w:rFonts w:ascii="Times New Roman" w:hAnsi="Times New Roman" w:eastAsia="仿宋_GB2312"/>
                <w:kern w:val="0"/>
                <w:sz w:val="16"/>
                <w:szCs w:val="16"/>
              </w:rPr>
              <w:t>4.无正当理由大量反复申请</w:t>
            </w:r>
          </w:p>
        </w:tc>
        <w:tc>
          <w:tcPr>
            <w:tcW w:w="61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8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5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84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9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1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855" w:type="dxa"/>
            <w:vMerge w:val="continue"/>
            <w:tcMar>
              <w:left w:w="108" w:type="dxa"/>
              <w:right w:w="108" w:type="dxa"/>
            </w:tcMar>
            <w:vAlign w:val="center"/>
          </w:tcPr>
          <w:p>
            <w:pPr>
              <w:rPr>
                <w:rFonts w:ascii="Times New Roman" w:hAnsi="Times New Roman" w:eastAsia="黑体"/>
                <w:szCs w:val="21"/>
              </w:rPr>
            </w:pPr>
          </w:p>
        </w:tc>
        <w:tc>
          <w:tcPr>
            <w:tcW w:w="885" w:type="dxa"/>
            <w:vMerge w:val="continue"/>
            <w:tcMar>
              <w:left w:w="108" w:type="dxa"/>
              <w:right w:w="108" w:type="dxa"/>
            </w:tcMar>
            <w:vAlign w:val="center"/>
          </w:tcPr>
          <w:p>
            <w:pPr>
              <w:spacing w:line="200" w:lineRule="exact"/>
              <w:rPr>
                <w:rFonts w:ascii="Times New Roman" w:hAnsi="Times New Roman" w:eastAsia="黑体"/>
                <w:sz w:val="16"/>
                <w:szCs w:val="16"/>
              </w:rPr>
            </w:pPr>
          </w:p>
        </w:tc>
        <w:tc>
          <w:tcPr>
            <w:tcW w:w="2370" w:type="dxa"/>
            <w:tcMar>
              <w:left w:w="108" w:type="dxa"/>
              <w:right w:w="108" w:type="dxa"/>
            </w:tcMar>
            <w:vAlign w:val="center"/>
          </w:tcPr>
          <w:p>
            <w:pPr>
              <w:widowControl/>
              <w:spacing w:line="300" w:lineRule="exact"/>
              <w:rPr>
                <w:rFonts w:ascii="Times New Roman" w:hAnsi="Times New Roman" w:eastAsia="仿宋_GB2312"/>
                <w:kern w:val="0"/>
                <w:sz w:val="16"/>
                <w:szCs w:val="16"/>
              </w:rPr>
            </w:pPr>
            <w:r>
              <w:rPr>
                <w:rFonts w:ascii="Times New Roman" w:hAnsi="Times New Roman" w:eastAsia="仿宋_GB2312"/>
                <w:kern w:val="0"/>
                <w:sz w:val="16"/>
                <w:szCs w:val="16"/>
              </w:rPr>
              <w:t>5.要求行政机关确认或重新</w:t>
            </w:r>
          </w:p>
          <w:p>
            <w:pPr>
              <w:widowControl/>
              <w:spacing w:line="300" w:lineRule="exact"/>
              <w:ind w:firstLine="160" w:firstLineChars="100"/>
              <w:rPr>
                <w:rFonts w:ascii="Times New Roman" w:hAnsi="Times New Roman" w:eastAsia="仿宋_GB2312"/>
                <w:sz w:val="16"/>
                <w:szCs w:val="16"/>
              </w:rPr>
            </w:pPr>
            <w:r>
              <w:rPr>
                <w:rFonts w:ascii="Times New Roman" w:hAnsi="Times New Roman" w:eastAsia="仿宋_GB2312"/>
                <w:kern w:val="0"/>
                <w:sz w:val="16"/>
                <w:szCs w:val="16"/>
              </w:rPr>
              <w:t>出具已获取信息</w:t>
            </w:r>
          </w:p>
        </w:tc>
        <w:tc>
          <w:tcPr>
            <w:tcW w:w="61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8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5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84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9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1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855" w:type="dxa"/>
            <w:vMerge w:val="continue"/>
            <w:tcMar>
              <w:left w:w="108" w:type="dxa"/>
              <w:right w:w="108" w:type="dxa"/>
            </w:tcMar>
            <w:vAlign w:val="center"/>
          </w:tcPr>
          <w:p>
            <w:pPr>
              <w:rPr>
                <w:rFonts w:ascii="Times New Roman" w:hAnsi="Times New Roman" w:eastAsia="黑体"/>
                <w:szCs w:val="21"/>
              </w:rPr>
            </w:pPr>
          </w:p>
        </w:tc>
        <w:tc>
          <w:tcPr>
            <w:tcW w:w="885" w:type="dxa"/>
            <w:vMerge w:val="restart"/>
            <w:tcMar>
              <w:left w:w="108" w:type="dxa"/>
              <w:right w:w="108" w:type="dxa"/>
            </w:tcMar>
            <w:vAlign w:val="center"/>
          </w:tcPr>
          <w:p>
            <w:pPr>
              <w:widowControl/>
              <w:spacing w:line="300" w:lineRule="exact"/>
              <w:rPr>
                <w:rFonts w:ascii="Times New Roman" w:hAnsi="Times New Roman" w:eastAsia="黑体"/>
                <w:kern w:val="0"/>
                <w:sz w:val="16"/>
                <w:szCs w:val="16"/>
              </w:rPr>
            </w:pPr>
            <w:r>
              <w:rPr>
                <w:rFonts w:ascii="Times New Roman" w:hAnsi="Times New Roman" w:eastAsia="黑体"/>
                <w:kern w:val="0"/>
                <w:sz w:val="16"/>
                <w:szCs w:val="16"/>
              </w:rPr>
              <w:t>（六）其他处理</w:t>
            </w:r>
          </w:p>
        </w:tc>
        <w:tc>
          <w:tcPr>
            <w:tcW w:w="2370" w:type="dxa"/>
            <w:vAlign w:val="center"/>
          </w:tcPr>
          <w:p>
            <w:pPr>
              <w:widowControl/>
              <w:spacing w:line="300" w:lineRule="exact"/>
              <w:rPr>
                <w:rFonts w:ascii="Times New Roman" w:hAnsi="Times New Roman" w:eastAsia="仿宋_GB2312"/>
                <w:sz w:val="16"/>
                <w:szCs w:val="18"/>
              </w:rPr>
            </w:pPr>
            <w:r>
              <w:rPr>
                <w:rFonts w:ascii="Times New Roman" w:hAnsi="Times New Roman" w:eastAsia="仿宋_GB2312"/>
                <w:sz w:val="16"/>
                <w:szCs w:val="18"/>
              </w:rPr>
              <w:t>1.申请人无正当理由逾期……</w:t>
            </w:r>
          </w:p>
        </w:tc>
        <w:tc>
          <w:tcPr>
            <w:tcW w:w="61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8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55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84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9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1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55" w:type="dxa"/>
            <w:vMerge w:val="continue"/>
            <w:tcMar>
              <w:left w:w="108" w:type="dxa"/>
              <w:right w:w="108" w:type="dxa"/>
            </w:tcMar>
            <w:vAlign w:val="center"/>
          </w:tcPr>
          <w:p>
            <w:pPr>
              <w:rPr>
                <w:rFonts w:ascii="Times New Roman" w:hAnsi="Times New Roman" w:eastAsia="黑体"/>
                <w:szCs w:val="21"/>
              </w:rPr>
            </w:pPr>
          </w:p>
        </w:tc>
        <w:tc>
          <w:tcPr>
            <w:tcW w:w="885" w:type="dxa"/>
            <w:vMerge w:val="continue"/>
            <w:tcMar>
              <w:left w:w="108" w:type="dxa"/>
              <w:right w:w="108" w:type="dxa"/>
            </w:tcMar>
            <w:vAlign w:val="center"/>
          </w:tcPr>
          <w:p>
            <w:pPr>
              <w:widowControl/>
              <w:spacing w:line="300" w:lineRule="exact"/>
              <w:rPr>
                <w:rFonts w:ascii="Times New Roman" w:hAnsi="Times New Roman" w:eastAsia="黑体"/>
                <w:kern w:val="0"/>
                <w:sz w:val="16"/>
                <w:szCs w:val="16"/>
              </w:rPr>
            </w:pPr>
          </w:p>
        </w:tc>
        <w:tc>
          <w:tcPr>
            <w:tcW w:w="2370" w:type="dxa"/>
            <w:vAlign w:val="center"/>
          </w:tcPr>
          <w:p>
            <w:pPr>
              <w:widowControl/>
              <w:spacing w:line="300" w:lineRule="exact"/>
              <w:rPr>
                <w:rFonts w:ascii="Times New Roman" w:hAnsi="Times New Roman" w:eastAsia="仿宋_GB2312"/>
                <w:kern w:val="0"/>
                <w:sz w:val="16"/>
                <w:szCs w:val="16"/>
              </w:rPr>
            </w:pPr>
            <w:r>
              <w:rPr>
                <w:rFonts w:ascii="Times New Roman" w:hAnsi="Times New Roman" w:eastAsia="仿宋_GB2312"/>
                <w:sz w:val="16"/>
                <w:szCs w:val="18"/>
              </w:rPr>
              <w:t>2.申请人逾期未按收费通知……</w:t>
            </w:r>
          </w:p>
        </w:tc>
        <w:tc>
          <w:tcPr>
            <w:tcW w:w="615" w:type="dxa"/>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c>
          <w:tcPr>
            <w:tcW w:w="585" w:type="dxa"/>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c>
          <w:tcPr>
            <w:tcW w:w="55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84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9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15" w:type="dxa"/>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855" w:type="dxa"/>
            <w:vMerge w:val="continue"/>
            <w:tcMar>
              <w:left w:w="108" w:type="dxa"/>
              <w:right w:w="108" w:type="dxa"/>
            </w:tcMar>
            <w:vAlign w:val="center"/>
          </w:tcPr>
          <w:p>
            <w:pPr>
              <w:rPr>
                <w:rFonts w:ascii="Times New Roman" w:hAnsi="Times New Roman" w:eastAsia="黑体"/>
                <w:szCs w:val="21"/>
              </w:rPr>
            </w:pPr>
          </w:p>
        </w:tc>
        <w:tc>
          <w:tcPr>
            <w:tcW w:w="885" w:type="dxa"/>
            <w:vMerge w:val="continue"/>
            <w:tcMar>
              <w:left w:w="108" w:type="dxa"/>
              <w:right w:w="108" w:type="dxa"/>
            </w:tcMar>
            <w:vAlign w:val="center"/>
          </w:tcPr>
          <w:p>
            <w:pPr>
              <w:widowControl/>
              <w:spacing w:line="300" w:lineRule="exact"/>
              <w:rPr>
                <w:rFonts w:ascii="Times New Roman" w:hAnsi="Times New Roman" w:eastAsia="黑体"/>
                <w:kern w:val="0"/>
                <w:sz w:val="16"/>
                <w:szCs w:val="16"/>
              </w:rPr>
            </w:pPr>
          </w:p>
        </w:tc>
        <w:tc>
          <w:tcPr>
            <w:tcW w:w="2370" w:type="dxa"/>
            <w:vAlign w:val="center"/>
          </w:tcPr>
          <w:p>
            <w:pPr>
              <w:widowControl/>
              <w:spacing w:line="300" w:lineRule="exact"/>
              <w:rPr>
                <w:rFonts w:ascii="Times New Roman" w:hAnsi="Times New Roman" w:eastAsia="仿宋_GB2312"/>
                <w:kern w:val="0"/>
                <w:sz w:val="16"/>
                <w:szCs w:val="16"/>
              </w:rPr>
            </w:pPr>
            <w:r>
              <w:rPr>
                <w:rFonts w:ascii="Times New Roman" w:hAnsi="Times New Roman" w:eastAsia="仿宋_GB2312"/>
                <w:sz w:val="16"/>
                <w:szCs w:val="18"/>
              </w:rPr>
              <w:t>3.其他</w:t>
            </w:r>
          </w:p>
        </w:tc>
        <w:tc>
          <w:tcPr>
            <w:tcW w:w="615" w:type="dxa"/>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c>
          <w:tcPr>
            <w:tcW w:w="585" w:type="dxa"/>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c>
          <w:tcPr>
            <w:tcW w:w="55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84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765"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90" w:type="dxa"/>
            <w:tcMar>
              <w:left w:w="108" w:type="dxa"/>
              <w:right w:w="108" w:type="dxa"/>
            </w:tcMar>
            <w:vAlign w:val="center"/>
          </w:tcPr>
          <w:p>
            <w:pPr>
              <w:widowControl/>
              <w:spacing w:line="240" w:lineRule="exact"/>
              <w:jc w:val="center"/>
              <w:rPr>
                <w:rFonts w:ascii="Times New Roman" w:hAnsi="Times New Roman" w:eastAsia="仿宋_GB2312"/>
                <w:szCs w:val="21"/>
              </w:rPr>
            </w:pPr>
            <w:r>
              <w:rPr>
                <w:rFonts w:ascii="Times New Roman" w:hAnsi="Times New Roman" w:eastAsia="仿宋_GB2312"/>
                <w:szCs w:val="21"/>
              </w:rPr>
              <w:t>0</w:t>
            </w:r>
          </w:p>
        </w:tc>
        <w:tc>
          <w:tcPr>
            <w:tcW w:w="615" w:type="dxa"/>
            <w:tcMar>
              <w:left w:w="108" w:type="dxa"/>
              <w:right w:w="108" w:type="dxa"/>
            </w:tcMar>
            <w:vAlign w:val="center"/>
          </w:tcPr>
          <w:p>
            <w:pPr>
              <w:widowControl/>
              <w:spacing w:line="240" w:lineRule="exact"/>
              <w:jc w:val="center"/>
              <w:rPr>
                <w:rFonts w:ascii="Times New Roman" w:hAnsi="Times New Roman" w:eastAsia="仿宋_GB2312"/>
                <w:color w:val="FF0000"/>
                <w:szCs w:val="21"/>
              </w:rPr>
            </w:pPr>
            <w:r>
              <w:rPr>
                <w:rFonts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855" w:type="dxa"/>
            <w:vMerge w:val="continue"/>
            <w:tcMar>
              <w:left w:w="108" w:type="dxa"/>
              <w:right w:w="108" w:type="dxa"/>
            </w:tcMar>
            <w:vAlign w:val="center"/>
          </w:tcPr>
          <w:p>
            <w:pPr>
              <w:rPr>
                <w:rFonts w:ascii="Times New Roman" w:hAnsi="Times New Roman" w:eastAsia="黑体"/>
                <w:szCs w:val="21"/>
              </w:rPr>
            </w:pPr>
          </w:p>
        </w:tc>
        <w:tc>
          <w:tcPr>
            <w:tcW w:w="3255" w:type="dxa"/>
            <w:gridSpan w:val="2"/>
            <w:tcMar>
              <w:left w:w="108" w:type="dxa"/>
              <w:right w:w="108" w:type="dxa"/>
            </w:tcMar>
            <w:vAlign w:val="center"/>
          </w:tcPr>
          <w:p>
            <w:pPr>
              <w:widowControl/>
              <w:spacing w:line="300" w:lineRule="exact"/>
              <w:rPr>
                <w:rFonts w:ascii="Times New Roman" w:hAnsi="Times New Roman" w:eastAsia="黑体"/>
                <w:kern w:val="0"/>
                <w:sz w:val="16"/>
                <w:szCs w:val="16"/>
              </w:rPr>
            </w:pPr>
            <w:r>
              <w:rPr>
                <w:rFonts w:ascii="Times New Roman" w:hAnsi="Times New Roman" w:eastAsia="黑体"/>
                <w:kern w:val="0"/>
                <w:sz w:val="16"/>
                <w:szCs w:val="16"/>
              </w:rPr>
              <w:t>（七）总计</w:t>
            </w:r>
          </w:p>
        </w:tc>
        <w:tc>
          <w:tcPr>
            <w:tcW w:w="615"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1</w:t>
            </w:r>
          </w:p>
        </w:tc>
        <w:tc>
          <w:tcPr>
            <w:tcW w:w="585"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555"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840"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765"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690"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615"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4110" w:type="dxa"/>
            <w:gridSpan w:val="3"/>
            <w:tcMar>
              <w:left w:w="108" w:type="dxa"/>
              <w:right w:w="108" w:type="dxa"/>
            </w:tcMar>
            <w:vAlign w:val="center"/>
          </w:tcPr>
          <w:p>
            <w:pPr>
              <w:widowControl/>
              <w:spacing w:line="300" w:lineRule="exact"/>
              <w:rPr>
                <w:rFonts w:ascii="Times New Roman" w:hAnsi="Times New Roman" w:eastAsia="黑体"/>
                <w:kern w:val="0"/>
                <w:szCs w:val="21"/>
              </w:rPr>
            </w:pPr>
            <w:r>
              <w:rPr>
                <w:rFonts w:ascii="Times New Roman" w:hAnsi="Times New Roman" w:eastAsia="黑体"/>
                <w:kern w:val="0"/>
                <w:szCs w:val="21"/>
              </w:rPr>
              <w:t>四、结转下年度继续办理</w:t>
            </w:r>
          </w:p>
        </w:tc>
        <w:tc>
          <w:tcPr>
            <w:tcW w:w="615"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585"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555"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840"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765"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690"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c>
          <w:tcPr>
            <w:tcW w:w="615" w:type="dxa"/>
            <w:tcMar>
              <w:left w:w="108" w:type="dxa"/>
              <w:right w:w="108" w:type="dxa"/>
            </w:tcMar>
            <w:vAlign w:val="center"/>
          </w:tcPr>
          <w:p>
            <w:pPr>
              <w:widowControl/>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w:t>
            </w:r>
          </w:p>
        </w:tc>
      </w:tr>
    </w:tbl>
    <w:p>
      <w:pPr>
        <w:ind w:firstLine="640" w:firstLineChars="200"/>
        <w:rPr>
          <w:rFonts w:ascii="Times New Roman" w:hAnsi="Times New Roman" w:eastAsia="仿宋_GB2312"/>
          <w:sz w:val="32"/>
          <w:szCs w:val="32"/>
        </w:rPr>
      </w:pPr>
      <w:r>
        <w:rPr>
          <w:rFonts w:ascii="Times New Roman" w:hAnsi="Times New Roman" w:eastAsia="黑体"/>
          <w:bCs/>
          <w:color w:val="333333"/>
          <w:kern w:val="0"/>
          <w:sz w:val="32"/>
          <w:szCs w:val="32"/>
          <w:shd w:val="clear" w:color="auto" w:fill="FFFFFF"/>
          <w:lang w:bidi="ar"/>
        </w:rPr>
        <w:t>四、政府信息公开行政复议、行政诉讼情况</w:t>
      </w:r>
    </w:p>
    <w:tbl>
      <w:tblPr>
        <w:tblStyle w:val="5"/>
        <w:tblpPr w:leftFromText="180" w:rightFromText="180" w:vertAnchor="text" w:horzAnchor="page" w:tblpX="1550" w:tblpY="102"/>
        <w:tblOverlap w:val="never"/>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黑体"/>
              </w:rPr>
            </w:pPr>
            <w:r>
              <w:rPr>
                <w:rFonts w:ascii="Times New Roman" w:hAnsi="Times New Roman"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黑体"/>
              </w:rPr>
            </w:pPr>
            <w:r>
              <w:rPr>
                <w:rFonts w:ascii="Times New Roman" w:hAnsi="Times New Roman"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ind w:left="-149" w:leftChars="-71" w:right="-170" w:rightChars="-81"/>
              <w:jc w:val="center"/>
              <w:rPr>
                <w:rFonts w:ascii="Times New Roman" w:hAnsi="Times New Roman" w:eastAsia="黑体"/>
                <w:kern w:val="0"/>
                <w:sz w:val="20"/>
                <w:szCs w:val="20"/>
              </w:rPr>
            </w:pPr>
            <w:r>
              <w:rPr>
                <w:rFonts w:ascii="Times New Roman" w:hAnsi="Times New Roman" w:eastAsia="黑体"/>
                <w:kern w:val="0"/>
                <w:sz w:val="20"/>
                <w:szCs w:val="20"/>
              </w:rPr>
              <w:t>结果</w:t>
            </w:r>
          </w:p>
          <w:p>
            <w:pPr>
              <w:widowControl/>
              <w:ind w:left="-149" w:leftChars="-71" w:right="-170" w:rightChars="-81"/>
              <w:jc w:val="center"/>
              <w:rPr>
                <w:rFonts w:ascii="Times New Roman" w:hAnsi="Times New Roman" w:eastAsia="黑体"/>
              </w:rPr>
            </w:pPr>
            <w:r>
              <w:rPr>
                <w:rFonts w:ascii="Times New Roman" w:hAnsi="Times New Roman" w:eastAsia="黑体"/>
                <w:kern w:val="0"/>
                <w:sz w:val="20"/>
                <w:szCs w:val="20"/>
              </w:rPr>
              <w:t>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ind w:left="-43" w:leftChars="-21" w:right="-132" w:rightChars="-63" w:hanging="1"/>
              <w:jc w:val="center"/>
              <w:rPr>
                <w:rFonts w:ascii="Times New Roman" w:hAnsi="Times New Roman" w:eastAsia="黑体"/>
              </w:rPr>
            </w:pPr>
            <w:r>
              <w:rPr>
                <w:rFonts w:ascii="Times New Roman" w:hAnsi="Times New Roman"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82" w:leftChars="-39" w:right="-97" w:rightChars="-46"/>
              <w:jc w:val="center"/>
              <w:rPr>
                <w:rFonts w:ascii="Times New Roman" w:hAnsi="Times New Roman" w:eastAsia="黑体"/>
              </w:rPr>
            </w:pPr>
            <w:r>
              <w:rPr>
                <w:rFonts w:ascii="Times New Roman" w:hAnsi="Times New Roman"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118" w:leftChars="-56" w:right="-118" w:rightChars="-56"/>
              <w:jc w:val="center"/>
              <w:rPr>
                <w:rFonts w:ascii="Times New Roman" w:hAnsi="Times New Roman" w:eastAsia="黑体"/>
                <w:kern w:val="0"/>
                <w:sz w:val="20"/>
                <w:szCs w:val="20"/>
              </w:rPr>
            </w:pPr>
            <w:r>
              <w:rPr>
                <w:rFonts w:ascii="Times New Roman" w:hAnsi="Times New Roman" w:eastAsia="黑体"/>
                <w:kern w:val="0"/>
                <w:sz w:val="20"/>
                <w:szCs w:val="20"/>
              </w:rPr>
              <w:t>尚未</w:t>
            </w:r>
          </w:p>
          <w:p>
            <w:pPr>
              <w:widowControl/>
              <w:ind w:left="-118" w:leftChars="-56" w:right="-118" w:rightChars="-56"/>
              <w:jc w:val="center"/>
              <w:rPr>
                <w:rFonts w:ascii="Times New Roman" w:hAnsi="Times New Roman" w:eastAsia="黑体"/>
              </w:rPr>
            </w:pPr>
            <w:r>
              <w:rPr>
                <w:rFonts w:ascii="Times New Roman" w:hAnsi="Times New Roman"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320" w:lineRule="exact"/>
              <w:jc w:val="center"/>
              <w:rPr>
                <w:rFonts w:ascii="Times New Roman" w:hAnsi="Times New Roman" w:eastAsia="黑体"/>
                <w:kern w:val="0"/>
                <w:sz w:val="20"/>
                <w:szCs w:val="20"/>
              </w:rPr>
            </w:pPr>
            <w:r>
              <w:rPr>
                <w:rFonts w:ascii="Times New Roman" w:hAnsi="Times New Roman" w:eastAsia="黑体"/>
                <w:kern w:val="0"/>
                <w:sz w:val="20"/>
                <w:szCs w:val="20"/>
              </w:rPr>
              <w:t>总</w:t>
            </w:r>
          </w:p>
          <w:p>
            <w:pPr>
              <w:widowControl/>
              <w:spacing w:line="320" w:lineRule="exact"/>
              <w:jc w:val="center"/>
              <w:rPr>
                <w:rFonts w:ascii="Times New Roman" w:hAnsi="Times New Roman" w:eastAsia="黑体"/>
              </w:rPr>
            </w:pPr>
            <w:r>
              <w:rPr>
                <w:rFonts w:ascii="Times New Roman" w:hAnsi="Times New Roman"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黑体"/>
              </w:rPr>
            </w:pPr>
            <w:r>
              <w:rPr>
                <w:rFonts w:ascii="Times New Roman" w:hAnsi="Times New Roman"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黑体"/>
              </w:rPr>
            </w:pPr>
            <w:bookmarkStart w:id="9" w:name="_Hlk67039688"/>
            <w:r>
              <w:rPr>
                <w:rFonts w:ascii="Times New Roman" w:hAnsi="Times New Roman"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黑体"/>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rPr>
                <w:rFonts w:ascii="Times New Roman" w:hAnsi="Times New Roman"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Times New Roman" w:hAnsi="Times New Roman"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Times New Roman" w:hAnsi="Times New Roman" w:eastAsia="黑体"/>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Times New Roman" w:hAnsi="Times New Roman" w:eastAsia="黑体"/>
                <w:sz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ind w:left="-105" w:leftChars="-50" w:right="-126" w:rightChars="-60"/>
              <w:jc w:val="center"/>
              <w:rPr>
                <w:rFonts w:ascii="Times New Roman" w:hAnsi="Times New Roman" w:eastAsia="黑体"/>
              </w:rPr>
            </w:pPr>
            <w:r>
              <w:rPr>
                <w:rFonts w:ascii="Times New Roman" w:hAnsi="Times New Roman" w:eastAsia="黑体"/>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ind w:left="-86" w:leftChars="-41" w:right="-88" w:rightChars="-42"/>
              <w:jc w:val="center"/>
              <w:rPr>
                <w:rFonts w:ascii="Times New Roman" w:hAnsi="Times New Roman" w:eastAsia="黑体"/>
              </w:rPr>
            </w:pPr>
            <w:r>
              <w:rPr>
                <w:rFonts w:ascii="Times New Roman" w:hAnsi="Times New Roman" w:eastAsia="黑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26" w:leftChars="-60" w:right="-136" w:rightChars="-65"/>
              <w:jc w:val="center"/>
              <w:rPr>
                <w:rFonts w:ascii="Times New Roman" w:hAnsi="Times New Roman" w:eastAsia="黑体"/>
                <w:kern w:val="0"/>
                <w:sz w:val="20"/>
                <w:szCs w:val="20"/>
              </w:rPr>
            </w:pPr>
            <w:r>
              <w:rPr>
                <w:rFonts w:ascii="Times New Roman" w:hAnsi="Times New Roman" w:eastAsia="黑体"/>
                <w:kern w:val="0"/>
                <w:sz w:val="20"/>
                <w:szCs w:val="20"/>
              </w:rPr>
              <w:t>其他</w:t>
            </w:r>
          </w:p>
          <w:p>
            <w:pPr>
              <w:widowControl/>
              <w:ind w:left="-126" w:leftChars="-60" w:right="-136" w:rightChars="-65"/>
              <w:jc w:val="center"/>
              <w:rPr>
                <w:rFonts w:ascii="Times New Roman" w:hAnsi="Times New Roman" w:eastAsia="黑体"/>
              </w:rPr>
            </w:pPr>
            <w:r>
              <w:rPr>
                <w:rFonts w:ascii="Times New Roman" w:hAnsi="Times New Roman" w:eastAsia="黑体"/>
                <w:kern w:val="0"/>
                <w:sz w:val="20"/>
                <w:szCs w:val="20"/>
              </w:rPr>
              <w:t>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64" w:leftChars="-78" w:right="-153" w:rightChars="-73"/>
              <w:jc w:val="center"/>
              <w:rPr>
                <w:rFonts w:ascii="Times New Roman" w:hAnsi="Times New Roman" w:eastAsia="黑体"/>
                <w:kern w:val="0"/>
                <w:sz w:val="20"/>
                <w:szCs w:val="20"/>
              </w:rPr>
            </w:pPr>
            <w:r>
              <w:rPr>
                <w:rFonts w:ascii="Times New Roman" w:hAnsi="Times New Roman" w:eastAsia="黑体"/>
                <w:kern w:val="0"/>
                <w:sz w:val="20"/>
                <w:szCs w:val="20"/>
              </w:rPr>
              <w:t>尚未</w:t>
            </w:r>
          </w:p>
          <w:p>
            <w:pPr>
              <w:widowControl/>
              <w:ind w:left="-164" w:leftChars="-78" w:right="-153" w:rightChars="-73"/>
              <w:jc w:val="center"/>
              <w:rPr>
                <w:rFonts w:ascii="Times New Roman" w:hAnsi="Times New Roman" w:eastAsia="黑体"/>
              </w:rPr>
            </w:pPr>
            <w:r>
              <w:rPr>
                <w:rFonts w:ascii="Times New Roman" w:hAnsi="Times New Roman" w:eastAsia="黑体"/>
                <w:kern w:val="0"/>
                <w:sz w:val="20"/>
                <w:szCs w:val="20"/>
              </w:rPr>
              <w:t>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黑体"/>
              </w:rPr>
            </w:pPr>
            <w:r>
              <w:rPr>
                <w:rFonts w:ascii="Times New Roman" w:hAnsi="Times New Roman" w:eastAsia="黑体"/>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99" w:leftChars="-47" w:right="-78" w:rightChars="-37"/>
              <w:jc w:val="center"/>
              <w:rPr>
                <w:rFonts w:ascii="Times New Roman" w:hAnsi="Times New Roman" w:eastAsia="黑体"/>
              </w:rPr>
            </w:pPr>
            <w:r>
              <w:rPr>
                <w:rFonts w:ascii="Times New Roman" w:hAnsi="Times New Roman" w:eastAsia="黑体"/>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36" w:leftChars="-65" w:right="-124" w:rightChars="-59"/>
              <w:jc w:val="center"/>
              <w:rPr>
                <w:rFonts w:ascii="Times New Roman" w:hAnsi="Times New Roman" w:eastAsia="黑体"/>
                <w:kern w:val="0"/>
                <w:sz w:val="20"/>
                <w:szCs w:val="20"/>
              </w:rPr>
            </w:pPr>
            <w:r>
              <w:rPr>
                <w:rFonts w:ascii="Times New Roman" w:hAnsi="Times New Roman" w:eastAsia="黑体"/>
                <w:kern w:val="0"/>
                <w:sz w:val="20"/>
                <w:szCs w:val="20"/>
              </w:rPr>
              <w:t>结果</w:t>
            </w:r>
          </w:p>
          <w:p>
            <w:pPr>
              <w:widowControl/>
              <w:ind w:left="-136" w:leftChars="-65" w:right="-124" w:rightChars="-59"/>
              <w:jc w:val="center"/>
              <w:rPr>
                <w:rFonts w:ascii="Times New Roman" w:hAnsi="Times New Roman" w:eastAsia="黑体"/>
              </w:rPr>
            </w:pPr>
            <w:r>
              <w:rPr>
                <w:rFonts w:ascii="Times New Roman" w:hAnsi="Times New Roman" w:eastAsia="黑体"/>
                <w:kern w:val="0"/>
                <w:sz w:val="20"/>
                <w:szCs w:val="20"/>
              </w:rPr>
              <w:t>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73" w:leftChars="-83" w:right="-134" w:rightChars="-64" w:hanging="1"/>
              <w:jc w:val="center"/>
              <w:rPr>
                <w:rFonts w:ascii="Times New Roman" w:hAnsi="Times New Roman" w:eastAsia="黑体"/>
                <w:kern w:val="0"/>
                <w:sz w:val="20"/>
                <w:szCs w:val="20"/>
              </w:rPr>
            </w:pPr>
            <w:r>
              <w:rPr>
                <w:rFonts w:ascii="Times New Roman" w:hAnsi="Times New Roman" w:eastAsia="黑体"/>
                <w:kern w:val="0"/>
                <w:sz w:val="20"/>
                <w:szCs w:val="20"/>
              </w:rPr>
              <w:t>其他</w:t>
            </w:r>
          </w:p>
          <w:p>
            <w:pPr>
              <w:widowControl/>
              <w:ind w:left="-173" w:leftChars="-83" w:right="-134" w:rightChars="-64" w:hanging="1"/>
              <w:jc w:val="center"/>
              <w:rPr>
                <w:rFonts w:ascii="Times New Roman" w:hAnsi="Times New Roman" w:eastAsia="黑体"/>
              </w:rPr>
            </w:pPr>
            <w:r>
              <w:rPr>
                <w:rFonts w:ascii="Times New Roman" w:hAnsi="Times New Roman" w:eastAsia="黑体"/>
                <w:kern w:val="0"/>
                <w:sz w:val="20"/>
                <w:szCs w:val="20"/>
              </w:rPr>
              <w:t>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67" w:leftChars="-33" w:right="-105" w:rightChars="-50" w:hanging="2" w:hangingChars="1"/>
              <w:jc w:val="center"/>
              <w:rPr>
                <w:rFonts w:ascii="Times New Roman" w:hAnsi="Times New Roman" w:eastAsia="黑体"/>
              </w:rPr>
            </w:pPr>
            <w:r>
              <w:rPr>
                <w:rFonts w:ascii="Times New Roman" w:hAnsi="Times New Roman" w:eastAsia="黑体"/>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黑体"/>
              </w:rPr>
            </w:pPr>
            <w:r>
              <w:rPr>
                <w:rFonts w:ascii="Times New Roman" w:hAnsi="Times New Roman"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ascii="Times New Roman" w:hAnsi="Times New Roman"/>
              </w:rPr>
              <w:t>0</w:t>
            </w:r>
          </w:p>
        </w:tc>
        <w:tc>
          <w:tcPr>
            <w:tcW w:w="65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ascii="Times New Roman" w:hAnsi="Times New Roman"/>
              </w:rPr>
              <w:t>0</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rPr>
                <w:rFonts w:ascii="Times New Roman" w:hAnsi="Times New Roman"/>
              </w:rPr>
            </w:pPr>
            <w:r>
              <w:rPr>
                <w:rFonts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ascii="Times New Roman" w:hAnsi="Times New Roman"/>
              </w:rPr>
              <w:t>0</w:t>
            </w:r>
          </w:p>
        </w:tc>
      </w:tr>
    </w:tbl>
    <w:p>
      <w:pPr>
        <w:pStyle w:val="4"/>
        <w:widowControl/>
        <w:shd w:val="clear" w:color="auto" w:fill="FFFFFF"/>
        <w:tabs>
          <w:tab w:val="left" w:pos="309"/>
        </w:tabs>
        <w:spacing w:before="0" w:beforeAutospacing="0" w:after="0" w:afterAutospacing="0" w:line="560" w:lineRule="exact"/>
        <w:ind w:firstLine="640" w:firstLineChars="200"/>
        <w:jc w:val="both"/>
        <w:rPr>
          <w:rFonts w:ascii="Times New Roman" w:hAnsi="Times New Roman" w:eastAsia="黑体"/>
          <w:bCs/>
          <w:color w:val="333333"/>
          <w:sz w:val="32"/>
          <w:szCs w:val="32"/>
          <w:shd w:val="clear" w:color="auto" w:fill="FFFFFF"/>
          <w:lang w:bidi="ar"/>
        </w:rPr>
      </w:pPr>
      <w:r>
        <w:rPr>
          <w:rFonts w:ascii="Times New Roman" w:hAnsi="Times New Roman" w:eastAsia="黑体"/>
          <w:bCs/>
          <w:color w:val="333333"/>
          <w:sz w:val="32"/>
          <w:szCs w:val="32"/>
          <w:shd w:val="clear" w:color="auto" w:fill="FFFFFF"/>
          <w:lang w:bidi="ar"/>
        </w:rPr>
        <w:t>五、存在的主要问题及改进情况</w:t>
      </w:r>
    </w:p>
    <w:p>
      <w:pPr>
        <w:widowControl/>
        <w:shd w:val="clear" w:color="auto" w:fill="FFFFFF"/>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2023年，我局圆满完成了政府信息公开工作，主要存在信息公开方式不灵活，公开形式较为单一等问题。针对以上问题，我局一是落实科室责任，将政务公开工作列入科室年度考核，定期公开的事项及时调度各科室，要求科室准确及时地提供公开数据，确保按时公开公示。二是丰富公开形式。积极与市医保局沟通，将分局的各项工作措施及时在市局网站、公众号进行宣传；继续与区融媒体深度合作，通过微信、报纸、制作小视频、电视节目、村村响等形式对新政策、新举措、办事流程等及时进行公开宣传；充分利用人社局直播间，组织业务科室负责人进行医保政策解读，全方位抓实抓好医保政策宣传，提高群众知晓率。</w:t>
      </w: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黑体"/>
          <w:bCs/>
          <w:color w:val="333333"/>
          <w:sz w:val="32"/>
          <w:szCs w:val="32"/>
          <w:shd w:val="clear" w:color="auto" w:fill="FFFFFF"/>
          <w:lang w:bidi="ar"/>
        </w:rPr>
      </w:pPr>
      <w:r>
        <w:rPr>
          <w:rFonts w:ascii="Times New Roman" w:hAnsi="Times New Roman" w:eastAsia="黑体"/>
          <w:bCs/>
          <w:color w:val="333333"/>
          <w:sz w:val="32"/>
          <w:szCs w:val="32"/>
          <w:shd w:val="clear" w:color="auto" w:fill="FFFFFF"/>
          <w:lang w:bidi="ar"/>
        </w:rPr>
        <w:t>六、其他需要报告的事项</w:t>
      </w: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1、收取信息处理费情况。按照《国务院办公厅关于印发&lt;政府信息公开信息处理费管理办法&gt;的通知》（国办函〔2020〕109号）。和《山东省人民政府办公厅关于做好政府信息公开信息处理费管理工作有关事项的通知》（鲁政办字〔2020〕179号）收取信息处理费。2023年本机关依申请公开政府信息未收取任何费用。</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2、落实上级年度政务公开工作要点情况。</w:t>
      </w:r>
      <w:r>
        <w:rPr>
          <w:rFonts w:ascii="Times New Roman" w:hAnsi="Times New Roman" w:eastAsia="仿宋_GB2312"/>
          <w:color w:val="000000"/>
          <w:sz w:val="32"/>
          <w:szCs w:val="32"/>
          <w:shd w:val="clear" w:color="auto" w:fill="FFFFFF"/>
        </w:rPr>
        <w:t>2023年，按照区政府政务信息工作要求，安排专人将政务公开工作任务分解到各科室，及时调度各科室，保质保量完成了全年政务公开工作任务。</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color w:val="000000"/>
          <w:sz w:val="32"/>
          <w:szCs w:val="32"/>
        </w:rPr>
        <w:t>3、人大、政协建议提案办理情况。2023年我局共收到并公开人大代表建议5件，政协建议提案1件。</w:t>
      </w:r>
      <w:r>
        <w:rPr>
          <w:rFonts w:ascii="Times New Roman" w:hAnsi="Times New Roman" w:eastAsia="仿宋_GB2312"/>
          <w:sz w:val="32"/>
          <w:szCs w:val="32"/>
        </w:rPr>
        <w:t>我局召开专题会议认真研究，深入分析，分别</w:t>
      </w:r>
      <w:r>
        <w:rPr>
          <w:rFonts w:ascii="Times New Roman" w:hAnsi="Times New Roman" w:eastAsia="仿宋_GB2312"/>
          <w:color w:val="000000"/>
          <w:sz w:val="32"/>
          <w:szCs w:val="32"/>
        </w:rPr>
        <w:t>于4月11日和7月26日为政协委员和人大代表</w:t>
      </w:r>
      <w:r>
        <w:rPr>
          <w:rFonts w:ascii="Times New Roman" w:hAnsi="Times New Roman" w:eastAsia="仿宋_GB2312"/>
          <w:sz w:val="32"/>
          <w:szCs w:val="32"/>
        </w:rPr>
        <w:t>进行答复，得到了各位委员代表们的充分认可。我</w:t>
      </w:r>
      <w:r>
        <w:rPr>
          <w:rFonts w:ascii="Times New Roman" w:hAnsi="Times New Roman" w:eastAsia="仿宋_GB2312"/>
          <w:color w:val="000000"/>
          <w:sz w:val="32"/>
          <w:szCs w:val="32"/>
        </w:rPr>
        <w:t>局将积极吸纳代表们的建议，强化政策宣传，扩大政策知晓率，</w:t>
      </w:r>
      <w:r>
        <w:rPr>
          <w:rFonts w:ascii="Times New Roman" w:hAnsi="Times New Roman" w:eastAsia="仿宋_GB2312"/>
          <w:color w:val="000000"/>
          <w:sz w:val="32"/>
          <w:szCs w:val="32"/>
          <w:lang w:val="zh-CN"/>
        </w:rPr>
        <w:t>推进医保基层服务体系建设，</w:t>
      </w:r>
      <w:r>
        <w:rPr>
          <w:rFonts w:ascii="Times New Roman" w:hAnsi="Times New Roman" w:eastAsia="仿宋_GB2312"/>
          <w:color w:val="000000"/>
          <w:sz w:val="32"/>
          <w:szCs w:val="32"/>
        </w:rPr>
        <w:t>积极落实医疗救助相关政策。建议</w:t>
      </w:r>
      <w:r>
        <w:rPr>
          <w:rFonts w:ascii="Times New Roman" w:hAnsi="Times New Roman" w:eastAsia="仿宋_GB2312"/>
          <w:sz w:val="32"/>
          <w:szCs w:val="32"/>
        </w:rPr>
        <w:t>上级部门在制订政策时向困难群体适当倾斜，加大救助力度，使困难群体感受到政府的关怀。</w:t>
      </w: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4、政务公开工作创新情况。积极拓宽政务公开渠道，</w:t>
      </w:r>
      <w:r>
        <w:rPr>
          <w:rFonts w:ascii="Times New Roman" w:hAnsi="Times New Roman" w:eastAsia="仿宋_GB2312"/>
          <w:color w:val="000000"/>
          <w:sz w:val="32"/>
          <w:szCs w:val="32"/>
        </w:rPr>
        <w:t>充分利用政务直播间，组织业务科室负责人进行医保政策解读，全方位抓实抓好医保政策宣传，提高群众知晓率。</w:t>
      </w: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5、政府信息公开工作年度报告数据统计需要说明的事项。无</w:t>
      </w: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6、本行政机关认为需要报告的其他事项。无</w:t>
      </w: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7、其他有关文件专门要求通过政府信息公开工作年度报告予以报告的事项。无</w:t>
      </w:r>
    </w:p>
    <w:p>
      <w:pPr>
        <w:pStyle w:val="4"/>
        <w:widowControl/>
        <w:shd w:val="clear" w:color="auto" w:fill="FFFFFF"/>
        <w:spacing w:before="0" w:beforeAutospacing="0" w:after="0" w:afterAutospacing="0" w:line="560" w:lineRule="exact"/>
        <w:ind w:firstLine="640" w:firstLineChars="200"/>
        <w:jc w:val="right"/>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淄博市医疗保障局淄川分局</w:t>
      </w:r>
    </w:p>
    <w:p>
      <w:pPr>
        <w:pStyle w:val="4"/>
        <w:widowControl/>
        <w:shd w:val="clear" w:color="auto" w:fill="FFFFFF"/>
        <w:spacing w:before="0" w:beforeAutospacing="0" w:after="0" w:afterAutospacing="0" w:line="560" w:lineRule="exact"/>
        <w:ind w:firstLine="640" w:firstLineChars="200"/>
        <w:jc w:val="right"/>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2024年1月15日</w:t>
      </w:r>
    </w:p>
    <w:sectPr>
      <w:footerReference r:id="rId3" w:type="default"/>
      <w:pgSz w:w="11906" w:h="16838"/>
      <w:pgMar w:top="2098" w:right="1474" w:bottom="147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22"/>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E5743"/>
    <w:rsid w:val="004630AC"/>
    <w:rsid w:val="00D239F9"/>
    <w:rsid w:val="00D50AF9"/>
    <w:rsid w:val="095216D9"/>
    <w:rsid w:val="0BD02D72"/>
    <w:rsid w:val="0F973B2A"/>
    <w:rsid w:val="125F1DCE"/>
    <w:rsid w:val="15B32447"/>
    <w:rsid w:val="204F541E"/>
    <w:rsid w:val="26785F37"/>
    <w:rsid w:val="280E5743"/>
    <w:rsid w:val="295B7D57"/>
    <w:rsid w:val="39AA13A3"/>
    <w:rsid w:val="3B187DEB"/>
    <w:rsid w:val="4A394C23"/>
    <w:rsid w:val="51AA348A"/>
    <w:rsid w:val="56C67936"/>
    <w:rsid w:val="5CA27D57"/>
    <w:rsid w:val="60AF0A1D"/>
    <w:rsid w:val="6E91742A"/>
    <w:rsid w:val="70483AFF"/>
    <w:rsid w:val="72B312A9"/>
    <w:rsid w:val="77DE4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524</Words>
  <Characters>2988</Characters>
  <Lines>24</Lines>
  <Paragraphs>7</Paragraphs>
  <TotalTime>69</TotalTime>
  <ScaleCrop>false</ScaleCrop>
  <LinksUpToDate>false</LinksUpToDate>
  <CharactersWithSpaces>3505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2024-01-09T00:46:00Z</dcterms:created>
  <dc:creator>Y_BAO</dc:creator>
  <cp:lastModifiedBy>银杏果</cp:lastModifiedBy>
  <cp:lastPrinted>2024-01-10T06:27:00Z</cp:lastPrinted>
  <dcterms:modified xsi:type="dcterms:W3CDTF">2024-01-25T08:04:28Z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7A33B21F186343E58BD9E64B2AEA795E</vt:lpwstr>
  </property>
</Properties>
</file>