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Cs/>
          <w:kern w:val="0"/>
          <w:sz w:val="44"/>
          <w:szCs w:val="44"/>
          <w:lang w:eastAsia="zh-CN"/>
        </w:rPr>
      </w:pPr>
      <w:r>
        <w:rPr>
          <w:rFonts w:hint="eastAsia" w:ascii="Times New Roman" w:hAnsi="Times New Roman" w:eastAsia="方正小标宋简体"/>
          <w:bCs/>
          <w:kern w:val="0"/>
          <w:sz w:val="44"/>
          <w:szCs w:val="44"/>
        </w:rPr>
        <w:t>淄川区</w:t>
      </w:r>
      <w:r>
        <w:rPr>
          <w:rFonts w:hint="eastAsia" w:ascii="Times New Roman" w:hAnsi="Times New Roman" w:eastAsia="方正小标宋简体"/>
          <w:bCs/>
          <w:kern w:val="0"/>
          <w:sz w:val="44"/>
          <w:szCs w:val="44"/>
          <w:lang w:eastAsia="zh-CN"/>
        </w:rPr>
        <w:t>住房保障中心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Cs/>
          <w:kern w:val="0"/>
          <w:sz w:val="44"/>
          <w:szCs w:val="44"/>
        </w:rPr>
      </w:pPr>
      <w:r>
        <w:rPr>
          <w:rFonts w:hint="eastAsia" w:ascii="Times New Roman" w:hAnsi="Times New Roman" w:eastAsia="方正小标宋简体"/>
          <w:bCs/>
          <w:kern w:val="0"/>
          <w:sz w:val="44"/>
          <w:szCs w:val="44"/>
        </w:rPr>
        <w:t>2020年政府信息公开工作年度报告</w:t>
      </w:r>
    </w:p>
    <w:p>
      <w:pPr>
        <w:widowControl/>
        <w:shd w:val="clear" w:color="auto" w:fill="FFFFFF"/>
        <w:spacing w:line="560" w:lineRule="exact"/>
        <w:jc w:val="center"/>
        <w:rPr>
          <w:rFonts w:hint="eastAsia" w:ascii="Times New Roman" w:hAnsi="Times New Roman" w:eastAsia="方正小标宋简体"/>
          <w:bCs/>
          <w:kern w:val="0"/>
          <w:sz w:val="44"/>
          <w:szCs w:val="44"/>
        </w:rPr>
      </w:pPr>
    </w:p>
    <w:p>
      <w:pPr>
        <w:widowControl/>
        <w:numPr>
          <w:ilvl w:val="0"/>
          <w:numId w:val="1"/>
        </w:numPr>
        <w:shd w:val="clear" w:color="auto" w:fill="FFFFFF"/>
        <w:spacing w:line="560" w:lineRule="exact"/>
        <w:ind w:firstLine="482"/>
        <w:rPr>
          <w:rFonts w:ascii="Times New Roman" w:hAnsi="Times New Roman" w:eastAsia="黑体"/>
          <w:bCs/>
          <w:kern w:val="0"/>
          <w:sz w:val="32"/>
          <w:szCs w:val="32"/>
        </w:rPr>
      </w:pPr>
      <w:r>
        <w:rPr>
          <w:rFonts w:ascii="Times New Roman" w:hAnsi="Times New Roman" w:eastAsia="黑体"/>
          <w:bCs/>
          <w:kern w:val="0"/>
          <w:sz w:val="32"/>
          <w:szCs w:val="32"/>
        </w:rPr>
        <w:t>总体情况</w:t>
      </w:r>
    </w:p>
    <w:p>
      <w:pPr>
        <w:widowControl/>
        <w:numPr>
          <w:ilvl w:val="0"/>
          <w:numId w:val="0"/>
        </w:numPr>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2020年，我中心以习近平新时代中国特色社会主义思想为指导，根据《国务院办公厅政府信息与政务公开办公室关于政府信息公开工作年度报告有关事项的通知》（国办公开办函〔2019〕60号）要求以及省、市、区政务公开工作部署，以促进发展和群众满意为根本点，加强政策解读，回应公众关切，增强我中心公信力、执行力，保障人民群众对住房保障工作的知情权、参与权、监督权。</w:t>
      </w:r>
    </w:p>
    <w:p>
      <w:pPr>
        <w:widowControl/>
        <w:numPr>
          <w:ilvl w:val="0"/>
          <w:numId w:val="0"/>
        </w:numPr>
        <w:shd w:val="clear" w:color="auto" w:fill="FFFFFF"/>
        <w:spacing w:line="56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设置政务公开工作领导小组。我中心把政务公开工作摆上重要议程，调整充实政务公开工作领导小组，由支部书记、主任任组长，分管领导任副组长，各科室负责人任组员，领导小组下设办公室，挂靠中心办公室，主要负责政务公开工作的统筹、协调、监督、检查工作。根据2020年政务公开工作要点，我中心制定下发《淄川区住房保障中心2020年政务公开实施方案》，细化责任分工、目标任务和完成时限，各科室指定专人负责并与办公室对接，政务公开工作开展持续有效。</w:t>
      </w:r>
      <w:r>
        <w:rPr>
          <w:rFonts w:hint="eastAsia" w:ascii="仿宋_GB2312" w:hAnsi="仿宋_GB2312" w:eastAsia="仿宋_GB2312" w:cs="仿宋_GB2312"/>
          <w:kern w:val="0"/>
          <w:sz w:val="32"/>
          <w:szCs w:val="32"/>
          <w:lang w:val="en-US" w:eastAsia="zh-CN"/>
        </w:rPr>
        <w:t>2020年通过淄川区人民政府网站政务公开平台主动公开政府信息121条；全年未收到依申请公开事项，未收到人大、政协建议提案。</w:t>
      </w:r>
    </w:p>
    <w:p>
      <w:pPr>
        <w:widowControl/>
        <w:numPr>
          <w:ilvl w:val="0"/>
          <w:numId w:val="0"/>
        </w:numPr>
        <w:shd w:val="clear" w:color="auto" w:fill="FFFFFF"/>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围绕“六稳”、“六保”加强政策发布解读。我中心加大政策解读力度，加强舆论引导，主动回应经济社会热点问题，特别是保障和改善民生等重大部署和重点工作任务，解读好相关政策措施、执行情况和工作成效。围绕群众关注的热点问题进行在线调查和意见征集，提高决策的科学性，组织相关科室参加阳光问政，加大与群众的互动，同时通过党员活动进社区等方式对我中心现有的一些政策开展现场宣讲，解疑释惑，增进社会认同感，增强解读回应效果。</w:t>
      </w:r>
    </w:p>
    <w:p>
      <w:pPr>
        <w:widowControl/>
        <w:numPr>
          <w:ilvl w:val="0"/>
          <w:numId w:val="2"/>
        </w:numPr>
        <w:shd w:val="clear" w:color="auto" w:fill="FFFFFF"/>
        <w:spacing w:line="560" w:lineRule="exact"/>
        <w:ind w:firstLine="482"/>
        <w:rPr>
          <w:rFonts w:ascii="Times New Roman" w:hAnsi="Times New Roman" w:eastAsia="黑体"/>
          <w:bCs/>
          <w:kern w:val="0"/>
          <w:sz w:val="32"/>
          <w:szCs w:val="32"/>
        </w:rPr>
      </w:pPr>
      <w:r>
        <w:rPr>
          <w:rFonts w:ascii="Times New Roman" w:hAnsi="Times New Roman" w:eastAsia="黑体"/>
          <w:bCs/>
          <w:kern w:val="0"/>
          <w:sz w:val="32"/>
          <w:szCs w:val="32"/>
        </w:rPr>
        <w:t>主动公开政府信息情况</w:t>
      </w:r>
    </w:p>
    <w:tbl>
      <w:tblPr>
        <w:tblStyle w:val="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center"/>
              <w:rPr>
                <w:sz w:val="24"/>
                <w:szCs w:val="24"/>
              </w:rPr>
            </w:pPr>
            <w:r>
              <w:rPr>
                <w:rFonts w:hint="eastAsia"/>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jc w:val="center"/>
              <w:rPr>
                <w:sz w:val="24"/>
                <w:szCs w:val="24"/>
              </w:rPr>
            </w:pPr>
            <w:r>
              <w:rPr>
                <w:rFonts w:hint="eastAsia"/>
                <w:sz w:val="24"/>
                <w:szCs w:val="24"/>
              </w:rPr>
              <w:t>本年新制作数量</w:t>
            </w:r>
          </w:p>
        </w:tc>
        <w:tc>
          <w:tcPr>
            <w:tcW w:w="2030" w:type="dxa"/>
            <w:vAlign w:val="center"/>
          </w:tcPr>
          <w:p>
            <w:pPr>
              <w:jc w:val="center"/>
              <w:rPr>
                <w:sz w:val="24"/>
                <w:szCs w:val="24"/>
              </w:rPr>
            </w:pPr>
            <w:r>
              <w:rPr>
                <w:rFonts w:hint="eastAsia"/>
                <w:sz w:val="24"/>
                <w:szCs w:val="24"/>
              </w:rPr>
              <w:t>本年新</w:t>
            </w:r>
          </w:p>
          <w:p>
            <w:pPr>
              <w:jc w:val="center"/>
              <w:rPr>
                <w:sz w:val="24"/>
                <w:szCs w:val="24"/>
              </w:rPr>
            </w:pPr>
            <w:r>
              <w:rPr>
                <w:rFonts w:hint="eastAsia"/>
                <w:sz w:val="24"/>
                <w:szCs w:val="24"/>
              </w:rPr>
              <w:t>公开数量</w:t>
            </w:r>
          </w:p>
        </w:tc>
        <w:tc>
          <w:tcPr>
            <w:tcW w:w="2222" w:type="dxa"/>
            <w:vAlign w:val="center"/>
          </w:tcPr>
          <w:p>
            <w:pPr>
              <w:jc w:val="center"/>
              <w:rPr>
                <w:sz w:val="24"/>
                <w:szCs w:val="24"/>
              </w:rPr>
            </w:pPr>
            <w:r>
              <w:rPr>
                <w:rFonts w:hint="eastAsia"/>
                <w:sz w:val="24"/>
                <w:szCs w:val="24"/>
              </w:rPr>
              <w:t>对外公开</w:t>
            </w:r>
          </w:p>
          <w:p>
            <w:pPr>
              <w:jc w:val="center"/>
              <w:rPr>
                <w:sz w:val="24"/>
                <w:szCs w:val="24"/>
              </w:rPr>
            </w:pPr>
            <w:r>
              <w:rPr>
                <w:rFonts w:hint="eastAsia"/>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rPr>
                <w:sz w:val="24"/>
                <w:szCs w:val="24"/>
              </w:rPr>
            </w:pPr>
            <w:r>
              <w:rPr>
                <w:rFonts w:hint="eastAsia"/>
                <w:sz w:val="24"/>
                <w:szCs w:val="24"/>
              </w:rPr>
              <w:t>规章</w:t>
            </w:r>
          </w:p>
        </w:tc>
        <w:tc>
          <w:tcPr>
            <w:tcW w:w="1985" w:type="dxa"/>
            <w:vAlign w:val="center"/>
          </w:tcPr>
          <w:p>
            <w:pPr>
              <w:rPr>
                <w:rFonts w:hint="eastAsia" w:eastAsia="宋体"/>
                <w:sz w:val="24"/>
                <w:szCs w:val="24"/>
                <w:lang w:val="en-US" w:eastAsia="zh-CN"/>
              </w:rPr>
            </w:pPr>
            <w:r>
              <w:rPr>
                <w:rFonts w:hint="eastAsia"/>
                <w:sz w:val="24"/>
                <w:szCs w:val="24"/>
                <w:lang w:val="en-US" w:eastAsia="zh-CN"/>
              </w:rPr>
              <w:t>0</w:t>
            </w:r>
          </w:p>
        </w:tc>
        <w:tc>
          <w:tcPr>
            <w:tcW w:w="2030" w:type="dxa"/>
            <w:vAlign w:val="center"/>
          </w:tcPr>
          <w:p>
            <w:pPr>
              <w:rPr>
                <w:rFonts w:hint="eastAsia" w:eastAsia="宋体"/>
                <w:sz w:val="24"/>
                <w:szCs w:val="24"/>
                <w:lang w:val="en-US" w:eastAsia="zh-CN"/>
              </w:rPr>
            </w:pPr>
            <w:r>
              <w:rPr>
                <w:rFonts w:hint="eastAsia"/>
                <w:sz w:val="24"/>
                <w:szCs w:val="24"/>
                <w:lang w:val="en-US" w:eastAsia="zh-CN"/>
              </w:rPr>
              <w:t>0</w:t>
            </w:r>
          </w:p>
        </w:tc>
        <w:tc>
          <w:tcPr>
            <w:tcW w:w="2222" w:type="dxa"/>
            <w:vAlign w:val="center"/>
          </w:tcPr>
          <w:p>
            <w:pPr>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rPr>
                <w:sz w:val="24"/>
                <w:szCs w:val="24"/>
              </w:rPr>
            </w:pPr>
            <w:r>
              <w:rPr>
                <w:rFonts w:hint="eastAsia"/>
                <w:sz w:val="24"/>
                <w:szCs w:val="24"/>
              </w:rPr>
              <w:t>规范性文件</w:t>
            </w:r>
          </w:p>
        </w:tc>
        <w:tc>
          <w:tcPr>
            <w:tcW w:w="1985" w:type="dxa"/>
            <w:vAlign w:val="center"/>
          </w:tcPr>
          <w:p>
            <w:pPr>
              <w:rPr>
                <w:rFonts w:hint="default" w:eastAsia="宋体"/>
                <w:sz w:val="24"/>
                <w:szCs w:val="24"/>
                <w:lang w:val="en-US" w:eastAsia="zh-CN"/>
              </w:rPr>
            </w:pPr>
            <w:r>
              <w:rPr>
                <w:rFonts w:hint="eastAsia"/>
                <w:sz w:val="24"/>
                <w:szCs w:val="24"/>
                <w:lang w:val="en-US" w:eastAsia="zh-CN"/>
              </w:rPr>
              <w:t>0</w:t>
            </w:r>
          </w:p>
        </w:tc>
        <w:tc>
          <w:tcPr>
            <w:tcW w:w="2030" w:type="dxa"/>
            <w:vAlign w:val="center"/>
          </w:tcPr>
          <w:p>
            <w:pPr>
              <w:rPr>
                <w:rFonts w:hint="default" w:eastAsia="宋体"/>
                <w:sz w:val="24"/>
                <w:szCs w:val="24"/>
                <w:lang w:val="en-US" w:eastAsia="zh-CN"/>
              </w:rPr>
            </w:pPr>
            <w:r>
              <w:rPr>
                <w:rFonts w:hint="eastAsia"/>
                <w:sz w:val="24"/>
                <w:szCs w:val="24"/>
                <w:lang w:val="en-US" w:eastAsia="zh-CN"/>
              </w:rPr>
              <w:t>0</w:t>
            </w:r>
          </w:p>
        </w:tc>
        <w:tc>
          <w:tcPr>
            <w:tcW w:w="2222" w:type="dxa"/>
            <w:vAlign w:val="center"/>
          </w:tcPr>
          <w:p>
            <w:pPr>
              <w:rPr>
                <w:rFonts w:hint="default" w:eastAsia="宋体"/>
                <w:sz w:val="24"/>
                <w:szCs w:val="24"/>
                <w:lang w:val="en-US" w:eastAsia="zh-CN"/>
              </w:rPr>
            </w:pPr>
            <w:r>
              <w:rPr>
                <w:rFonts w:hint="eastAsia"/>
                <w:sz w:val="24"/>
                <w:szCs w:val="24"/>
                <w:lang w:val="en-US" w:eastAsia="zh-CN"/>
              </w:rPr>
              <w:t>0</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center"/>
              <w:rPr>
                <w:sz w:val="24"/>
                <w:szCs w:val="24"/>
              </w:rPr>
            </w:pPr>
            <w:r>
              <w:rPr>
                <w:rFonts w:hint="eastAsia"/>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rPr>
                <w:sz w:val="24"/>
                <w:szCs w:val="24"/>
              </w:rPr>
            </w:pPr>
            <w:r>
              <w:rPr>
                <w:rFonts w:hint="eastAsia"/>
                <w:sz w:val="24"/>
                <w:szCs w:val="24"/>
              </w:rPr>
              <w:t>上一年项目数量</w:t>
            </w:r>
          </w:p>
        </w:tc>
        <w:tc>
          <w:tcPr>
            <w:tcW w:w="2030" w:type="dxa"/>
            <w:vAlign w:val="center"/>
          </w:tcPr>
          <w:p>
            <w:pPr>
              <w:jc w:val="center"/>
              <w:rPr>
                <w:sz w:val="24"/>
                <w:szCs w:val="24"/>
              </w:rPr>
            </w:pPr>
            <w:r>
              <w:rPr>
                <w:rFonts w:hint="eastAsia"/>
                <w:sz w:val="24"/>
                <w:szCs w:val="24"/>
              </w:rPr>
              <w:t>本年增/减</w:t>
            </w:r>
          </w:p>
        </w:tc>
        <w:tc>
          <w:tcPr>
            <w:tcW w:w="2222" w:type="dxa"/>
            <w:vAlign w:val="center"/>
          </w:tcPr>
          <w:p>
            <w:pPr>
              <w:jc w:val="center"/>
              <w:rPr>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rPr>
                <w:sz w:val="24"/>
                <w:szCs w:val="24"/>
              </w:rPr>
            </w:pPr>
            <w:r>
              <w:rPr>
                <w:rFonts w:hint="eastAsia"/>
                <w:sz w:val="24"/>
                <w:szCs w:val="24"/>
              </w:rPr>
              <w:t>行政许可</w:t>
            </w:r>
          </w:p>
        </w:tc>
        <w:tc>
          <w:tcPr>
            <w:tcW w:w="1985" w:type="dxa"/>
            <w:vAlign w:val="center"/>
          </w:tcPr>
          <w:p>
            <w:pPr>
              <w:rPr>
                <w:rFonts w:hint="eastAsia" w:eastAsia="宋体"/>
                <w:sz w:val="24"/>
                <w:szCs w:val="24"/>
                <w:lang w:val="en-US" w:eastAsia="zh-CN"/>
              </w:rPr>
            </w:pPr>
            <w:r>
              <w:rPr>
                <w:rFonts w:hint="eastAsia"/>
                <w:sz w:val="24"/>
                <w:szCs w:val="24"/>
                <w:lang w:val="en-US" w:eastAsia="zh-CN"/>
              </w:rPr>
              <w:t>0</w:t>
            </w:r>
          </w:p>
        </w:tc>
        <w:tc>
          <w:tcPr>
            <w:tcW w:w="2030" w:type="dxa"/>
            <w:vAlign w:val="center"/>
          </w:tcPr>
          <w:p>
            <w:pPr>
              <w:rPr>
                <w:rFonts w:hint="eastAsia" w:eastAsia="宋体"/>
                <w:sz w:val="24"/>
                <w:szCs w:val="24"/>
                <w:lang w:val="en-US" w:eastAsia="zh-CN"/>
              </w:rPr>
            </w:pPr>
            <w:r>
              <w:rPr>
                <w:rFonts w:hint="eastAsia"/>
                <w:sz w:val="24"/>
                <w:szCs w:val="24"/>
                <w:lang w:val="en-US" w:eastAsia="zh-CN"/>
              </w:rPr>
              <w:t>0</w:t>
            </w:r>
          </w:p>
        </w:tc>
        <w:tc>
          <w:tcPr>
            <w:tcW w:w="2222" w:type="dxa"/>
            <w:vAlign w:val="center"/>
          </w:tcPr>
          <w:p>
            <w:pPr>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94" w:type="dxa"/>
            <w:vAlign w:val="center"/>
          </w:tcPr>
          <w:p>
            <w:pPr>
              <w:rPr>
                <w:sz w:val="24"/>
                <w:szCs w:val="24"/>
              </w:rPr>
            </w:pPr>
            <w:r>
              <w:rPr>
                <w:rFonts w:hint="eastAsia"/>
                <w:sz w:val="24"/>
                <w:szCs w:val="24"/>
              </w:rPr>
              <w:t>其他对外管理服务事项</w:t>
            </w:r>
          </w:p>
        </w:tc>
        <w:tc>
          <w:tcPr>
            <w:tcW w:w="1985" w:type="dxa"/>
            <w:vAlign w:val="center"/>
          </w:tcPr>
          <w:p>
            <w:pPr>
              <w:rPr>
                <w:rFonts w:hint="eastAsia" w:eastAsia="宋体"/>
                <w:sz w:val="24"/>
                <w:szCs w:val="24"/>
                <w:lang w:val="en-US" w:eastAsia="zh-CN"/>
              </w:rPr>
            </w:pPr>
            <w:r>
              <w:rPr>
                <w:rFonts w:hint="eastAsia"/>
                <w:sz w:val="24"/>
                <w:szCs w:val="24"/>
                <w:lang w:val="en-US" w:eastAsia="zh-CN"/>
              </w:rPr>
              <w:t>0</w:t>
            </w:r>
          </w:p>
        </w:tc>
        <w:tc>
          <w:tcPr>
            <w:tcW w:w="2030" w:type="dxa"/>
            <w:vAlign w:val="center"/>
          </w:tcPr>
          <w:p>
            <w:pPr>
              <w:rPr>
                <w:rFonts w:hint="eastAsia" w:eastAsia="宋体"/>
                <w:sz w:val="24"/>
                <w:szCs w:val="24"/>
                <w:lang w:val="en-US" w:eastAsia="zh-CN"/>
              </w:rPr>
            </w:pPr>
            <w:r>
              <w:rPr>
                <w:rFonts w:hint="eastAsia"/>
                <w:sz w:val="24"/>
                <w:szCs w:val="24"/>
                <w:lang w:val="en-US" w:eastAsia="zh-CN"/>
              </w:rPr>
              <w:t>0</w:t>
            </w:r>
          </w:p>
        </w:tc>
        <w:tc>
          <w:tcPr>
            <w:tcW w:w="2222" w:type="dxa"/>
            <w:vAlign w:val="center"/>
          </w:tcPr>
          <w:p>
            <w:pPr>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center"/>
              <w:rPr>
                <w:sz w:val="24"/>
                <w:szCs w:val="24"/>
              </w:rPr>
            </w:pPr>
            <w:r>
              <w:rPr>
                <w:rFonts w:hint="eastAsia"/>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rPr>
                <w:sz w:val="24"/>
                <w:szCs w:val="24"/>
              </w:rPr>
            </w:pPr>
            <w:r>
              <w:rPr>
                <w:rFonts w:hint="eastAsia"/>
                <w:sz w:val="24"/>
                <w:szCs w:val="24"/>
              </w:rPr>
              <w:t>上一年项目数量</w:t>
            </w:r>
          </w:p>
        </w:tc>
        <w:tc>
          <w:tcPr>
            <w:tcW w:w="2030" w:type="dxa"/>
            <w:vAlign w:val="center"/>
          </w:tcPr>
          <w:p>
            <w:pPr>
              <w:jc w:val="center"/>
              <w:rPr>
                <w:sz w:val="24"/>
                <w:szCs w:val="24"/>
              </w:rPr>
            </w:pPr>
            <w:r>
              <w:rPr>
                <w:rFonts w:hint="eastAsia"/>
                <w:sz w:val="24"/>
                <w:szCs w:val="24"/>
              </w:rPr>
              <w:t>本年增/减</w:t>
            </w:r>
          </w:p>
        </w:tc>
        <w:tc>
          <w:tcPr>
            <w:tcW w:w="2222" w:type="dxa"/>
            <w:vAlign w:val="center"/>
          </w:tcPr>
          <w:p>
            <w:pPr>
              <w:jc w:val="center"/>
              <w:rPr>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sz w:val="24"/>
                <w:szCs w:val="24"/>
              </w:rPr>
            </w:pPr>
            <w:r>
              <w:rPr>
                <w:rFonts w:hint="eastAsia"/>
                <w:sz w:val="24"/>
                <w:szCs w:val="24"/>
              </w:rPr>
              <w:t>行政处罚</w:t>
            </w:r>
          </w:p>
        </w:tc>
        <w:tc>
          <w:tcPr>
            <w:tcW w:w="1985" w:type="dxa"/>
            <w:vAlign w:val="center"/>
          </w:tcPr>
          <w:p>
            <w:pPr>
              <w:rPr>
                <w:rFonts w:hint="eastAsia" w:eastAsia="宋体"/>
                <w:sz w:val="24"/>
                <w:szCs w:val="24"/>
                <w:lang w:val="en-US" w:eastAsia="zh-CN"/>
              </w:rPr>
            </w:pPr>
            <w:r>
              <w:rPr>
                <w:rFonts w:hint="eastAsia"/>
                <w:sz w:val="24"/>
                <w:szCs w:val="24"/>
                <w:lang w:val="en-US" w:eastAsia="zh-CN"/>
              </w:rPr>
              <w:t>0</w:t>
            </w:r>
          </w:p>
        </w:tc>
        <w:tc>
          <w:tcPr>
            <w:tcW w:w="2030" w:type="dxa"/>
            <w:vAlign w:val="center"/>
          </w:tcPr>
          <w:p>
            <w:pPr>
              <w:rPr>
                <w:rFonts w:hint="eastAsia" w:eastAsia="宋体"/>
                <w:sz w:val="24"/>
                <w:szCs w:val="24"/>
                <w:lang w:val="en-US" w:eastAsia="zh-CN"/>
              </w:rPr>
            </w:pPr>
            <w:r>
              <w:rPr>
                <w:rFonts w:hint="eastAsia"/>
                <w:sz w:val="24"/>
                <w:szCs w:val="24"/>
                <w:lang w:val="en-US" w:eastAsia="zh-CN"/>
              </w:rPr>
              <w:t>0</w:t>
            </w:r>
          </w:p>
        </w:tc>
        <w:tc>
          <w:tcPr>
            <w:tcW w:w="2222" w:type="dxa"/>
            <w:vAlign w:val="center"/>
          </w:tcPr>
          <w:p>
            <w:pPr>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sz w:val="24"/>
                <w:szCs w:val="24"/>
              </w:rPr>
            </w:pPr>
            <w:r>
              <w:rPr>
                <w:rFonts w:hint="eastAsia"/>
                <w:sz w:val="24"/>
                <w:szCs w:val="24"/>
              </w:rPr>
              <w:t>行政强制</w:t>
            </w:r>
          </w:p>
        </w:tc>
        <w:tc>
          <w:tcPr>
            <w:tcW w:w="1985" w:type="dxa"/>
            <w:vAlign w:val="center"/>
          </w:tcPr>
          <w:p>
            <w:pPr>
              <w:rPr>
                <w:rFonts w:hint="eastAsia" w:eastAsia="宋体"/>
                <w:sz w:val="24"/>
                <w:szCs w:val="24"/>
                <w:lang w:val="en-US" w:eastAsia="zh-CN"/>
              </w:rPr>
            </w:pPr>
            <w:r>
              <w:rPr>
                <w:rFonts w:hint="eastAsia"/>
                <w:sz w:val="24"/>
                <w:szCs w:val="24"/>
                <w:lang w:val="en-US" w:eastAsia="zh-CN"/>
              </w:rPr>
              <w:t>0</w:t>
            </w:r>
          </w:p>
        </w:tc>
        <w:tc>
          <w:tcPr>
            <w:tcW w:w="2030" w:type="dxa"/>
            <w:vAlign w:val="center"/>
          </w:tcPr>
          <w:p>
            <w:pPr>
              <w:rPr>
                <w:rFonts w:hint="eastAsia" w:eastAsia="宋体"/>
                <w:sz w:val="24"/>
                <w:szCs w:val="24"/>
                <w:lang w:val="en-US" w:eastAsia="zh-CN"/>
              </w:rPr>
            </w:pPr>
            <w:r>
              <w:rPr>
                <w:rFonts w:hint="eastAsia"/>
                <w:sz w:val="24"/>
                <w:szCs w:val="24"/>
                <w:lang w:val="en-US" w:eastAsia="zh-CN"/>
              </w:rPr>
              <w:t>0</w:t>
            </w:r>
          </w:p>
        </w:tc>
        <w:tc>
          <w:tcPr>
            <w:tcW w:w="2222" w:type="dxa"/>
            <w:vAlign w:val="center"/>
          </w:tcPr>
          <w:p>
            <w:pPr>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center"/>
              <w:rPr>
                <w:sz w:val="24"/>
                <w:szCs w:val="24"/>
              </w:rPr>
            </w:pPr>
            <w:r>
              <w:rPr>
                <w:rFonts w:hint="eastAsia"/>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rPr>
                <w:sz w:val="24"/>
                <w:szCs w:val="24"/>
              </w:rPr>
            </w:pPr>
            <w:r>
              <w:rPr>
                <w:rFonts w:hint="eastAsia"/>
                <w:sz w:val="24"/>
                <w:szCs w:val="24"/>
              </w:rPr>
              <w:t>上一年项目数量</w:t>
            </w:r>
          </w:p>
        </w:tc>
        <w:tc>
          <w:tcPr>
            <w:tcW w:w="4252" w:type="dxa"/>
            <w:gridSpan w:val="2"/>
            <w:vAlign w:val="center"/>
          </w:tcPr>
          <w:p>
            <w:pPr>
              <w:jc w:val="center"/>
              <w:rPr>
                <w:sz w:val="24"/>
                <w:szCs w:val="24"/>
              </w:rPr>
            </w:pPr>
            <w:r>
              <w:rPr>
                <w:rFonts w:hint="eastAsia"/>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rPr>
                <w:sz w:val="24"/>
                <w:szCs w:val="24"/>
              </w:rPr>
            </w:pPr>
            <w:r>
              <w:rPr>
                <w:rFonts w:hint="eastAsia"/>
                <w:sz w:val="24"/>
                <w:szCs w:val="24"/>
              </w:rPr>
              <w:t>行政事业性收费</w:t>
            </w:r>
          </w:p>
        </w:tc>
        <w:tc>
          <w:tcPr>
            <w:tcW w:w="1985" w:type="dxa"/>
            <w:vAlign w:val="center"/>
          </w:tcPr>
          <w:p>
            <w:pPr>
              <w:rPr>
                <w:rFonts w:hint="eastAsia" w:eastAsia="宋体"/>
                <w:sz w:val="24"/>
                <w:szCs w:val="24"/>
                <w:lang w:val="en-US" w:eastAsia="zh-CN"/>
              </w:rPr>
            </w:pPr>
            <w:r>
              <w:rPr>
                <w:rFonts w:hint="eastAsia"/>
                <w:sz w:val="24"/>
                <w:szCs w:val="24"/>
                <w:lang w:val="en-US" w:eastAsia="zh-CN"/>
              </w:rPr>
              <w:t>0</w:t>
            </w:r>
          </w:p>
        </w:tc>
        <w:tc>
          <w:tcPr>
            <w:tcW w:w="4252" w:type="dxa"/>
            <w:gridSpan w:val="2"/>
            <w:vAlign w:val="center"/>
          </w:tcPr>
          <w:p>
            <w:pPr>
              <w:jc w:val="center"/>
              <w:rPr>
                <w:rFonts w:hint="eastAsia" w:eastAsia="宋体"/>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31" w:type="dxa"/>
            <w:gridSpan w:val="4"/>
            <w:vAlign w:val="center"/>
          </w:tcPr>
          <w:p>
            <w:pPr>
              <w:jc w:val="center"/>
              <w:rPr>
                <w:sz w:val="24"/>
                <w:szCs w:val="24"/>
              </w:rPr>
            </w:pPr>
            <w:r>
              <w:rPr>
                <w:rFonts w:hint="eastAsia"/>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94" w:type="dxa"/>
            <w:vAlign w:val="center"/>
          </w:tcPr>
          <w:p>
            <w:pPr>
              <w:jc w:val="center"/>
              <w:rPr>
                <w:sz w:val="24"/>
                <w:szCs w:val="24"/>
              </w:rPr>
            </w:pPr>
            <w:r>
              <w:rPr>
                <w:rFonts w:hint="eastAsia"/>
                <w:sz w:val="24"/>
                <w:szCs w:val="24"/>
              </w:rPr>
              <w:t>信息内容</w:t>
            </w:r>
          </w:p>
        </w:tc>
        <w:tc>
          <w:tcPr>
            <w:tcW w:w="1985" w:type="dxa"/>
            <w:vAlign w:val="center"/>
          </w:tcPr>
          <w:p>
            <w:pPr>
              <w:jc w:val="center"/>
              <w:rPr>
                <w:sz w:val="24"/>
                <w:szCs w:val="24"/>
              </w:rPr>
            </w:pPr>
            <w:r>
              <w:rPr>
                <w:rFonts w:hint="eastAsia"/>
                <w:sz w:val="24"/>
                <w:szCs w:val="24"/>
              </w:rPr>
              <w:t>采购项目数量</w:t>
            </w:r>
          </w:p>
        </w:tc>
        <w:tc>
          <w:tcPr>
            <w:tcW w:w="4252" w:type="dxa"/>
            <w:gridSpan w:val="2"/>
            <w:vAlign w:val="center"/>
          </w:tcPr>
          <w:p>
            <w:pPr>
              <w:jc w:val="center"/>
              <w:rPr>
                <w:sz w:val="24"/>
                <w:szCs w:val="24"/>
              </w:rPr>
            </w:pPr>
            <w:r>
              <w:rPr>
                <w:rFonts w:hint="eastAsia"/>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694" w:type="dxa"/>
            <w:vAlign w:val="center"/>
          </w:tcPr>
          <w:p>
            <w:pPr>
              <w:rPr>
                <w:sz w:val="24"/>
                <w:szCs w:val="24"/>
              </w:rPr>
            </w:pPr>
            <w:r>
              <w:rPr>
                <w:rFonts w:hint="eastAsia"/>
                <w:sz w:val="24"/>
                <w:szCs w:val="24"/>
              </w:rPr>
              <w:t>政府集中采购</w:t>
            </w:r>
          </w:p>
        </w:tc>
        <w:tc>
          <w:tcPr>
            <w:tcW w:w="1985" w:type="dxa"/>
            <w:vAlign w:val="center"/>
          </w:tcPr>
          <w:p>
            <w:pPr>
              <w:rPr>
                <w:rFonts w:hint="eastAsia" w:eastAsia="宋体"/>
                <w:sz w:val="24"/>
                <w:szCs w:val="24"/>
                <w:lang w:val="en-US" w:eastAsia="zh-CN"/>
              </w:rPr>
            </w:pPr>
            <w:r>
              <w:rPr>
                <w:rFonts w:hint="eastAsia"/>
                <w:sz w:val="24"/>
                <w:szCs w:val="24"/>
                <w:lang w:val="en-US" w:eastAsia="zh-CN"/>
              </w:rPr>
              <w:t>0</w:t>
            </w:r>
          </w:p>
        </w:tc>
        <w:tc>
          <w:tcPr>
            <w:tcW w:w="4252" w:type="dxa"/>
            <w:gridSpan w:val="2"/>
            <w:vAlign w:val="center"/>
          </w:tcPr>
          <w:p>
            <w:pPr>
              <w:ind w:firstLine="1920" w:firstLineChars="800"/>
              <w:rPr>
                <w:rFonts w:hint="eastAsia" w:eastAsia="宋体"/>
                <w:sz w:val="24"/>
                <w:szCs w:val="24"/>
                <w:lang w:val="en-US" w:eastAsia="zh-CN"/>
              </w:rPr>
            </w:pPr>
            <w:r>
              <w:rPr>
                <w:rFonts w:hint="eastAsia"/>
                <w:sz w:val="24"/>
                <w:szCs w:val="24"/>
                <w:lang w:val="en-US" w:eastAsia="zh-CN"/>
              </w:rPr>
              <w:t>0</w:t>
            </w:r>
          </w:p>
        </w:tc>
      </w:tr>
    </w:tbl>
    <w:p>
      <w:pPr>
        <w:widowControl/>
        <w:shd w:val="clear" w:color="auto" w:fill="FFFFFF"/>
        <w:spacing w:after="240" w:line="560" w:lineRule="exact"/>
        <w:ind w:firstLine="482"/>
        <w:rPr>
          <w:rFonts w:ascii="Times New Roman" w:hAnsi="Times New Roman" w:eastAsia="黑体"/>
          <w:kern w:val="0"/>
          <w:sz w:val="32"/>
          <w:szCs w:val="32"/>
        </w:rPr>
      </w:pPr>
      <w:r>
        <w:rPr>
          <w:rFonts w:ascii="Times New Roman" w:hAnsi="Times New Roman" w:eastAsia="黑体"/>
          <w:bCs/>
          <w:kern w:val="0"/>
          <w:sz w:val="32"/>
          <w:szCs w:val="32"/>
        </w:rPr>
        <w:br w:type="page"/>
      </w:r>
      <w:r>
        <w:rPr>
          <w:rFonts w:ascii="Times New Roman" w:hAnsi="Times New Roman" w:eastAsia="黑体"/>
          <w:bCs/>
          <w:kern w:val="0"/>
          <w:sz w:val="32"/>
          <w:szCs w:val="32"/>
        </w:rPr>
        <w:t>三、收到和处理政府信息公开申请情况</w:t>
      </w:r>
    </w:p>
    <w:tbl>
      <w:tblPr>
        <w:tblStyle w:val="9"/>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0"/>
        <w:gridCol w:w="2693"/>
        <w:gridCol w:w="567"/>
        <w:gridCol w:w="538"/>
        <w:gridCol w:w="567"/>
        <w:gridCol w:w="709"/>
        <w:gridCol w:w="709"/>
        <w:gridCol w:w="56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820" w:type="dxa"/>
            <w:gridSpan w:val="3"/>
            <w:vMerge w:val="restart"/>
            <w:vAlign w:val="center"/>
          </w:tcPr>
          <w:p>
            <w:pPr>
              <w:jc w:val="center"/>
            </w:pPr>
            <w:r>
              <w:rPr>
                <w:rFonts w:hint="eastAsia"/>
              </w:rPr>
              <w:t>（本列数据的勾稽关系为：第一项加第二项之和，等于第三项加第四项之和）</w:t>
            </w:r>
          </w:p>
        </w:tc>
        <w:tc>
          <w:tcPr>
            <w:tcW w:w="4365" w:type="dxa"/>
            <w:gridSpan w:val="7"/>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820" w:type="dxa"/>
            <w:gridSpan w:val="3"/>
            <w:vMerge w:val="continue"/>
            <w:vAlign w:val="center"/>
          </w:tcPr>
          <w:p>
            <w:pPr>
              <w:jc w:val="center"/>
            </w:pPr>
          </w:p>
        </w:tc>
        <w:tc>
          <w:tcPr>
            <w:tcW w:w="567" w:type="dxa"/>
            <w:vMerge w:val="restart"/>
            <w:vAlign w:val="center"/>
          </w:tcPr>
          <w:p>
            <w:pPr>
              <w:jc w:val="center"/>
              <w:rPr>
                <w:sz w:val="18"/>
                <w:szCs w:val="18"/>
              </w:rPr>
            </w:pPr>
            <w:r>
              <w:rPr>
                <w:rFonts w:hint="eastAsia"/>
                <w:szCs w:val="21"/>
              </w:rPr>
              <w:t>自然人</w:t>
            </w:r>
          </w:p>
        </w:tc>
        <w:tc>
          <w:tcPr>
            <w:tcW w:w="3090" w:type="dxa"/>
            <w:gridSpan w:val="5"/>
            <w:vAlign w:val="center"/>
          </w:tcPr>
          <w:p>
            <w:pPr>
              <w:jc w:val="center"/>
              <w:rPr>
                <w:szCs w:val="21"/>
              </w:rPr>
            </w:pPr>
            <w:r>
              <w:rPr>
                <w:rFonts w:hint="eastAsia"/>
                <w:szCs w:val="21"/>
              </w:rPr>
              <w:t>法人或其他组织</w:t>
            </w:r>
          </w:p>
        </w:tc>
        <w:tc>
          <w:tcPr>
            <w:tcW w:w="708" w:type="dxa"/>
            <w:vMerge w:val="restart"/>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820" w:type="dxa"/>
            <w:gridSpan w:val="3"/>
            <w:vMerge w:val="continue"/>
            <w:vAlign w:val="center"/>
          </w:tcPr>
          <w:p/>
        </w:tc>
        <w:tc>
          <w:tcPr>
            <w:tcW w:w="567" w:type="dxa"/>
            <w:vMerge w:val="continue"/>
            <w:vAlign w:val="center"/>
          </w:tcPr>
          <w:p>
            <w:pPr>
              <w:rPr>
                <w:sz w:val="18"/>
                <w:szCs w:val="18"/>
              </w:rPr>
            </w:pPr>
          </w:p>
        </w:tc>
        <w:tc>
          <w:tcPr>
            <w:tcW w:w="538" w:type="dxa"/>
            <w:vAlign w:val="center"/>
          </w:tcPr>
          <w:p>
            <w:pPr>
              <w:jc w:val="center"/>
              <w:rPr>
                <w:szCs w:val="21"/>
              </w:rPr>
            </w:pPr>
            <w:r>
              <w:rPr>
                <w:rFonts w:hint="eastAsia"/>
                <w:szCs w:val="21"/>
              </w:rPr>
              <w:t>商业企业</w:t>
            </w:r>
          </w:p>
        </w:tc>
        <w:tc>
          <w:tcPr>
            <w:tcW w:w="567" w:type="dxa"/>
            <w:vAlign w:val="center"/>
          </w:tcPr>
          <w:p>
            <w:pPr>
              <w:jc w:val="center"/>
              <w:rPr>
                <w:szCs w:val="21"/>
              </w:rPr>
            </w:pPr>
            <w:r>
              <w:rPr>
                <w:rFonts w:hint="eastAsia"/>
                <w:szCs w:val="21"/>
              </w:rPr>
              <w:t>科研机构</w:t>
            </w:r>
          </w:p>
        </w:tc>
        <w:tc>
          <w:tcPr>
            <w:tcW w:w="709" w:type="dxa"/>
            <w:vAlign w:val="center"/>
          </w:tcPr>
          <w:p>
            <w:pPr>
              <w:jc w:val="center"/>
              <w:rPr>
                <w:szCs w:val="21"/>
              </w:rPr>
            </w:pPr>
            <w:r>
              <w:rPr>
                <w:rFonts w:hint="eastAsia"/>
                <w:szCs w:val="21"/>
              </w:rPr>
              <w:t>社会公益组织</w:t>
            </w:r>
          </w:p>
        </w:tc>
        <w:tc>
          <w:tcPr>
            <w:tcW w:w="709" w:type="dxa"/>
            <w:vAlign w:val="center"/>
          </w:tcPr>
          <w:p>
            <w:pPr>
              <w:jc w:val="center"/>
              <w:rPr>
                <w:szCs w:val="21"/>
              </w:rPr>
            </w:pPr>
            <w:r>
              <w:rPr>
                <w:rFonts w:hint="eastAsia"/>
                <w:szCs w:val="21"/>
              </w:rPr>
              <w:t>法律服务机构</w:t>
            </w:r>
          </w:p>
        </w:tc>
        <w:tc>
          <w:tcPr>
            <w:tcW w:w="567" w:type="dxa"/>
            <w:vAlign w:val="center"/>
          </w:tcPr>
          <w:p>
            <w:pPr>
              <w:jc w:val="center"/>
              <w:rPr>
                <w:szCs w:val="21"/>
              </w:rPr>
            </w:pPr>
            <w:r>
              <w:rPr>
                <w:rFonts w:hint="eastAsia"/>
                <w:szCs w:val="21"/>
              </w:rPr>
              <w:t>其他</w:t>
            </w:r>
          </w:p>
        </w:tc>
        <w:tc>
          <w:tcPr>
            <w:tcW w:w="708"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0" w:type="dxa"/>
            <w:gridSpan w:val="3"/>
            <w:vAlign w:val="center"/>
          </w:tcPr>
          <w:p>
            <w:r>
              <w:rPr>
                <w:rFonts w:hint="eastAsia"/>
              </w:rPr>
              <w:t>一、本年新收政府信息公开申请数量</w:t>
            </w:r>
          </w:p>
        </w:tc>
        <w:tc>
          <w:tcPr>
            <w:tcW w:w="567" w:type="dxa"/>
            <w:vAlign w:val="center"/>
          </w:tcPr>
          <w:p>
            <w:pPr>
              <w:rPr>
                <w:rFonts w:hint="eastAsia" w:eastAsia="宋体"/>
                <w:lang w:val="en-US" w:eastAsia="zh-CN"/>
              </w:rPr>
            </w:pPr>
            <w:r>
              <w:rPr>
                <w:rFonts w:hint="eastAsia"/>
                <w:lang w:val="en-US" w:eastAsia="zh-CN"/>
              </w:rPr>
              <w:t>0</w:t>
            </w:r>
          </w:p>
        </w:tc>
        <w:tc>
          <w:tcPr>
            <w:tcW w:w="538" w:type="dxa"/>
            <w:vAlign w:val="center"/>
          </w:tcPr>
          <w:p>
            <w:pPr>
              <w:rPr>
                <w:rFonts w:hint="eastAsia" w:eastAsia="宋体"/>
                <w:szCs w:val="21"/>
                <w:lang w:val="en-US" w:eastAsia="zh-CN"/>
              </w:rPr>
            </w:pPr>
            <w:r>
              <w:rPr>
                <w:rFonts w:hint="eastAsia"/>
                <w:szCs w:val="21"/>
                <w:lang w:val="en-US" w:eastAsia="zh-CN"/>
              </w:rPr>
              <w:t>0</w:t>
            </w:r>
          </w:p>
        </w:tc>
        <w:tc>
          <w:tcPr>
            <w:tcW w:w="567" w:type="dxa"/>
            <w:vAlign w:val="center"/>
          </w:tcPr>
          <w:p>
            <w:pPr>
              <w:rPr>
                <w:rFonts w:hint="eastAsia" w:eastAsia="宋体"/>
                <w:szCs w:val="21"/>
                <w:lang w:val="en-US" w:eastAsia="zh-CN"/>
              </w:rPr>
            </w:pPr>
            <w:r>
              <w:rPr>
                <w:rFonts w:hint="eastAsia"/>
                <w:szCs w:val="21"/>
                <w:lang w:val="en-US" w:eastAsia="zh-CN"/>
              </w:rPr>
              <w:t>0</w:t>
            </w:r>
          </w:p>
        </w:tc>
        <w:tc>
          <w:tcPr>
            <w:tcW w:w="709" w:type="dxa"/>
            <w:vAlign w:val="center"/>
          </w:tcPr>
          <w:p>
            <w:pPr>
              <w:rPr>
                <w:rFonts w:hint="eastAsia" w:eastAsia="宋体"/>
                <w:szCs w:val="21"/>
                <w:lang w:val="en-US" w:eastAsia="zh-CN"/>
              </w:rPr>
            </w:pPr>
            <w:r>
              <w:rPr>
                <w:rFonts w:hint="eastAsia"/>
                <w:szCs w:val="21"/>
                <w:lang w:val="en-US" w:eastAsia="zh-CN"/>
              </w:rPr>
              <w:t>0</w:t>
            </w:r>
          </w:p>
        </w:tc>
        <w:tc>
          <w:tcPr>
            <w:tcW w:w="709" w:type="dxa"/>
            <w:vAlign w:val="center"/>
          </w:tcPr>
          <w:p>
            <w:pPr>
              <w:rPr>
                <w:rFonts w:hint="eastAsia" w:eastAsia="宋体"/>
                <w:szCs w:val="21"/>
                <w:lang w:val="en-US" w:eastAsia="zh-CN"/>
              </w:rPr>
            </w:pPr>
            <w:r>
              <w:rPr>
                <w:rFonts w:hint="eastAsia"/>
                <w:szCs w:val="21"/>
                <w:lang w:val="en-US" w:eastAsia="zh-CN"/>
              </w:rPr>
              <w:t>0</w:t>
            </w:r>
          </w:p>
        </w:tc>
        <w:tc>
          <w:tcPr>
            <w:tcW w:w="567" w:type="dxa"/>
            <w:vAlign w:val="center"/>
          </w:tcPr>
          <w:p>
            <w:pPr>
              <w:rPr>
                <w:rFonts w:hint="eastAsia" w:eastAsia="宋体"/>
                <w:szCs w:val="21"/>
                <w:lang w:val="en-US" w:eastAsia="zh-CN"/>
              </w:rPr>
            </w:pPr>
            <w:r>
              <w:rPr>
                <w:rFonts w:hint="eastAsia"/>
                <w:szCs w:val="21"/>
                <w:lang w:val="en-US" w:eastAsia="zh-CN"/>
              </w:rPr>
              <w:t>0</w:t>
            </w:r>
          </w:p>
        </w:tc>
        <w:tc>
          <w:tcPr>
            <w:tcW w:w="708" w:type="dxa"/>
            <w:vAlign w:val="center"/>
          </w:tcPr>
          <w:p>
            <w:pPr>
              <w:rPr>
                <w:rFonts w:hint="eastAsia" w:eastAsia="宋体"/>
                <w:szCs w:val="21"/>
                <w:lang w:val="en-US" w:eastAsia="zh-CN"/>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0" w:type="dxa"/>
            <w:gridSpan w:val="3"/>
            <w:vAlign w:val="center"/>
          </w:tcPr>
          <w:p>
            <w:r>
              <w:rPr>
                <w:rFonts w:hint="eastAsia"/>
              </w:rPr>
              <w:t>二、上年结转政府信息公开申请数量</w:t>
            </w:r>
          </w:p>
        </w:tc>
        <w:tc>
          <w:tcPr>
            <w:tcW w:w="567" w:type="dxa"/>
            <w:vAlign w:val="center"/>
          </w:tcPr>
          <w:p>
            <w:pPr>
              <w:rPr>
                <w:rFonts w:hint="eastAsia" w:eastAsia="宋体"/>
                <w:lang w:val="en-US" w:eastAsia="zh-CN"/>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eastAsia="宋体"/>
                <w:lang w:val="en-US" w:eastAsia="zh-CN"/>
              </w:rPr>
            </w:pPr>
            <w:r>
              <w:rPr>
                <w:rFonts w:hint="eastAsia"/>
                <w:lang w:val="en-US" w:eastAsia="zh-CN"/>
              </w:rPr>
              <w:t>0</w:t>
            </w:r>
          </w:p>
        </w:tc>
        <w:tc>
          <w:tcPr>
            <w:tcW w:w="709" w:type="dxa"/>
            <w:vAlign w:val="center"/>
          </w:tcPr>
          <w:p>
            <w:pPr>
              <w:rPr>
                <w:rFonts w:hint="eastAsia" w:eastAsia="宋体"/>
                <w:lang w:val="en-US" w:eastAsia="zh-CN"/>
              </w:rPr>
            </w:pPr>
            <w:r>
              <w:rPr>
                <w:rFonts w:hint="eastAsia"/>
                <w:lang w:val="en-US" w:eastAsia="zh-CN"/>
              </w:rPr>
              <w:t>0</w:t>
            </w:r>
          </w:p>
        </w:tc>
        <w:tc>
          <w:tcPr>
            <w:tcW w:w="709" w:type="dxa"/>
            <w:vAlign w:val="center"/>
          </w:tcPr>
          <w:p>
            <w:pPr>
              <w:rPr>
                <w:rFonts w:hint="eastAsia" w:eastAsia="宋体"/>
                <w:lang w:val="en-US" w:eastAsia="zh-CN"/>
              </w:rPr>
            </w:pPr>
            <w:r>
              <w:rPr>
                <w:rFonts w:hint="eastAsia"/>
                <w:lang w:val="en-US" w:eastAsia="zh-CN"/>
              </w:rPr>
              <w:t>0</w:t>
            </w:r>
          </w:p>
        </w:tc>
        <w:tc>
          <w:tcPr>
            <w:tcW w:w="567" w:type="dxa"/>
            <w:vAlign w:val="center"/>
          </w:tcPr>
          <w:p>
            <w:pPr>
              <w:rPr>
                <w:rFonts w:hint="eastAsia" w:eastAsia="宋体"/>
                <w:lang w:val="en-US" w:eastAsia="zh-CN"/>
              </w:rPr>
            </w:pPr>
            <w:r>
              <w:rPr>
                <w:rFonts w:hint="eastAsia"/>
                <w:lang w:val="en-US" w:eastAsia="zh-CN"/>
              </w:rPr>
              <w:t>0</w:t>
            </w:r>
          </w:p>
        </w:tc>
        <w:tc>
          <w:tcPr>
            <w:tcW w:w="708" w:type="dxa"/>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restart"/>
            <w:vAlign w:val="center"/>
          </w:tcPr>
          <w:p>
            <w:r>
              <w:rPr>
                <w:rFonts w:hint="eastAsia"/>
              </w:rPr>
              <w:t>三、本年度办理结果</w:t>
            </w:r>
          </w:p>
        </w:tc>
        <w:tc>
          <w:tcPr>
            <w:tcW w:w="4253" w:type="dxa"/>
            <w:gridSpan w:val="2"/>
            <w:vAlign w:val="center"/>
          </w:tcPr>
          <w:p>
            <w:pPr>
              <w:rPr>
                <w:rFonts w:asciiTheme="minorEastAsia" w:hAnsiTheme="minorEastAsia"/>
                <w:sz w:val="18"/>
                <w:szCs w:val="18"/>
              </w:rPr>
            </w:pPr>
            <w:r>
              <w:rPr>
                <w:rFonts w:hint="eastAsia" w:asciiTheme="minorEastAsia" w:hAnsiTheme="minorEastAsia"/>
                <w:sz w:val="18"/>
                <w:szCs w:val="18"/>
              </w:rPr>
              <w:t>（一）予以公开</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4253" w:type="dxa"/>
            <w:gridSpan w:val="2"/>
            <w:vAlign w:val="center"/>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8"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693" w:type="dxa"/>
            <w:vAlign w:val="center"/>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rFonts w:asciiTheme="minorEastAsia" w:hAnsiTheme="minorEastAsia"/>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8"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3．危及“三安全一稳定”</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8"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8"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7．属于行政执法案卷</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8．属于行政查询事项</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8"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restart"/>
            <w:vAlign w:val="center"/>
          </w:tcPr>
          <w:p>
            <w:pPr>
              <w:rPr>
                <w:sz w:val="18"/>
                <w:szCs w:val="18"/>
              </w:rPr>
            </w:pPr>
            <w:r>
              <w:rPr>
                <w:rFonts w:hint="eastAsia"/>
                <w:sz w:val="18"/>
                <w:szCs w:val="18"/>
              </w:rPr>
              <w:t>（四）无法提供</w:t>
            </w: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8"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pPr>
              <w:rPr>
                <w:sz w:val="18"/>
                <w:szCs w:val="18"/>
              </w:rPr>
            </w:p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restart"/>
            <w:vAlign w:val="center"/>
          </w:tcPr>
          <w:p>
            <w:pPr>
              <w:rPr>
                <w:sz w:val="18"/>
                <w:szCs w:val="18"/>
              </w:rPr>
            </w:pPr>
            <w:r>
              <w:rPr>
                <w:rFonts w:hint="eastAsia"/>
                <w:sz w:val="18"/>
                <w:szCs w:val="18"/>
              </w:rPr>
              <w:t>（五）</w:t>
            </w:r>
            <w:r>
              <w:rPr>
                <w:rFonts w:hint="eastAsia" w:asciiTheme="minorEastAsia" w:hAnsiTheme="minorEastAsia"/>
                <w:sz w:val="18"/>
                <w:szCs w:val="18"/>
              </w:rPr>
              <w:t>不予处理</w:t>
            </w: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8"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2．重复申请</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tc>
        <w:tc>
          <w:tcPr>
            <w:tcW w:w="2693" w:type="dxa"/>
            <w:vAlign w:val="center"/>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8"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tc>
        <w:tc>
          <w:tcPr>
            <w:tcW w:w="2693" w:type="dxa"/>
            <w:vAlign w:val="center"/>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9"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70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tc>
        <w:tc>
          <w:tcPr>
            <w:tcW w:w="1560" w:type="dxa"/>
            <w:vMerge w:val="continue"/>
            <w:vAlign w:val="center"/>
          </w:tcPr>
          <w:p/>
        </w:tc>
        <w:tc>
          <w:tcPr>
            <w:tcW w:w="2693" w:type="dxa"/>
            <w:vAlign w:val="center"/>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8"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tc>
        <w:tc>
          <w:tcPr>
            <w:tcW w:w="4253" w:type="dxa"/>
            <w:gridSpan w:val="2"/>
            <w:vAlign w:val="center"/>
          </w:tcPr>
          <w:p>
            <w:pPr>
              <w:rPr>
                <w:sz w:val="18"/>
                <w:szCs w:val="18"/>
              </w:rPr>
            </w:pPr>
            <w:r>
              <w:rPr>
                <w:rFonts w:hint="eastAsia"/>
                <w:sz w:val="18"/>
                <w:szCs w:val="18"/>
              </w:rPr>
              <w:t>（六）其他处理</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8"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tc>
        <w:tc>
          <w:tcPr>
            <w:tcW w:w="4253" w:type="dxa"/>
            <w:gridSpan w:val="2"/>
            <w:vAlign w:val="center"/>
          </w:tcPr>
          <w:p>
            <w:pPr>
              <w:rPr>
                <w:sz w:val="18"/>
                <w:szCs w:val="18"/>
              </w:rPr>
            </w:pPr>
            <w:r>
              <w:rPr>
                <w:rFonts w:hint="eastAsia"/>
                <w:sz w:val="18"/>
                <w:szCs w:val="18"/>
              </w:rPr>
              <w:t>（七）总计</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8"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0" w:type="dxa"/>
            <w:gridSpan w:val="3"/>
            <w:vAlign w:val="center"/>
          </w:tcPr>
          <w:p>
            <w:r>
              <w:rPr>
                <w:rFonts w:hint="eastAsia"/>
              </w:rPr>
              <w:t>四、结转下年度继续办理</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38" w:type="dxa"/>
            <w:vAlign w:val="center"/>
          </w:tcPr>
          <w:p>
            <w:pPr>
              <w:rPr>
                <w:rFonts w:hint="eastAsia" w:ascii="Calibri" w:hAnsi="Calibri" w:eastAsia="宋体" w:cs="Times New Roman"/>
                <w:kern w:val="2"/>
                <w:sz w:val="21"/>
                <w:szCs w:val="21"/>
                <w:lang w:val="en-US" w:eastAsia="zh-CN" w:bidi="ar-SA"/>
              </w:rPr>
            </w:pPr>
            <w:r>
              <w:rPr>
                <w:rFonts w:hint="eastAsia"/>
                <w:szCs w:val="21"/>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9"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567"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c>
          <w:tcPr>
            <w:tcW w:w="708" w:type="dxa"/>
            <w:vAlign w:val="center"/>
          </w:tcPr>
          <w:p>
            <w:pPr>
              <w:rPr>
                <w:rFonts w:hint="eastAsia" w:ascii="Calibri" w:hAnsi="Calibri" w:eastAsia="宋体" w:cs="Times New Roman"/>
                <w:kern w:val="2"/>
                <w:sz w:val="21"/>
                <w:szCs w:val="22"/>
                <w:lang w:val="en-US" w:eastAsia="zh-CN" w:bidi="ar-SA"/>
              </w:rPr>
            </w:pPr>
            <w:r>
              <w:rPr>
                <w:rFonts w:hint="eastAsia"/>
                <w:lang w:val="en-US" w:eastAsia="zh-CN"/>
              </w:rPr>
              <w:t>0</w:t>
            </w:r>
          </w:p>
        </w:tc>
      </w:tr>
    </w:tbl>
    <w:p>
      <w:pPr>
        <w:widowControl/>
        <w:shd w:val="clear" w:color="auto" w:fill="FFFFFF"/>
        <w:ind w:firstLine="480"/>
        <w:rPr>
          <w:rFonts w:ascii="Times New Roman" w:hAnsi="Times New Roman"/>
          <w:kern w:val="0"/>
          <w:sz w:val="24"/>
          <w:szCs w:val="24"/>
        </w:rPr>
      </w:pPr>
    </w:p>
    <w:p>
      <w:pPr>
        <w:widowControl/>
        <w:numPr>
          <w:ilvl w:val="0"/>
          <w:numId w:val="3"/>
        </w:numPr>
        <w:shd w:val="clear" w:color="auto" w:fill="FFFFFF"/>
        <w:ind w:firstLine="480"/>
        <w:rPr>
          <w:rFonts w:ascii="Times New Roman" w:hAnsi="Times New Roman" w:eastAsia="黑体"/>
          <w:bCs/>
          <w:kern w:val="0"/>
          <w:sz w:val="32"/>
          <w:szCs w:val="32"/>
        </w:rPr>
      </w:pPr>
      <w:r>
        <w:rPr>
          <w:rFonts w:ascii="Times New Roman" w:hAnsi="Times New Roman"/>
          <w:kern w:val="0"/>
          <w:sz w:val="24"/>
          <w:szCs w:val="24"/>
        </w:rPr>
        <w:br w:type="page"/>
      </w:r>
      <w:r>
        <w:rPr>
          <w:rFonts w:ascii="Times New Roman" w:hAnsi="Times New Roman" w:eastAsia="黑体"/>
          <w:bCs/>
          <w:kern w:val="0"/>
          <w:sz w:val="32"/>
          <w:szCs w:val="32"/>
        </w:rPr>
        <w:t>政府信息公开行政复议、行政诉讼情况</w:t>
      </w:r>
    </w:p>
    <w:p>
      <w:pPr>
        <w:widowControl/>
        <w:shd w:val="clear" w:color="auto" w:fill="FFFFFF"/>
        <w:rPr>
          <w:rFonts w:ascii="Times New Roman" w:hAnsi="Times New Roman" w:eastAsia="黑体"/>
          <w:bCs/>
          <w:kern w:val="0"/>
          <w:sz w:val="32"/>
          <w:szCs w:val="32"/>
        </w:rPr>
      </w:pPr>
    </w:p>
    <w:tbl>
      <w:tblPr>
        <w:tblStyle w:val="9"/>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568"/>
        <w:gridCol w:w="567"/>
        <w:gridCol w:w="567"/>
        <w:gridCol w:w="567"/>
        <w:gridCol w:w="567"/>
        <w:gridCol w:w="567"/>
        <w:gridCol w:w="567"/>
        <w:gridCol w:w="567"/>
        <w:gridCol w:w="567"/>
        <w:gridCol w:w="567"/>
        <w:gridCol w:w="567"/>
        <w:gridCol w:w="567"/>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7" w:type="dxa"/>
            <w:gridSpan w:val="5"/>
            <w:vAlign w:val="center"/>
          </w:tcPr>
          <w:p>
            <w:pPr>
              <w:jc w:val="center"/>
              <w:rPr>
                <w:sz w:val="24"/>
                <w:szCs w:val="24"/>
              </w:rPr>
            </w:pPr>
            <w:r>
              <w:rPr>
                <w:rFonts w:hint="eastAsia"/>
                <w:sz w:val="24"/>
                <w:szCs w:val="24"/>
              </w:rPr>
              <w:t>行政复议</w:t>
            </w:r>
          </w:p>
        </w:tc>
        <w:tc>
          <w:tcPr>
            <w:tcW w:w="5670" w:type="dxa"/>
            <w:gridSpan w:val="10"/>
            <w:vAlign w:val="center"/>
          </w:tcPr>
          <w:p>
            <w:pPr>
              <w:jc w:val="center"/>
              <w:rPr>
                <w:sz w:val="24"/>
                <w:szCs w:val="24"/>
              </w:rPr>
            </w:pPr>
            <w:r>
              <w:rPr>
                <w:rFonts w:hint="eastAsia"/>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Merge w:val="restart"/>
            <w:vAlign w:val="center"/>
          </w:tcPr>
          <w:p>
            <w:pPr>
              <w:jc w:val="center"/>
              <w:rPr>
                <w:sz w:val="24"/>
                <w:szCs w:val="24"/>
              </w:rPr>
            </w:pPr>
            <w:r>
              <w:rPr>
                <w:rFonts w:hint="eastAsia"/>
                <w:sz w:val="24"/>
                <w:szCs w:val="24"/>
              </w:rPr>
              <w:t>结果维持</w:t>
            </w:r>
          </w:p>
        </w:tc>
        <w:tc>
          <w:tcPr>
            <w:tcW w:w="568" w:type="dxa"/>
            <w:vMerge w:val="restart"/>
            <w:vAlign w:val="center"/>
          </w:tcPr>
          <w:p>
            <w:pPr>
              <w:jc w:val="center"/>
              <w:rPr>
                <w:sz w:val="24"/>
                <w:szCs w:val="24"/>
              </w:rPr>
            </w:pPr>
            <w:r>
              <w:rPr>
                <w:rFonts w:hint="eastAsia"/>
                <w:sz w:val="24"/>
                <w:szCs w:val="24"/>
              </w:rPr>
              <w:t>结果纠正</w:t>
            </w:r>
          </w:p>
        </w:tc>
        <w:tc>
          <w:tcPr>
            <w:tcW w:w="567" w:type="dxa"/>
            <w:vMerge w:val="restart"/>
            <w:vAlign w:val="center"/>
          </w:tcPr>
          <w:p>
            <w:pPr>
              <w:jc w:val="center"/>
              <w:rPr>
                <w:sz w:val="24"/>
                <w:szCs w:val="24"/>
              </w:rPr>
            </w:pPr>
            <w:r>
              <w:rPr>
                <w:rFonts w:hint="eastAsia"/>
                <w:sz w:val="24"/>
                <w:szCs w:val="24"/>
              </w:rPr>
              <w:t>其他结果</w:t>
            </w:r>
          </w:p>
        </w:tc>
        <w:tc>
          <w:tcPr>
            <w:tcW w:w="567" w:type="dxa"/>
            <w:vMerge w:val="restart"/>
            <w:vAlign w:val="center"/>
          </w:tcPr>
          <w:p>
            <w:pPr>
              <w:jc w:val="center"/>
              <w:rPr>
                <w:sz w:val="24"/>
                <w:szCs w:val="24"/>
              </w:rPr>
            </w:pPr>
            <w:r>
              <w:rPr>
                <w:rFonts w:hint="eastAsia"/>
                <w:sz w:val="24"/>
                <w:szCs w:val="24"/>
              </w:rPr>
              <w:t>尚未审结</w:t>
            </w:r>
          </w:p>
        </w:tc>
        <w:tc>
          <w:tcPr>
            <w:tcW w:w="567" w:type="dxa"/>
            <w:vMerge w:val="restart"/>
            <w:vAlign w:val="center"/>
          </w:tcPr>
          <w:p>
            <w:pPr>
              <w:jc w:val="center"/>
              <w:rPr>
                <w:sz w:val="24"/>
                <w:szCs w:val="24"/>
              </w:rPr>
            </w:pPr>
            <w:r>
              <w:rPr>
                <w:rFonts w:hint="eastAsia"/>
                <w:sz w:val="24"/>
                <w:szCs w:val="24"/>
              </w:rPr>
              <w:t>总计</w:t>
            </w:r>
          </w:p>
        </w:tc>
        <w:tc>
          <w:tcPr>
            <w:tcW w:w="2835" w:type="dxa"/>
            <w:gridSpan w:val="5"/>
            <w:vAlign w:val="center"/>
          </w:tcPr>
          <w:p>
            <w:pPr>
              <w:jc w:val="center"/>
              <w:rPr>
                <w:sz w:val="24"/>
                <w:szCs w:val="24"/>
              </w:rPr>
            </w:pPr>
            <w:r>
              <w:rPr>
                <w:rFonts w:hint="eastAsia"/>
                <w:sz w:val="24"/>
                <w:szCs w:val="24"/>
              </w:rPr>
              <w:t>未经复议直接起诉</w:t>
            </w:r>
          </w:p>
        </w:tc>
        <w:tc>
          <w:tcPr>
            <w:tcW w:w="2835" w:type="dxa"/>
            <w:gridSpan w:val="5"/>
            <w:vAlign w:val="center"/>
          </w:tcPr>
          <w:p>
            <w:pPr>
              <w:jc w:val="center"/>
              <w:rPr>
                <w:sz w:val="24"/>
                <w:szCs w:val="24"/>
              </w:rPr>
            </w:pPr>
            <w:r>
              <w:rPr>
                <w:rFonts w:hint="eastAsia"/>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538" w:type="dxa"/>
            <w:vMerge w:val="continue"/>
            <w:vAlign w:val="center"/>
          </w:tcPr>
          <w:p>
            <w:pPr>
              <w:jc w:val="center"/>
              <w:rPr>
                <w:sz w:val="24"/>
                <w:szCs w:val="24"/>
              </w:rPr>
            </w:pPr>
          </w:p>
        </w:tc>
        <w:tc>
          <w:tcPr>
            <w:tcW w:w="568" w:type="dxa"/>
            <w:vMerge w:val="continue"/>
            <w:vAlign w:val="center"/>
          </w:tcPr>
          <w:p>
            <w:pPr>
              <w:jc w:val="center"/>
              <w:rPr>
                <w:sz w:val="24"/>
                <w:szCs w:val="24"/>
              </w:rPr>
            </w:pPr>
          </w:p>
        </w:tc>
        <w:tc>
          <w:tcPr>
            <w:tcW w:w="567" w:type="dxa"/>
            <w:vMerge w:val="continue"/>
            <w:vAlign w:val="center"/>
          </w:tcPr>
          <w:p>
            <w:pPr>
              <w:jc w:val="center"/>
              <w:rPr>
                <w:sz w:val="24"/>
                <w:szCs w:val="24"/>
              </w:rPr>
            </w:pPr>
          </w:p>
        </w:tc>
        <w:tc>
          <w:tcPr>
            <w:tcW w:w="567" w:type="dxa"/>
            <w:vMerge w:val="continue"/>
            <w:vAlign w:val="center"/>
          </w:tcPr>
          <w:p>
            <w:pPr>
              <w:jc w:val="center"/>
              <w:rPr>
                <w:sz w:val="24"/>
                <w:szCs w:val="24"/>
              </w:rPr>
            </w:pPr>
          </w:p>
        </w:tc>
        <w:tc>
          <w:tcPr>
            <w:tcW w:w="567" w:type="dxa"/>
            <w:vMerge w:val="continue"/>
            <w:vAlign w:val="center"/>
          </w:tcPr>
          <w:p>
            <w:pPr>
              <w:jc w:val="center"/>
              <w:rPr>
                <w:sz w:val="24"/>
                <w:szCs w:val="24"/>
              </w:rPr>
            </w:pPr>
          </w:p>
        </w:tc>
        <w:tc>
          <w:tcPr>
            <w:tcW w:w="567" w:type="dxa"/>
            <w:vAlign w:val="center"/>
          </w:tcPr>
          <w:p>
            <w:pPr>
              <w:jc w:val="center"/>
              <w:rPr>
                <w:sz w:val="24"/>
                <w:szCs w:val="24"/>
              </w:rPr>
            </w:pPr>
            <w:r>
              <w:rPr>
                <w:rFonts w:hint="eastAsia"/>
                <w:sz w:val="24"/>
                <w:szCs w:val="24"/>
              </w:rPr>
              <w:t>结果维持</w:t>
            </w:r>
          </w:p>
        </w:tc>
        <w:tc>
          <w:tcPr>
            <w:tcW w:w="567" w:type="dxa"/>
            <w:vAlign w:val="center"/>
          </w:tcPr>
          <w:p>
            <w:pPr>
              <w:jc w:val="center"/>
              <w:rPr>
                <w:sz w:val="24"/>
                <w:szCs w:val="24"/>
              </w:rPr>
            </w:pPr>
            <w:r>
              <w:rPr>
                <w:rFonts w:hint="eastAsia"/>
                <w:sz w:val="24"/>
                <w:szCs w:val="24"/>
              </w:rPr>
              <w:t>结果纠正</w:t>
            </w:r>
          </w:p>
        </w:tc>
        <w:tc>
          <w:tcPr>
            <w:tcW w:w="567" w:type="dxa"/>
            <w:vAlign w:val="center"/>
          </w:tcPr>
          <w:p>
            <w:pPr>
              <w:jc w:val="center"/>
              <w:rPr>
                <w:sz w:val="24"/>
                <w:szCs w:val="24"/>
              </w:rPr>
            </w:pPr>
            <w:r>
              <w:rPr>
                <w:rFonts w:hint="eastAsia"/>
                <w:sz w:val="24"/>
                <w:szCs w:val="24"/>
              </w:rPr>
              <w:t>其他结果</w:t>
            </w:r>
          </w:p>
        </w:tc>
        <w:tc>
          <w:tcPr>
            <w:tcW w:w="567" w:type="dxa"/>
            <w:vAlign w:val="center"/>
          </w:tcPr>
          <w:p>
            <w:pPr>
              <w:jc w:val="center"/>
              <w:rPr>
                <w:sz w:val="24"/>
                <w:szCs w:val="24"/>
              </w:rPr>
            </w:pPr>
            <w:r>
              <w:rPr>
                <w:rFonts w:hint="eastAsia"/>
                <w:sz w:val="24"/>
                <w:szCs w:val="24"/>
              </w:rPr>
              <w:t>尚未审结</w:t>
            </w:r>
          </w:p>
        </w:tc>
        <w:tc>
          <w:tcPr>
            <w:tcW w:w="567" w:type="dxa"/>
            <w:vAlign w:val="center"/>
          </w:tcPr>
          <w:p>
            <w:pPr>
              <w:jc w:val="center"/>
              <w:rPr>
                <w:sz w:val="24"/>
                <w:szCs w:val="24"/>
              </w:rPr>
            </w:pPr>
            <w:r>
              <w:rPr>
                <w:rFonts w:hint="eastAsia"/>
                <w:sz w:val="24"/>
                <w:szCs w:val="24"/>
              </w:rPr>
              <w:t>总计</w:t>
            </w:r>
          </w:p>
        </w:tc>
        <w:tc>
          <w:tcPr>
            <w:tcW w:w="567" w:type="dxa"/>
            <w:vAlign w:val="center"/>
          </w:tcPr>
          <w:p>
            <w:pPr>
              <w:jc w:val="center"/>
              <w:rPr>
                <w:sz w:val="24"/>
                <w:szCs w:val="24"/>
              </w:rPr>
            </w:pPr>
            <w:r>
              <w:rPr>
                <w:rFonts w:hint="eastAsia"/>
                <w:sz w:val="24"/>
                <w:szCs w:val="24"/>
              </w:rPr>
              <w:t>结果维持</w:t>
            </w:r>
          </w:p>
        </w:tc>
        <w:tc>
          <w:tcPr>
            <w:tcW w:w="567" w:type="dxa"/>
            <w:vAlign w:val="center"/>
          </w:tcPr>
          <w:p>
            <w:pPr>
              <w:jc w:val="center"/>
              <w:rPr>
                <w:sz w:val="24"/>
                <w:szCs w:val="24"/>
              </w:rPr>
            </w:pPr>
            <w:r>
              <w:rPr>
                <w:rFonts w:hint="eastAsia"/>
                <w:sz w:val="24"/>
                <w:szCs w:val="24"/>
              </w:rPr>
              <w:t>结果纠正</w:t>
            </w:r>
          </w:p>
        </w:tc>
        <w:tc>
          <w:tcPr>
            <w:tcW w:w="567" w:type="dxa"/>
            <w:vAlign w:val="center"/>
          </w:tcPr>
          <w:p>
            <w:pPr>
              <w:jc w:val="center"/>
              <w:rPr>
                <w:sz w:val="24"/>
                <w:szCs w:val="24"/>
              </w:rPr>
            </w:pPr>
            <w:r>
              <w:rPr>
                <w:rFonts w:hint="eastAsia"/>
                <w:sz w:val="24"/>
                <w:szCs w:val="24"/>
              </w:rPr>
              <w:t>其他结果</w:t>
            </w:r>
          </w:p>
        </w:tc>
        <w:tc>
          <w:tcPr>
            <w:tcW w:w="567" w:type="dxa"/>
            <w:vAlign w:val="center"/>
          </w:tcPr>
          <w:p>
            <w:pPr>
              <w:jc w:val="center"/>
              <w:rPr>
                <w:sz w:val="24"/>
                <w:szCs w:val="24"/>
              </w:rPr>
            </w:pPr>
            <w:r>
              <w:rPr>
                <w:rFonts w:hint="eastAsia"/>
                <w:sz w:val="24"/>
                <w:szCs w:val="24"/>
              </w:rPr>
              <w:t>尚未审结</w:t>
            </w:r>
          </w:p>
        </w:tc>
        <w:tc>
          <w:tcPr>
            <w:tcW w:w="567" w:type="dxa"/>
            <w:vAlign w:val="center"/>
          </w:tcPr>
          <w:p>
            <w:pPr>
              <w:jc w:val="center"/>
              <w:rPr>
                <w:sz w:val="24"/>
                <w:szCs w:val="24"/>
              </w:rPr>
            </w:pPr>
            <w:r>
              <w:rPr>
                <w:rFonts w:hint="eastAsia"/>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8" w:type="dxa"/>
            <w:vAlign w:val="center"/>
          </w:tcPr>
          <w:p>
            <w:pPr>
              <w:rPr>
                <w:rFonts w:hint="eastAsia" w:eastAsia="宋体"/>
                <w:sz w:val="24"/>
                <w:szCs w:val="24"/>
                <w:lang w:val="en-US" w:eastAsia="zh-CN"/>
              </w:rPr>
            </w:pPr>
            <w:r>
              <w:rPr>
                <w:rFonts w:hint="eastAsia"/>
                <w:sz w:val="24"/>
                <w:szCs w:val="24"/>
                <w:lang w:val="en-US" w:eastAsia="zh-CN"/>
              </w:rPr>
              <w:t>0</w:t>
            </w:r>
          </w:p>
        </w:tc>
        <w:tc>
          <w:tcPr>
            <w:tcW w:w="568" w:type="dxa"/>
            <w:vAlign w:val="center"/>
          </w:tcPr>
          <w:p>
            <w:pPr>
              <w:rPr>
                <w:rFonts w:hint="eastAsia" w:eastAsia="宋体"/>
                <w:sz w:val="24"/>
                <w:szCs w:val="24"/>
                <w:lang w:val="en-US" w:eastAsia="zh-CN"/>
              </w:rPr>
            </w:pPr>
            <w:r>
              <w:rPr>
                <w:rFonts w:hint="eastAsia"/>
                <w:sz w:val="24"/>
                <w:szCs w:val="24"/>
                <w:lang w:val="en-US" w:eastAsia="zh-CN"/>
              </w:rPr>
              <w:t>0</w:t>
            </w:r>
          </w:p>
        </w:tc>
        <w:tc>
          <w:tcPr>
            <w:tcW w:w="567" w:type="dxa"/>
            <w:vAlign w:val="center"/>
          </w:tcPr>
          <w:p>
            <w:pPr>
              <w:rPr>
                <w:rFonts w:hint="eastAsia" w:eastAsia="宋体"/>
                <w:sz w:val="24"/>
                <w:szCs w:val="24"/>
                <w:lang w:val="en-US" w:eastAsia="zh-CN"/>
              </w:rPr>
            </w:pPr>
            <w:r>
              <w:rPr>
                <w:rFonts w:hint="eastAsia"/>
                <w:sz w:val="24"/>
                <w:szCs w:val="24"/>
                <w:lang w:val="en-US" w:eastAsia="zh-CN"/>
              </w:rPr>
              <w:t>0</w:t>
            </w:r>
          </w:p>
        </w:tc>
        <w:tc>
          <w:tcPr>
            <w:tcW w:w="567" w:type="dxa"/>
            <w:vAlign w:val="center"/>
          </w:tcPr>
          <w:p>
            <w:pPr>
              <w:rPr>
                <w:rFonts w:hint="eastAsia" w:eastAsia="宋体"/>
                <w:sz w:val="24"/>
                <w:szCs w:val="24"/>
                <w:lang w:val="en-US" w:eastAsia="zh-CN"/>
              </w:rPr>
            </w:pPr>
            <w:r>
              <w:rPr>
                <w:rFonts w:hint="eastAsia"/>
                <w:sz w:val="24"/>
                <w:szCs w:val="24"/>
                <w:lang w:val="en-US" w:eastAsia="zh-CN"/>
              </w:rPr>
              <w:t>0</w:t>
            </w:r>
          </w:p>
        </w:tc>
        <w:tc>
          <w:tcPr>
            <w:tcW w:w="567" w:type="dxa"/>
            <w:vAlign w:val="center"/>
          </w:tcPr>
          <w:p>
            <w:pPr>
              <w:rPr>
                <w:rFonts w:hint="eastAsia" w:eastAsia="宋体"/>
                <w:sz w:val="24"/>
                <w:szCs w:val="24"/>
                <w:lang w:val="en-US" w:eastAsia="zh-CN"/>
              </w:rPr>
            </w:pPr>
            <w:r>
              <w:rPr>
                <w:rFonts w:hint="eastAsia"/>
                <w:sz w:val="24"/>
                <w:szCs w:val="24"/>
                <w:lang w:val="en-US" w:eastAsia="zh-CN"/>
              </w:rPr>
              <w:t>0</w:t>
            </w:r>
          </w:p>
        </w:tc>
        <w:tc>
          <w:tcPr>
            <w:tcW w:w="567" w:type="dxa"/>
            <w:vAlign w:val="center"/>
          </w:tcPr>
          <w:p>
            <w:pPr>
              <w:rPr>
                <w:rFonts w:hint="eastAsia" w:eastAsia="宋体"/>
                <w:sz w:val="24"/>
                <w:szCs w:val="24"/>
                <w:lang w:val="en-US" w:eastAsia="zh-CN"/>
              </w:rPr>
            </w:pPr>
            <w:r>
              <w:rPr>
                <w:rFonts w:hint="eastAsia"/>
                <w:sz w:val="24"/>
                <w:szCs w:val="24"/>
                <w:lang w:val="en-US" w:eastAsia="zh-CN"/>
              </w:rPr>
              <w:t>0</w:t>
            </w:r>
          </w:p>
        </w:tc>
        <w:tc>
          <w:tcPr>
            <w:tcW w:w="567" w:type="dxa"/>
            <w:vAlign w:val="center"/>
          </w:tcPr>
          <w:p>
            <w:pPr>
              <w:rPr>
                <w:rFonts w:hint="eastAsia" w:eastAsia="宋体"/>
                <w:sz w:val="24"/>
                <w:szCs w:val="24"/>
                <w:lang w:val="en-US" w:eastAsia="zh-CN"/>
              </w:rPr>
            </w:pPr>
            <w:r>
              <w:rPr>
                <w:rFonts w:hint="eastAsia"/>
                <w:sz w:val="24"/>
                <w:szCs w:val="24"/>
                <w:lang w:val="en-US" w:eastAsia="zh-CN"/>
              </w:rPr>
              <w:t>0</w:t>
            </w:r>
          </w:p>
        </w:tc>
        <w:tc>
          <w:tcPr>
            <w:tcW w:w="567" w:type="dxa"/>
            <w:vAlign w:val="center"/>
          </w:tcPr>
          <w:p>
            <w:pPr>
              <w:rPr>
                <w:rFonts w:hint="default" w:eastAsia="宋体"/>
                <w:sz w:val="24"/>
                <w:szCs w:val="24"/>
                <w:lang w:val="en-US" w:eastAsia="zh-CN"/>
              </w:rPr>
            </w:pPr>
            <w:r>
              <w:rPr>
                <w:rFonts w:hint="eastAsia"/>
                <w:sz w:val="24"/>
                <w:szCs w:val="24"/>
                <w:lang w:val="en-US" w:eastAsia="zh-CN"/>
              </w:rPr>
              <w:t>0</w:t>
            </w:r>
          </w:p>
        </w:tc>
        <w:tc>
          <w:tcPr>
            <w:tcW w:w="567" w:type="dxa"/>
            <w:vAlign w:val="center"/>
          </w:tcPr>
          <w:p>
            <w:pPr>
              <w:rPr>
                <w:rFonts w:hint="eastAsia" w:eastAsia="宋体"/>
                <w:sz w:val="24"/>
                <w:szCs w:val="24"/>
                <w:lang w:val="en-US" w:eastAsia="zh-CN"/>
              </w:rPr>
            </w:pPr>
            <w:r>
              <w:rPr>
                <w:rFonts w:hint="eastAsia"/>
                <w:sz w:val="24"/>
                <w:szCs w:val="24"/>
                <w:lang w:val="en-US" w:eastAsia="zh-CN"/>
              </w:rPr>
              <w:t>0</w:t>
            </w:r>
          </w:p>
        </w:tc>
        <w:tc>
          <w:tcPr>
            <w:tcW w:w="567" w:type="dxa"/>
            <w:vAlign w:val="center"/>
          </w:tcPr>
          <w:p>
            <w:pPr>
              <w:rPr>
                <w:rFonts w:hint="eastAsia" w:eastAsia="宋体"/>
                <w:sz w:val="24"/>
                <w:szCs w:val="24"/>
                <w:lang w:val="en-US" w:eastAsia="zh-CN"/>
              </w:rPr>
            </w:pPr>
            <w:r>
              <w:rPr>
                <w:rFonts w:hint="eastAsia"/>
                <w:sz w:val="24"/>
                <w:szCs w:val="24"/>
                <w:lang w:val="en-US" w:eastAsia="zh-CN"/>
              </w:rPr>
              <w:t>0</w:t>
            </w:r>
          </w:p>
        </w:tc>
        <w:tc>
          <w:tcPr>
            <w:tcW w:w="567" w:type="dxa"/>
            <w:vAlign w:val="center"/>
          </w:tcPr>
          <w:p>
            <w:pPr>
              <w:rPr>
                <w:rFonts w:hint="eastAsia" w:eastAsia="宋体"/>
                <w:sz w:val="24"/>
                <w:szCs w:val="24"/>
                <w:lang w:val="en-US" w:eastAsia="zh-CN"/>
              </w:rPr>
            </w:pPr>
            <w:r>
              <w:rPr>
                <w:rFonts w:hint="eastAsia"/>
                <w:sz w:val="24"/>
                <w:szCs w:val="24"/>
                <w:lang w:val="en-US" w:eastAsia="zh-CN"/>
              </w:rPr>
              <w:t>0</w:t>
            </w:r>
          </w:p>
        </w:tc>
        <w:tc>
          <w:tcPr>
            <w:tcW w:w="567" w:type="dxa"/>
            <w:vAlign w:val="center"/>
          </w:tcPr>
          <w:p>
            <w:pPr>
              <w:rPr>
                <w:rFonts w:hint="eastAsia" w:eastAsia="宋体"/>
                <w:sz w:val="24"/>
                <w:szCs w:val="24"/>
                <w:lang w:val="en-US" w:eastAsia="zh-CN"/>
              </w:rPr>
            </w:pPr>
            <w:r>
              <w:rPr>
                <w:rFonts w:hint="eastAsia"/>
                <w:sz w:val="24"/>
                <w:szCs w:val="24"/>
                <w:lang w:val="en-US" w:eastAsia="zh-CN"/>
              </w:rPr>
              <w:t>0</w:t>
            </w:r>
          </w:p>
        </w:tc>
        <w:tc>
          <w:tcPr>
            <w:tcW w:w="567" w:type="dxa"/>
            <w:vAlign w:val="center"/>
          </w:tcPr>
          <w:p>
            <w:pPr>
              <w:rPr>
                <w:rFonts w:hint="eastAsia" w:eastAsia="宋体"/>
                <w:sz w:val="24"/>
                <w:szCs w:val="24"/>
                <w:lang w:val="en-US" w:eastAsia="zh-CN"/>
              </w:rPr>
            </w:pPr>
            <w:r>
              <w:rPr>
                <w:rFonts w:hint="eastAsia"/>
                <w:sz w:val="24"/>
                <w:szCs w:val="24"/>
                <w:lang w:val="en-US" w:eastAsia="zh-CN"/>
              </w:rPr>
              <w:t>0</w:t>
            </w:r>
          </w:p>
        </w:tc>
        <w:tc>
          <w:tcPr>
            <w:tcW w:w="567" w:type="dxa"/>
            <w:vAlign w:val="center"/>
          </w:tcPr>
          <w:p>
            <w:pPr>
              <w:rPr>
                <w:rFonts w:hint="eastAsia" w:eastAsia="宋体"/>
                <w:sz w:val="24"/>
                <w:szCs w:val="24"/>
                <w:lang w:val="en-US" w:eastAsia="zh-CN"/>
              </w:rPr>
            </w:pPr>
            <w:r>
              <w:rPr>
                <w:rFonts w:hint="eastAsia"/>
                <w:sz w:val="24"/>
                <w:szCs w:val="24"/>
                <w:lang w:val="en-US" w:eastAsia="zh-CN"/>
              </w:rPr>
              <w:t>0</w:t>
            </w:r>
          </w:p>
        </w:tc>
        <w:tc>
          <w:tcPr>
            <w:tcW w:w="567" w:type="dxa"/>
            <w:vAlign w:val="center"/>
          </w:tcPr>
          <w:p>
            <w:pPr>
              <w:rPr>
                <w:rFonts w:hint="eastAsia" w:eastAsia="宋体"/>
                <w:sz w:val="24"/>
                <w:szCs w:val="24"/>
                <w:lang w:val="en-US" w:eastAsia="zh-CN"/>
              </w:rPr>
            </w:pPr>
            <w:r>
              <w:rPr>
                <w:rFonts w:hint="eastAsia"/>
                <w:sz w:val="24"/>
                <w:szCs w:val="24"/>
                <w:lang w:val="en-US" w:eastAsia="zh-CN"/>
              </w:rPr>
              <w:t>0</w:t>
            </w:r>
          </w:p>
        </w:tc>
      </w:tr>
    </w:tbl>
    <w:p>
      <w:pPr>
        <w:widowControl/>
        <w:shd w:val="clear" w:color="auto" w:fill="FFFFFF"/>
        <w:jc w:val="center"/>
        <w:rPr>
          <w:rFonts w:ascii="Times New Roman" w:hAnsi="Times New Roman"/>
          <w:kern w:val="0"/>
          <w:sz w:val="24"/>
          <w:szCs w:val="24"/>
        </w:rPr>
      </w:pPr>
    </w:p>
    <w:p>
      <w:pPr>
        <w:widowControl/>
        <w:shd w:val="clear" w:color="auto" w:fill="FFFFFF"/>
        <w:spacing w:line="560" w:lineRule="exact"/>
        <w:ind w:firstLine="480"/>
        <w:rPr>
          <w:rFonts w:ascii="Times New Roman" w:hAnsi="Times New Roman" w:eastAsia="黑体"/>
          <w:kern w:val="0"/>
          <w:sz w:val="32"/>
          <w:szCs w:val="32"/>
        </w:rPr>
      </w:pPr>
      <w:r>
        <w:rPr>
          <w:rFonts w:ascii="Times New Roman" w:hAnsi="Times New Roman" w:eastAsia="黑体"/>
          <w:bCs/>
          <w:kern w:val="0"/>
          <w:sz w:val="32"/>
          <w:szCs w:val="32"/>
        </w:rPr>
        <w:t>五、存在的主要问题及改进情况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2020年，我中心在区委、区政府的统一领导下，政府信息公开工作稳步推进，成效明显，但仍存在一些不足。一是政府信息公开的内容比较单一，侧重住房保障工作动态类信息公开，部分栏目更新滞后；二是在信息公开工作中，相关人员处理复杂问题的能力有待加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下一步，我中心将继续按照政府信息公开工作的要求，认真总结经验，查找不足，加强薄弱环节建设，进一步推进政府信息公开。一是加强对政务公开相关规定的宣传、学习、贯彻，组织开展政府信息公开相关业务培训学习，通过加深对政策理解，提高政府信息公开人员的专业化、理论化水平，增强政策把握能力、舆情研判能力、解疑释惑能力和回应引导能力，努力增强工作中的主动性、自觉性、持续性和创造性。二是扩大公开范围，认真梳理调整公开目录，调动广大干部职工的积极性、主动性，深入挖掘公开内容，进一步扩大公开范围。三是拓宽信息公开载体和信息多样性，通过文字、数据、图表、多媒体等创新方式，进行信息公开和政策解读，用易于公众理解的方式丰富网站内容，提高政府信息的可读性、科学性和权威性。</w:t>
      </w:r>
    </w:p>
    <w:p>
      <w:pPr>
        <w:widowControl/>
        <w:shd w:val="clear" w:color="auto" w:fill="FFFFFF"/>
        <w:spacing w:line="560" w:lineRule="exact"/>
        <w:ind w:firstLine="480"/>
        <w:rPr>
          <w:rFonts w:ascii="Times New Roman" w:hAnsi="Times New Roman" w:eastAsia="黑体"/>
          <w:kern w:val="0"/>
          <w:sz w:val="32"/>
          <w:szCs w:val="32"/>
        </w:rPr>
      </w:pPr>
      <w:r>
        <w:rPr>
          <w:rFonts w:ascii="Times New Roman" w:hAnsi="Times New Roman" w:eastAsia="黑体"/>
          <w:bCs/>
          <w:kern w:val="0"/>
          <w:sz w:val="32"/>
          <w:szCs w:val="32"/>
        </w:rPr>
        <w:t>六、其他需要报告的事项</w:t>
      </w:r>
    </w:p>
    <w:p>
      <w:pPr>
        <w:ind w:firstLine="640" w:firstLineChars="200"/>
        <w:rPr>
          <w:rFonts w:ascii="Times New Roman" w:hAnsi="Times New Roman" w:eastAsia="方正仿宋简体"/>
          <w:sz w:val="32"/>
          <w:szCs w:val="32"/>
        </w:rPr>
      </w:pPr>
      <w:r>
        <w:rPr>
          <w:rFonts w:hint="eastAsia" w:ascii="仿宋_GB2312" w:hAnsi="仿宋_GB2312" w:eastAsia="仿宋_GB2312" w:cs="仿宋_GB2312"/>
          <w:kern w:val="0"/>
          <w:sz w:val="32"/>
          <w:szCs w:val="32"/>
          <w:lang w:val="en-US" w:eastAsia="zh-CN" w:bidi="ar-SA"/>
        </w:rPr>
        <w:t>无其他需要报告的事项。</w:t>
      </w:r>
    </w:p>
    <w:sectPr>
      <w:footerReference r:id="rId3" w:type="default"/>
      <w:pgSz w:w="11907" w:h="16840"/>
      <w:pgMar w:top="2098" w:right="1474" w:bottom="1985"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 Extra BSK">
    <w:altName w:val="宋体"/>
    <w:panose1 w:val="00000000000000000000"/>
    <w:charset w:val="86"/>
    <w:family w:val="swiss"/>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32"/>
        <w:szCs w:val="32"/>
      </w:rPr>
    </w:pPr>
    <w:r>
      <w:rPr>
        <w:sz w:val="32"/>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5"/>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79F83E"/>
    <w:multiLevelType w:val="singleLevel"/>
    <w:tmpl w:val="9979F83E"/>
    <w:lvl w:ilvl="0" w:tentative="0">
      <w:start w:val="4"/>
      <w:numFmt w:val="chineseCounting"/>
      <w:suff w:val="nothing"/>
      <w:lvlText w:val="%1、"/>
      <w:lvlJc w:val="left"/>
      <w:rPr>
        <w:rFonts w:hint="eastAsia"/>
      </w:rPr>
    </w:lvl>
  </w:abstractNum>
  <w:abstractNum w:abstractNumId="1">
    <w:nsid w:val="E50C5278"/>
    <w:multiLevelType w:val="singleLevel"/>
    <w:tmpl w:val="E50C5278"/>
    <w:lvl w:ilvl="0" w:tentative="0">
      <w:start w:val="1"/>
      <w:numFmt w:val="chineseCounting"/>
      <w:suff w:val="nothing"/>
      <w:lvlText w:val="%1、"/>
      <w:lvlJc w:val="left"/>
      <w:rPr>
        <w:rFonts w:hint="eastAsia"/>
      </w:rPr>
    </w:lvl>
  </w:abstractNum>
  <w:abstractNum w:abstractNumId="2">
    <w:nsid w:val="2B6B5B65"/>
    <w:multiLevelType w:val="singleLevel"/>
    <w:tmpl w:val="2B6B5B65"/>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77FEE"/>
    <w:rsid w:val="00035664"/>
    <w:rsid w:val="00037EFB"/>
    <w:rsid w:val="00194B25"/>
    <w:rsid w:val="001C4F78"/>
    <w:rsid w:val="001E372B"/>
    <w:rsid w:val="002B5841"/>
    <w:rsid w:val="002C5B60"/>
    <w:rsid w:val="00301CA6"/>
    <w:rsid w:val="00317CB7"/>
    <w:rsid w:val="00322437"/>
    <w:rsid w:val="00341973"/>
    <w:rsid w:val="003428E7"/>
    <w:rsid w:val="003A7DAC"/>
    <w:rsid w:val="003D0437"/>
    <w:rsid w:val="004210D5"/>
    <w:rsid w:val="00490626"/>
    <w:rsid w:val="004F7BF2"/>
    <w:rsid w:val="00540433"/>
    <w:rsid w:val="0058577E"/>
    <w:rsid w:val="006046B5"/>
    <w:rsid w:val="0068638C"/>
    <w:rsid w:val="006A0541"/>
    <w:rsid w:val="006A3111"/>
    <w:rsid w:val="006D6D0B"/>
    <w:rsid w:val="00777FEE"/>
    <w:rsid w:val="00796BB6"/>
    <w:rsid w:val="00846887"/>
    <w:rsid w:val="008D12FC"/>
    <w:rsid w:val="00914CFD"/>
    <w:rsid w:val="009D2C00"/>
    <w:rsid w:val="00AC569C"/>
    <w:rsid w:val="00AF235E"/>
    <w:rsid w:val="00AF5F99"/>
    <w:rsid w:val="00B00E8A"/>
    <w:rsid w:val="00B00FEE"/>
    <w:rsid w:val="00B34114"/>
    <w:rsid w:val="00B80C2F"/>
    <w:rsid w:val="00BD525D"/>
    <w:rsid w:val="00C01734"/>
    <w:rsid w:val="00C702C4"/>
    <w:rsid w:val="00C70B88"/>
    <w:rsid w:val="00D5218C"/>
    <w:rsid w:val="00D72CFE"/>
    <w:rsid w:val="00D804C9"/>
    <w:rsid w:val="00D920F2"/>
    <w:rsid w:val="00E4116C"/>
    <w:rsid w:val="00F579DF"/>
    <w:rsid w:val="00F6465D"/>
    <w:rsid w:val="00FC71F7"/>
    <w:rsid w:val="084A4178"/>
    <w:rsid w:val="087F3E7B"/>
    <w:rsid w:val="0A135D37"/>
    <w:rsid w:val="131E0981"/>
    <w:rsid w:val="14555CCF"/>
    <w:rsid w:val="153426FE"/>
    <w:rsid w:val="1EF20821"/>
    <w:rsid w:val="25C9120A"/>
    <w:rsid w:val="2CF32449"/>
    <w:rsid w:val="36774695"/>
    <w:rsid w:val="3A096DD5"/>
    <w:rsid w:val="3F0D7EB6"/>
    <w:rsid w:val="501355F3"/>
    <w:rsid w:val="50C71488"/>
    <w:rsid w:val="589B711F"/>
    <w:rsid w:val="598D4C24"/>
    <w:rsid w:val="5F8A4025"/>
    <w:rsid w:val="60176E2D"/>
    <w:rsid w:val="64537FA2"/>
    <w:rsid w:val="64FF7437"/>
    <w:rsid w:val="6740380E"/>
    <w:rsid w:val="6D026989"/>
    <w:rsid w:val="711F35AA"/>
    <w:rsid w:val="71D45066"/>
    <w:rsid w:val="71D96C98"/>
    <w:rsid w:val="751A7756"/>
    <w:rsid w:val="7F44083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51"/>
    </w:pPr>
    <w:rPr>
      <w:sz w:val="32"/>
      <w:szCs w:val="32"/>
    </w:rPr>
  </w:style>
  <w:style w:type="paragraph" w:styleId="3">
    <w:name w:val="Date"/>
    <w:basedOn w:val="1"/>
    <w:next w:val="1"/>
    <w:link w:val="28"/>
    <w:semiHidden/>
    <w:unhideWhenUsed/>
    <w:qFormat/>
    <w:uiPriority w:val="99"/>
    <w:pPr>
      <w:ind w:left="100" w:leftChars="2500"/>
    </w:pPr>
  </w:style>
  <w:style w:type="paragraph" w:styleId="4">
    <w:name w:val="Balloon Text"/>
    <w:basedOn w:val="1"/>
    <w:link w:val="27"/>
    <w:semiHidden/>
    <w:unhideWhenUsed/>
    <w:qFormat/>
    <w:uiPriority w:val="99"/>
    <w:rPr>
      <w:sz w:val="18"/>
      <w:szCs w:val="18"/>
    </w:rPr>
  </w:style>
  <w:style w:type="paragraph" w:styleId="5">
    <w:name w:val="footer"/>
    <w:basedOn w:val="1"/>
    <w:link w:val="26"/>
    <w:unhideWhenUsed/>
    <w:qFormat/>
    <w:uiPriority w:val="99"/>
    <w:pPr>
      <w:tabs>
        <w:tab w:val="center" w:pos="4153"/>
        <w:tab w:val="right" w:pos="8306"/>
      </w:tabs>
      <w:snapToGrid w:val="0"/>
      <w:jc w:val="left"/>
    </w:pPr>
    <w:rPr>
      <w:sz w:val="18"/>
      <w:szCs w:val="18"/>
    </w:rPr>
  </w:style>
  <w:style w:type="paragraph" w:styleId="6">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unhideWhenUsed/>
    <w:qFormat/>
    <w:uiPriority w:val="99"/>
    <w:rPr>
      <w:color w:val="0000FF" w:themeColor="hyperlink"/>
      <w:u w:val="single"/>
    </w:rPr>
  </w:style>
  <w:style w:type="paragraph" w:customStyle="1" w:styleId="13">
    <w:name w:val="Default"/>
    <w:qFormat/>
    <w:uiPriority w:val="99"/>
    <w:pPr>
      <w:widowControl w:val="0"/>
      <w:autoSpaceDE w:val="0"/>
      <w:autoSpaceDN w:val="0"/>
      <w:adjustRightInd w:val="0"/>
    </w:pPr>
    <w:rPr>
      <w:rFonts w:ascii="FZ Extra BSK" w:hAnsi="Calibri" w:eastAsia="FZ Extra BSK" w:cs="FZ Extra BSK"/>
      <w:color w:val="000000"/>
      <w:sz w:val="24"/>
      <w:szCs w:val="24"/>
      <w:lang w:val="en-US" w:eastAsia="zh-CN" w:bidi="ar-SA"/>
    </w:rPr>
  </w:style>
  <w:style w:type="paragraph" w:customStyle="1" w:styleId="14">
    <w:name w:val="CM1"/>
    <w:basedOn w:val="13"/>
    <w:next w:val="13"/>
    <w:qFormat/>
    <w:uiPriority w:val="99"/>
    <w:rPr>
      <w:rFonts w:cs="Times New Roman"/>
      <w:color w:val="auto"/>
    </w:rPr>
  </w:style>
  <w:style w:type="paragraph" w:customStyle="1" w:styleId="15">
    <w:name w:val="CM8"/>
    <w:basedOn w:val="13"/>
    <w:next w:val="13"/>
    <w:qFormat/>
    <w:uiPriority w:val="99"/>
    <w:pPr>
      <w:spacing w:after="255"/>
    </w:pPr>
    <w:rPr>
      <w:rFonts w:cs="Times New Roman"/>
      <w:color w:val="auto"/>
    </w:rPr>
  </w:style>
  <w:style w:type="paragraph" w:customStyle="1" w:styleId="16">
    <w:name w:val="CM2"/>
    <w:basedOn w:val="13"/>
    <w:next w:val="13"/>
    <w:qFormat/>
    <w:uiPriority w:val="99"/>
    <w:pPr>
      <w:spacing w:line="598" w:lineRule="atLeast"/>
    </w:pPr>
    <w:rPr>
      <w:rFonts w:cs="Times New Roman"/>
      <w:color w:val="auto"/>
    </w:rPr>
  </w:style>
  <w:style w:type="paragraph" w:customStyle="1" w:styleId="17">
    <w:name w:val="CM3"/>
    <w:basedOn w:val="13"/>
    <w:next w:val="13"/>
    <w:qFormat/>
    <w:uiPriority w:val="99"/>
    <w:pPr>
      <w:spacing w:line="593" w:lineRule="atLeast"/>
    </w:pPr>
    <w:rPr>
      <w:rFonts w:cs="Times New Roman"/>
      <w:color w:val="auto"/>
    </w:rPr>
  </w:style>
  <w:style w:type="paragraph" w:customStyle="1" w:styleId="18">
    <w:name w:val="CM4"/>
    <w:basedOn w:val="13"/>
    <w:next w:val="13"/>
    <w:qFormat/>
    <w:uiPriority w:val="99"/>
    <w:pPr>
      <w:spacing w:line="593" w:lineRule="atLeast"/>
    </w:pPr>
    <w:rPr>
      <w:rFonts w:cs="Times New Roman"/>
      <w:color w:val="auto"/>
    </w:rPr>
  </w:style>
  <w:style w:type="paragraph" w:customStyle="1" w:styleId="19">
    <w:name w:val="CM9"/>
    <w:basedOn w:val="13"/>
    <w:next w:val="13"/>
    <w:qFormat/>
    <w:uiPriority w:val="99"/>
    <w:pPr>
      <w:spacing w:after="572"/>
    </w:pPr>
    <w:rPr>
      <w:rFonts w:cs="Times New Roman"/>
      <w:color w:val="auto"/>
    </w:rPr>
  </w:style>
  <w:style w:type="paragraph" w:customStyle="1" w:styleId="20">
    <w:name w:val="CM5"/>
    <w:basedOn w:val="13"/>
    <w:next w:val="13"/>
    <w:qFormat/>
    <w:uiPriority w:val="99"/>
    <w:pPr>
      <w:spacing w:line="593" w:lineRule="atLeast"/>
    </w:pPr>
    <w:rPr>
      <w:rFonts w:cs="Times New Roman"/>
      <w:color w:val="auto"/>
    </w:rPr>
  </w:style>
  <w:style w:type="paragraph" w:customStyle="1" w:styleId="21">
    <w:name w:val="CM6"/>
    <w:basedOn w:val="13"/>
    <w:next w:val="13"/>
    <w:qFormat/>
    <w:uiPriority w:val="99"/>
    <w:rPr>
      <w:rFonts w:cs="Times New Roman"/>
      <w:color w:val="auto"/>
    </w:rPr>
  </w:style>
  <w:style w:type="paragraph" w:customStyle="1" w:styleId="22">
    <w:name w:val="CM10"/>
    <w:basedOn w:val="13"/>
    <w:next w:val="13"/>
    <w:qFormat/>
    <w:uiPriority w:val="99"/>
    <w:pPr>
      <w:spacing w:after="188"/>
    </w:pPr>
    <w:rPr>
      <w:rFonts w:cs="Times New Roman"/>
      <w:color w:val="auto"/>
    </w:rPr>
  </w:style>
  <w:style w:type="paragraph" w:customStyle="1" w:styleId="23">
    <w:name w:val="CM7"/>
    <w:basedOn w:val="13"/>
    <w:next w:val="13"/>
    <w:qFormat/>
    <w:uiPriority w:val="99"/>
    <w:rPr>
      <w:rFonts w:cs="Times New Roman"/>
      <w:color w:val="auto"/>
    </w:rPr>
  </w:style>
  <w:style w:type="paragraph" w:customStyle="1" w:styleId="24">
    <w:name w:val="CM11"/>
    <w:basedOn w:val="13"/>
    <w:next w:val="13"/>
    <w:qFormat/>
    <w:uiPriority w:val="99"/>
    <w:pPr>
      <w:spacing w:after="840"/>
    </w:pPr>
    <w:rPr>
      <w:rFonts w:cs="Times New Roman"/>
      <w:color w:val="auto"/>
    </w:rPr>
  </w:style>
  <w:style w:type="character" w:customStyle="1" w:styleId="25">
    <w:name w:val="页眉 字符"/>
    <w:basedOn w:val="10"/>
    <w:link w:val="6"/>
    <w:qFormat/>
    <w:locked/>
    <w:uiPriority w:val="99"/>
    <w:rPr>
      <w:rFonts w:cs="Times New Roman"/>
      <w:sz w:val="18"/>
      <w:szCs w:val="18"/>
    </w:rPr>
  </w:style>
  <w:style w:type="character" w:customStyle="1" w:styleId="26">
    <w:name w:val="页脚 字符"/>
    <w:basedOn w:val="10"/>
    <w:link w:val="5"/>
    <w:qFormat/>
    <w:locked/>
    <w:uiPriority w:val="99"/>
    <w:rPr>
      <w:rFonts w:cs="Times New Roman"/>
      <w:sz w:val="18"/>
      <w:szCs w:val="18"/>
    </w:rPr>
  </w:style>
  <w:style w:type="character" w:customStyle="1" w:styleId="27">
    <w:name w:val="批注框文本 字符"/>
    <w:basedOn w:val="10"/>
    <w:link w:val="4"/>
    <w:semiHidden/>
    <w:qFormat/>
    <w:uiPriority w:val="99"/>
    <w:rPr>
      <w:kern w:val="2"/>
      <w:sz w:val="18"/>
      <w:szCs w:val="18"/>
    </w:rPr>
  </w:style>
  <w:style w:type="character" w:customStyle="1" w:styleId="28">
    <w:name w:val="日期 字符"/>
    <w:basedOn w:val="10"/>
    <w:link w:val="3"/>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103</Words>
  <Characters>591</Characters>
  <Lines>4</Lines>
  <Paragraphs>1</Paragraphs>
  <TotalTime>24</TotalTime>
  <ScaleCrop>false</ScaleCrop>
  <LinksUpToDate>false</LinksUpToDate>
  <CharactersWithSpaces>693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2019-01-14T07:34:00Z</dcterms:created>
  <dc:creator>作者</dc:creator>
  <cp:keywords>关键字</cp:keywords>
  <cp:lastModifiedBy>银杏果</cp:lastModifiedBy>
  <cp:lastPrinted>2021-01-27T02:00:00Z</cp:lastPrinted>
  <dcterms:modified xsi:type="dcterms:W3CDTF">2021-01-29T03:14:21Z</dcterms:modified>
  <dc:subject>科目</dc:subject>
  <dc:title>标题</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442069949_btnclosed</vt:lpwstr>
  </property>
</Properties>
</file>