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44"/>
          <w:szCs w:val="44"/>
        </w:rPr>
      </w:pPr>
      <w:r>
        <w:rPr>
          <w:rFonts w:hint="eastAsia" w:ascii="仿宋_GB2312" w:hAnsi="仿宋_GB2312" w:eastAsia="仿宋_GB2312" w:cs="仿宋_GB2312"/>
          <w:color w:val="auto"/>
          <w:sz w:val="44"/>
          <w:szCs w:val="44"/>
          <w:lang w:eastAsia="zh-CN"/>
        </w:rPr>
        <w:t>淄博市</w:t>
      </w:r>
      <w:r>
        <w:rPr>
          <w:rFonts w:hint="eastAsia" w:ascii="仿宋_GB2312" w:hAnsi="仿宋_GB2312" w:eastAsia="仿宋_GB2312" w:cs="仿宋_GB2312"/>
          <w:color w:val="auto"/>
          <w:sz w:val="44"/>
          <w:szCs w:val="44"/>
        </w:rPr>
        <w:t>淄川区住房和城乡建设局</w:t>
      </w:r>
    </w:p>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44"/>
          <w:szCs w:val="44"/>
        </w:rPr>
      </w:pPr>
      <w:r>
        <w:rPr>
          <w:rFonts w:hint="eastAsia" w:ascii="仿宋_GB2312" w:hAnsi="仿宋_GB2312" w:eastAsia="仿宋_GB2312" w:cs="仿宋_GB2312"/>
          <w:color w:val="auto"/>
          <w:sz w:val="44"/>
          <w:szCs w:val="44"/>
        </w:rPr>
        <w:t>202</w:t>
      </w:r>
      <w:r>
        <w:rPr>
          <w:rFonts w:hint="eastAsia" w:ascii="仿宋_GB2312" w:hAnsi="仿宋_GB2312" w:eastAsia="仿宋_GB2312" w:cs="仿宋_GB2312"/>
          <w:color w:val="auto"/>
          <w:sz w:val="44"/>
          <w:szCs w:val="44"/>
          <w:lang w:val="en-US" w:eastAsia="zh-CN"/>
        </w:rPr>
        <w:t>3</w:t>
      </w:r>
      <w:r>
        <w:rPr>
          <w:rFonts w:hint="eastAsia" w:ascii="仿宋_GB2312" w:hAnsi="仿宋_GB2312" w:eastAsia="仿宋_GB2312" w:cs="仿宋_GB2312"/>
          <w:color w:val="auto"/>
          <w:sz w:val="44"/>
          <w:szCs w:val="44"/>
        </w:rPr>
        <w:t>年政府信息公开工作年度报告</w:t>
      </w:r>
    </w:p>
    <w:p>
      <w:pPr>
        <w:keepNext w:val="0"/>
        <w:keepLines w:val="0"/>
        <w:pageBreakBefore w:val="0"/>
        <w:widowControl w:val="0"/>
        <w:kinsoku/>
        <w:wordWrap/>
        <w:overflowPunct/>
        <w:topLinePunct w:val="0"/>
        <w:autoSpaceDE/>
        <w:autoSpaceDN/>
        <w:bidi w:val="0"/>
        <w:adjustRightInd/>
        <w:snapToGrid/>
        <w:spacing w:afterAutospacing="0" w:line="560" w:lineRule="exact"/>
        <w:jc w:val="both"/>
        <w:textAlignment w:val="auto"/>
        <w:rPr>
          <w:rFonts w:hint="eastAsia" w:ascii="仿宋_GB2312" w:hAnsi="仿宋_GB2312" w:eastAsia="仿宋_GB2312" w:cs="仿宋_GB2312"/>
          <w:color w:val="auto"/>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i w:val="0"/>
          <w:caps w:val="0"/>
          <w:color w:val="auto"/>
          <w:spacing w:val="0"/>
          <w:sz w:val="32"/>
          <w:szCs w:val="32"/>
          <w:lang w:eastAsia="zh-CN"/>
        </w:rPr>
      </w:pPr>
      <w:r>
        <w:rPr>
          <w:rFonts w:hint="eastAsia" w:ascii="仿宋_GB2312" w:hAnsi="仿宋_GB2312" w:eastAsia="仿宋_GB2312" w:cs="仿宋_GB2312"/>
          <w:i w:val="0"/>
          <w:caps w:val="0"/>
          <w:color w:val="auto"/>
          <w:spacing w:val="0"/>
          <w:sz w:val="32"/>
          <w:szCs w:val="32"/>
          <w:lang w:eastAsia="zh-CN"/>
        </w:rPr>
        <w:t>本年度报告中所列数据的统计期限自202</w:t>
      </w:r>
      <w:r>
        <w:rPr>
          <w:rFonts w:hint="eastAsia" w:ascii="仿宋_GB2312" w:hAnsi="仿宋_GB2312" w:eastAsia="仿宋_GB2312" w:cs="仿宋_GB2312"/>
          <w:i w:val="0"/>
          <w:caps w:val="0"/>
          <w:color w:val="auto"/>
          <w:spacing w:val="0"/>
          <w:sz w:val="32"/>
          <w:szCs w:val="32"/>
          <w:lang w:val="en-US" w:eastAsia="zh-CN"/>
        </w:rPr>
        <w:t>3</w:t>
      </w:r>
      <w:r>
        <w:rPr>
          <w:rFonts w:hint="eastAsia" w:ascii="仿宋_GB2312" w:hAnsi="仿宋_GB2312" w:eastAsia="仿宋_GB2312" w:cs="仿宋_GB2312"/>
          <w:i w:val="0"/>
          <w:caps w:val="0"/>
          <w:color w:val="auto"/>
          <w:spacing w:val="0"/>
          <w:sz w:val="32"/>
          <w:szCs w:val="32"/>
          <w:lang w:eastAsia="zh-CN"/>
        </w:rPr>
        <w:t>年1月1日起，至202</w:t>
      </w:r>
      <w:r>
        <w:rPr>
          <w:rFonts w:hint="eastAsia" w:ascii="仿宋_GB2312" w:hAnsi="仿宋_GB2312" w:eastAsia="仿宋_GB2312" w:cs="仿宋_GB2312"/>
          <w:i w:val="0"/>
          <w:caps w:val="0"/>
          <w:color w:val="auto"/>
          <w:spacing w:val="0"/>
          <w:sz w:val="32"/>
          <w:szCs w:val="32"/>
          <w:lang w:val="en-US" w:eastAsia="zh-CN"/>
        </w:rPr>
        <w:t>3</w:t>
      </w:r>
      <w:r>
        <w:rPr>
          <w:rFonts w:hint="eastAsia" w:ascii="仿宋_GB2312" w:hAnsi="仿宋_GB2312" w:eastAsia="仿宋_GB2312" w:cs="仿宋_GB2312"/>
          <w:i w:val="0"/>
          <w:caps w:val="0"/>
          <w:color w:val="auto"/>
          <w:spacing w:val="0"/>
          <w:sz w:val="32"/>
          <w:szCs w:val="32"/>
          <w:lang w:eastAsia="zh-CN"/>
        </w:rPr>
        <w:t>年12月31日止。如对报告内容有疑问，请与淄博市淄川区住房和城乡建设局联系（地址：山东省淄博市淄川区般阳路</w:t>
      </w:r>
      <w:r>
        <w:rPr>
          <w:rFonts w:hint="eastAsia" w:ascii="仿宋_GB2312" w:hAnsi="仿宋_GB2312" w:eastAsia="仿宋_GB2312" w:cs="仿宋_GB2312"/>
          <w:i w:val="0"/>
          <w:caps w:val="0"/>
          <w:color w:val="auto"/>
          <w:spacing w:val="0"/>
          <w:sz w:val="32"/>
          <w:szCs w:val="32"/>
          <w:lang w:val="en-US" w:eastAsia="zh-CN"/>
        </w:rPr>
        <w:t>275号</w:t>
      </w:r>
      <w:r>
        <w:rPr>
          <w:rFonts w:hint="eastAsia" w:ascii="仿宋_GB2312" w:hAnsi="仿宋_GB2312" w:eastAsia="仿宋_GB2312" w:cs="仿宋_GB2312"/>
          <w:i w:val="0"/>
          <w:caps w:val="0"/>
          <w:color w:val="auto"/>
          <w:spacing w:val="0"/>
          <w:sz w:val="32"/>
          <w:szCs w:val="32"/>
          <w:lang w:eastAsia="zh-CN"/>
        </w:rPr>
        <w:t>建设大厦612室；邮编：255100；电话：0533-5270700；邮箱：</w:t>
      </w:r>
      <w:r>
        <w:rPr>
          <w:rFonts w:hint="eastAsia" w:ascii="仿宋_GB2312" w:hAnsi="仿宋_GB2312" w:eastAsia="仿宋_GB2312" w:cs="仿宋_GB2312"/>
          <w:i w:val="0"/>
          <w:caps w:val="0"/>
          <w:color w:val="auto"/>
          <w:spacing w:val="0"/>
          <w:sz w:val="32"/>
          <w:szCs w:val="32"/>
          <w:lang w:eastAsia="zh-CN"/>
        </w:rPr>
        <w:fldChar w:fldCharType="begin"/>
      </w:r>
      <w:r>
        <w:rPr>
          <w:rFonts w:hint="eastAsia" w:ascii="仿宋_GB2312" w:hAnsi="仿宋_GB2312" w:eastAsia="仿宋_GB2312" w:cs="仿宋_GB2312"/>
          <w:i w:val="0"/>
          <w:caps w:val="0"/>
          <w:color w:val="auto"/>
          <w:spacing w:val="0"/>
          <w:sz w:val="32"/>
          <w:szCs w:val="32"/>
          <w:lang w:eastAsia="zh-CN"/>
        </w:rPr>
        <w:instrText xml:space="preserve"> HYPERLINK "mailto:zczjjbgs@zb.shandong.cn）。" </w:instrText>
      </w:r>
      <w:r>
        <w:rPr>
          <w:rFonts w:hint="eastAsia" w:ascii="仿宋_GB2312" w:hAnsi="仿宋_GB2312" w:eastAsia="仿宋_GB2312" w:cs="仿宋_GB2312"/>
          <w:i w:val="0"/>
          <w:caps w:val="0"/>
          <w:color w:val="auto"/>
          <w:spacing w:val="0"/>
          <w:sz w:val="32"/>
          <w:szCs w:val="32"/>
          <w:lang w:eastAsia="zh-CN"/>
        </w:rPr>
        <w:fldChar w:fldCharType="separate"/>
      </w:r>
      <w:r>
        <w:rPr>
          <w:rFonts w:hint="eastAsia" w:ascii="仿宋_GB2312" w:hAnsi="仿宋_GB2312" w:eastAsia="仿宋_GB2312" w:cs="仿宋_GB2312"/>
          <w:i w:val="0"/>
          <w:caps w:val="0"/>
          <w:color w:val="000000"/>
          <w:spacing w:val="0"/>
          <w:sz w:val="32"/>
          <w:szCs w:val="32"/>
          <w:shd w:val="clear" w:fill="FFFFFF"/>
        </w:rPr>
        <w:t>zczjjbgs@zb.shandong.cn</w:t>
      </w:r>
      <w:r>
        <w:rPr>
          <w:rFonts w:hint="eastAsia" w:ascii="仿宋_GB2312" w:hAnsi="仿宋_GB2312" w:eastAsia="仿宋_GB2312" w:cs="仿宋_GB2312"/>
          <w:i w:val="0"/>
          <w:caps w:val="0"/>
          <w:color w:val="auto"/>
          <w:spacing w:val="0"/>
          <w:sz w:val="32"/>
          <w:szCs w:val="32"/>
          <w:lang w:eastAsia="zh-CN"/>
        </w:rPr>
        <w:t>）。</w:t>
      </w:r>
      <w:r>
        <w:rPr>
          <w:rFonts w:hint="eastAsia" w:ascii="仿宋_GB2312" w:hAnsi="仿宋_GB2312" w:eastAsia="仿宋_GB2312" w:cs="仿宋_GB2312"/>
          <w:i w:val="0"/>
          <w:caps w:val="0"/>
          <w:color w:val="auto"/>
          <w:spacing w:val="0"/>
          <w:sz w:val="32"/>
          <w:szCs w:val="32"/>
          <w:lang w:eastAsia="zh-CN"/>
        </w:rPr>
        <w:fldChar w:fldCharType="end"/>
      </w:r>
    </w:p>
    <w:p>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总体情况</w:t>
      </w:r>
      <w:bookmarkStart w:id="0" w:name="_GoBack"/>
      <w:bookmarkEnd w:id="0"/>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i w:val="0"/>
          <w:caps w:val="0"/>
          <w:color w:val="auto"/>
          <w:spacing w:val="0"/>
          <w:sz w:val="32"/>
          <w:szCs w:val="32"/>
          <w:lang w:eastAsia="zh-CN"/>
        </w:rPr>
        <w:t>淄川区住房和城乡建设局</w:t>
      </w:r>
      <w:r>
        <w:rPr>
          <w:rFonts w:hint="eastAsia" w:ascii="仿宋_GB2312" w:hAnsi="仿宋_GB2312" w:eastAsia="仿宋_GB2312" w:cs="仿宋_GB2312"/>
          <w:color w:val="auto"/>
          <w:sz w:val="32"/>
          <w:szCs w:val="32"/>
        </w:rPr>
        <w:t>全面贯彻落实党的二十大精神，坚持围绕中心</w:t>
      </w:r>
      <w:r>
        <w:rPr>
          <w:rFonts w:hint="eastAsia" w:ascii="仿宋_GB2312" w:hAnsi="仿宋_GB2312" w:eastAsia="仿宋_GB2312" w:cs="仿宋_GB2312"/>
          <w:i w:val="0"/>
          <w:iCs w:val="0"/>
          <w:caps w:val="0"/>
          <w:color w:val="auto"/>
          <w:spacing w:val="0"/>
          <w:sz w:val="32"/>
          <w:szCs w:val="32"/>
          <w:shd w:val="clear" w:fill="FFFFFF"/>
        </w:rPr>
        <w:t>中心、服务大局，进一步贯彻落实《政府信息公开条例》有关要求，持续深化重点信息领域公开，切实加强政策解读、回应关切等，不断完善政务公开制度，政府信息公开工作取得一定成效</w:t>
      </w:r>
      <w:r>
        <w:rPr>
          <w:rFonts w:hint="eastAsia" w:ascii="仿宋_GB2312" w:hAnsi="仿宋_GB2312" w:eastAsia="仿宋_GB2312" w:cs="仿宋_GB2312"/>
          <w:i w:val="0"/>
          <w:iCs w:val="0"/>
          <w:caps w:val="0"/>
          <w:color w:val="auto"/>
          <w:spacing w:val="0"/>
          <w:sz w:val="32"/>
          <w:szCs w:val="32"/>
          <w:shd w:val="clear" w:fill="FFFFFF"/>
          <w:lang w:eastAsia="zh-CN"/>
        </w:rPr>
        <w:t>。</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主动公开</w:t>
      </w:r>
      <w:r>
        <w:rPr>
          <w:rFonts w:hint="eastAsia" w:ascii="仿宋_GB2312" w:hAnsi="仿宋_GB2312" w:eastAsia="仿宋_GB2312" w:cs="仿宋_GB2312"/>
          <w:color w:val="auto"/>
          <w:sz w:val="32"/>
          <w:szCs w:val="32"/>
          <w:lang w:eastAsia="zh-CN"/>
        </w:rPr>
        <w:t>方面</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i w:val="0"/>
          <w:iCs w:val="0"/>
          <w:caps w:val="0"/>
          <w:color w:val="auto"/>
          <w:spacing w:val="0"/>
          <w:sz w:val="32"/>
          <w:szCs w:val="32"/>
          <w:shd w:val="clear" w:fill="FFFFFF"/>
          <w:lang w:eastAsia="zh-CN"/>
        </w:rPr>
        <w:t>淄川区住建</w:t>
      </w:r>
      <w:r>
        <w:rPr>
          <w:rFonts w:hint="eastAsia" w:ascii="仿宋_GB2312" w:hAnsi="仿宋_GB2312" w:eastAsia="仿宋_GB2312" w:cs="仿宋_GB2312"/>
          <w:i w:val="0"/>
          <w:iCs w:val="0"/>
          <w:caps w:val="0"/>
          <w:color w:val="auto"/>
          <w:spacing w:val="0"/>
          <w:sz w:val="32"/>
          <w:szCs w:val="32"/>
          <w:shd w:val="clear" w:fill="FFFFFF"/>
        </w:rPr>
        <w:t>局不断强化落实政府信息的主动公开工作，规范主动公开的范围，主动公开包括机构职能、财政信息、通知公告、责任清单、权力清单、</w:t>
      </w:r>
      <w:r>
        <w:rPr>
          <w:rFonts w:hint="eastAsia" w:ascii="仿宋_GB2312" w:hAnsi="仿宋_GB2312" w:eastAsia="仿宋_GB2312" w:cs="仿宋_GB2312"/>
          <w:i w:val="0"/>
          <w:iCs w:val="0"/>
          <w:caps w:val="0"/>
          <w:color w:val="auto"/>
          <w:spacing w:val="0"/>
          <w:sz w:val="32"/>
          <w:szCs w:val="32"/>
          <w:shd w:val="clear" w:fill="FFFFFF"/>
          <w:lang w:eastAsia="zh-CN"/>
        </w:rPr>
        <w:t>部门</w:t>
      </w:r>
      <w:r>
        <w:rPr>
          <w:rFonts w:hint="eastAsia" w:ascii="仿宋_GB2312" w:hAnsi="仿宋_GB2312" w:eastAsia="仿宋_GB2312" w:cs="仿宋_GB2312"/>
          <w:i w:val="0"/>
          <w:iCs w:val="0"/>
          <w:caps w:val="0"/>
          <w:color w:val="auto"/>
          <w:spacing w:val="0"/>
          <w:sz w:val="32"/>
          <w:szCs w:val="32"/>
          <w:shd w:val="clear" w:fill="FFFFFF"/>
        </w:rPr>
        <w:t>文件和其他等信息共1</w:t>
      </w:r>
      <w:r>
        <w:rPr>
          <w:rFonts w:hint="eastAsia" w:ascii="仿宋_GB2312" w:hAnsi="仿宋_GB2312" w:eastAsia="仿宋_GB2312" w:cs="仿宋_GB2312"/>
          <w:i w:val="0"/>
          <w:iCs w:val="0"/>
          <w:caps w:val="0"/>
          <w:color w:val="auto"/>
          <w:spacing w:val="0"/>
          <w:sz w:val="32"/>
          <w:szCs w:val="32"/>
          <w:shd w:val="clear" w:fill="FFFFFF"/>
          <w:lang w:val="en-US" w:eastAsia="zh-CN"/>
        </w:rPr>
        <w:t>24</w:t>
      </w:r>
      <w:r>
        <w:rPr>
          <w:rFonts w:hint="eastAsia" w:ascii="仿宋_GB2312" w:hAnsi="仿宋_GB2312" w:eastAsia="仿宋_GB2312" w:cs="仿宋_GB2312"/>
          <w:i w:val="0"/>
          <w:iCs w:val="0"/>
          <w:caps w:val="0"/>
          <w:color w:val="auto"/>
          <w:spacing w:val="0"/>
          <w:sz w:val="32"/>
          <w:szCs w:val="32"/>
          <w:shd w:val="clear" w:fill="FFFFFF"/>
        </w:rPr>
        <w:t>条。</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420" w:leftChars="0" w:right="0" w:rightChars="0" w:firstLine="320" w:firstLineChars="1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依申请公开</w:t>
      </w:r>
      <w:r>
        <w:rPr>
          <w:rFonts w:hint="eastAsia" w:ascii="仿宋_GB2312" w:hAnsi="仿宋_GB2312" w:eastAsia="仿宋_GB2312" w:cs="仿宋_GB2312"/>
          <w:color w:val="auto"/>
          <w:sz w:val="32"/>
          <w:szCs w:val="32"/>
          <w:lang w:eastAsia="zh-CN"/>
        </w:rPr>
        <w:t>工作方面</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2023年，收到政府信息公开申请14件，同比增长366%，全部依法依规予以办理。因依申请公开引发的行政复议案件0件，行政诉讼案件0件，所有案件均按照法定程序进行了办理，较好保障了企业和群众获取政府信息的权利。</w:t>
      </w:r>
    </w:p>
    <w:p>
      <w:pPr>
        <w:pStyle w:val="4"/>
        <w:keepNext w:val="0"/>
        <w:keepLines w:val="0"/>
        <w:pageBreakBefore w:val="0"/>
        <w:widowControl w:val="0"/>
        <w:numPr>
          <w:ilvl w:val="0"/>
          <w:numId w:val="2"/>
        </w:numPr>
        <w:kinsoku/>
        <w:wordWrap/>
        <w:overflowPunct/>
        <w:topLinePunct w:val="0"/>
        <w:autoSpaceDE/>
        <w:autoSpaceDN/>
        <w:bidi w:val="0"/>
        <w:adjustRightInd/>
        <w:snapToGrid/>
        <w:spacing w:before="3"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政府信息管理</w:t>
      </w:r>
      <w:r>
        <w:rPr>
          <w:rFonts w:hint="eastAsia" w:ascii="仿宋_GB2312" w:hAnsi="仿宋_GB2312" w:eastAsia="仿宋_GB2312" w:cs="仿宋_GB2312"/>
          <w:color w:val="auto"/>
          <w:sz w:val="32"/>
          <w:szCs w:val="32"/>
          <w:lang w:eastAsia="zh-CN"/>
        </w:rPr>
        <w:t>方面</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3" w:afterAutospacing="0"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高度重视信息公开工作，制定政务公开工作方案、主动公开基本目录，明确机关各科室、局属各单位的相关任务及信息更新的频率，确保政府信息公开的效率和质量。继续推行信息公开领导小组工作机制，形成一把手负总责，分管领导部署，局办公室抓落实，责任科室、局属单位层层推进的工作格局，确保政务公开内容合法、规范、具体、真实、统一、有效，有力地推动了全局政务公开各项工作的顺利开展。</w:t>
      </w:r>
    </w:p>
    <w:p>
      <w:pPr>
        <w:pStyle w:val="4"/>
        <w:keepNext w:val="0"/>
        <w:keepLines w:val="0"/>
        <w:pageBreakBefore w:val="0"/>
        <w:widowControl w:val="0"/>
        <w:numPr>
          <w:ilvl w:val="0"/>
          <w:numId w:val="2"/>
        </w:numPr>
        <w:kinsoku/>
        <w:wordWrap/>
        <w:overflowPunct/>
        <w:topLinePunct w:val="0"/>
        <w:autoSpaceDE/>
        <w:autoSpaceDN/>
        <w:bidi w:val="0"/>
        <w:adjustRightInd/>
        <w:snapToGrid/>
        <w:spacing w:before="4"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平台建设情况</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4" w:afterAutospacing="0"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i w:val="0"/>
          <w:iCs w:val="0"/>
          <w:caps w:val="0"/>
          <w:color w:val="000000"/>
          <w:spacing w:val="0"/>
          <w:sz w:val="32"/>
          <w:szCs w:val="32"/>
          <w:shd w:val="clear" w:fill="FFFFFF"/>
        </w:rPr>
        <w:t>按照工作实际情况</w:t>
      </w:r>
      <w:r>
        <w:rPr>
          <w:rFonts w:hint="eastAsia" w:ascii="仿宋_GB2312" w:hAnsi="仿宋_GB2312" w:eastAsia="仿宋_GB2312" w:cs="仿宋_GB2312"/>
          <w:color w:val="auto"/>
          <w:kern w:val="0"/>
          <w:sz w:val="32"/>
          <w:szCs w:val="32"/>
          <w:lang w:val="en-US" w:eastAsia="zh-CN" w:bidi="ar"/>
        </w:rPr>
        <w:t>及时调整优化政府信息公开栏目设置，主动发布我区住房城乡建设领域的各类信息，不断提高政府信息发布质量。通过微信公众号“淄川住建”与政务公开平台互为补充，强化信息发布沟通渠道，及时发布本部门的相关信息、评论互动、答疑释惑，进一步强化政务信息公开，方便政民互动、网络问政。</w:t>
      </w:r>
    </w:p>
    <w:p>
      <w:pPr>
        <w:pStyle w:val="4"/>
        <w:keepNext w:val="0"/>
        <w:keepLines w:val="0"/>
        <w:pageBreakBefore w:val="0"/>
        <w:widowControl w:val="0"/>
        <w:numPr>
          <w:ilvl w:val="0"/>
          <w:numId w:val="2"/>
        </w:numPr>
        <w:kinsoku/>
        <w:wordWrap/>
        <w:overflowPunct/>
        <w:topLinePunct w:val="0"/>
        <w:autoSpaceDE/>
        <w:autoSpaceDN/>
        <w:bidi w:val="0"/>
        <w:adjustRightInd/>
        <w:snapToGrid/>
        <w:spacing w:before="3"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监督保障情况</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一是加强领导，高度重视。成立政府信息公开工作领导小组，制定完善相关制度文件和工作措施，及时落实上级部署工作。不断完善政府信息公开工作指南和公开目录，定期进行检查，及时更新。二是积极开展专业培训，加强信息公开队伍建设。组织培训包括《政府信息公开条例》相关法律法规、政府信息公开答复规范格式、政府信息公开发布保密注意事项等内容。同时，积极参加区政府组织的政府信息公开工作会议和业务培训，切实提高对政府信息公开工作的认识水平和工作能力。</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二、主动公开政府信息情况</w:t>
      </w:r>
    </w:p>
    <w:tbl>
      <w:tblPr>
        <w:tblStyle w:val="7"/>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0"/>
        <w:gridCol w:w="2180"/>
        <w:gridCol w:w="2180"/>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4"/>
                <w:szCs w:val="24"/>
              </w:rPr>
            </w:pPr>
          </w:p>
        </w:tc>
        <w:tc>
          <w:tcPr>
            <w:tcW w:w="6682" w:type="dxa"/>
            <w:gridSpan w:val="3"/>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第二十条第（ 一）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信息内容</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本年制发件数</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本年废止件数</w:t>
            </w:r>
          </w:p>
        </w:tc>
        <w:tc>
          <w:tcPr>
            <w:tcW w:w="232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规章</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w:t>
            </w:r>
          </w:p>
        </w:tc>
        <w:tc>
          <w:tcPr>
            <w:tcW w:w="232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行政规范性文件</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w:t>
            </w:r>
          </w:p>
        </w:tc>
        <w:tc>
          <w:tcPr>
            <w:tcW w:w="232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第二十条第（ 五）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行政许可</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第二十条第（ 六）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行政强制</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第二十条第（ 八）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行政事业性收费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w:t>
            </w:r>
          </w:p>
        </w:tc>
      </w:tr>
    </w:tbl>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三、收到和处理政府信息公开申请情况</w:t>
      </w:r>
    </w:p>
    <w:tbl>
      <w:tblPr>
        <w:tblStyle w:val="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986"/>
        <w:gridCol w:w="2994"/>
        <w:gridCol w:w="625"/>
        <w:gridCol w:w="627"/>
        <w:gridCol w:w="628"/>
        <w:gridCol w:w="628"/>
        <w:gridCol w:w="628"/>
        <w:gridCol w:w="641"/>
        <w:gridCol w:w="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559" w:type="pct"/>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（本列数据的勾稽关系为：第一项加第二项之和，等于第三项加第四项之和）</w:t>
            </w:r>
          </w:p>
        </w:tc>
        <w:tc>
          <w:tcPr>
            <w:tcW w:w="2440" w:type="pct"/>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559" w:type="pct"/>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p>
        </w:tc>
        <w:tc>
          <w:tcPr>
            <w:tcW w:w="345"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自然人</w:t>
            </w:r>
          </w:p>
        </w:tc>
        <w:tc>
          <w:tcPr>
            <w:tcW w:w="1741" w:type="pct"/>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法人或其他组织</w:t>
            </w:r>
          </w:p>
        </w:tc>
        <w:tc>
          <w:tcPr>
            <w:tcW w:w="353"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559" w:type="pct"/>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p>
        </w:tc>
        <w:tc>
          <w:tcPr>
            <w:tcW w:w="345"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p>
        </w:tc>
        <w:tc>
          <w:tcPr>
            <w:tcW w:w="34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商业企业</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eastAsia="zh-CN"/>
              </w:rPr>
              <w:t>科研机构</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社会公益组织</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法律服务机构</w:t>
            </w:r>
          </w:p>
        </w:tc>
        <w:tc>
          <w:tcPr>
            <w:tcW w:w="35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eastAsia="zh-CN"/>
              </w:rPr>
              <w:t>其他</w:t>
            </w:r>
          </w:p>
        </w:tc>
        <w:tc>
          <w:tcPr>
            <w:tcW w:w="353"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559"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一、本年新收政府信息公开申请数量</w:t>
            </w:r>
          </w:p>
        </w:tc>
        <w:tc>
          <w:tcPr>
            <w:tcW w:w="34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14</w:t>
            </w:r>
          </w:p>
        </w:tc>
        <w:tc>
          <w:tcPr>
            <w:tcW w:w="34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5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6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559"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二、上年结转政府信息公开申请数量</w:t>
            </w:r>
          </w:p>
        </w:tc>
        <w:tc>
          <w:tcPr>
            <w:tcW w:w="34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5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5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362"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三、本年度办理结果</w:t>
            </w:r>
          </w:p>
        </w:tc>
        <w:tc>
          <w:tcPr>
            <w:tcW w:w="2197"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一） 予以公开</w:t>
            </w:r>
          </w:p>
        </w:tc>
        <w:tc>
          <w:tcPr>
            <w:tcW w:w="34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lang w:val="en-US" w:eastAsia="zh-CN"/>
              </w:rPr>
              <w:t>13</w:t>
            </w:r>
          </w:p>
        </w:tc>
        <w:tc>
          <w:tcPr>
            <w:tcW w:w="34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5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5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p>
        </w:tc>
        <w:tc>
          <w:tcPr>
            <w:tcW w:w="2197"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（二）部分公开（区分处理的，只计这一情形，不计其他情形）</w:t>
            </w:r>
          </w:p>
        </w:tc>
        <w:tc>
          <w:tcPr>
            <w:tcW w:w="34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5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5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p>
        </w:tc>
        <w:tc>
          <w:tcPr>
            <w:tcW w:w="544"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三） 不予公开</w:t>
            </w:r>
          </w:p>
        </w:tc>
        <w:tc>
          <w:tcPr>
            <w:tcW w:w="165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 属于国家秘密</w:t>
            </w:r>
          </w:p>
        </w:tc>
        <w:tc>
          <w:tcPr>
            <w:tcW w:w="34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eastAsia="zh-CN"/>
              </w:rPr>
              <w:t>0</w:t>
            </w:r>
          </w:p>
        </w:tc>
        <w:tc>
          <w:tcPr>
            <w:tcW w:w="34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5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5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p>
        </w:tc>
        <w:tc>
          <w:tcPr>
            <w:tcW w:w="54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p>
        </w:tc>
        <w:tc>
          <w:tcPr>
            <w:tcW w:w="165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 其他法律行政法规禁止公开</w:t>
            </w:r>
          </w:p>
        </w:tc>
        <w:tc>
          <w:tcPr>
            <w:tcW w:w="34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5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5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p>
        </w:tc>
        <w:tc>
          <w:tcPr>
            <w:tcW w:w="54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p>
        </w:tc>
        <w:tc>
          <w:tcPr>
            <w:tcW w:w="165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3.危及“三安全一稳定”</w:t>
            </w:r>
          </w:p>
        </w:tc>
        <w:tc>
          <w:tcPr>
            <w:tcW w:w="34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5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5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p>
        </w:tc>
        <w:tc>
          <w:tcPr>
            <w:tcW w:w="54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p>
        </w:tc>
        <w:tc>
          <w:tcPr>
            <w:tcW w:w="165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 保护第三方合法权益</w:t>
            </w:r>
          </w:p>
        </w:tc>
        <w:tc>
          <w:tcPr>
            <w:tcW w:w="34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5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5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p>
        </w:tc>
        <w:tc>
          <w:tcPr>
            <w:tcW w:w="54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p>
        </w:tc>
        <w:tc>
          <w:tcPr>
            <w:tcW w:w="165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 属于三类内部事务信息</w:t>
            </w:r>
          </w:p>
        </w:tc>
        <w:tc>
          <w:tcPr>
            <w:tcW w:w="34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5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5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p>
        </w:tc>
        <w:tc>
          <w:tcPr>
            <w:tcW w:w="54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p>
        </w:tc>
        <w:tc>
          <w:tcPr>
            <w:tcW w:w="165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 属于四类过程性信息</w:t>
            </w:r>
          </w:p>
        </w:tc>
        <w:tc>
          <w:tcPr>
            <w:tcW w:w="34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5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5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p>
        </w:tc>
        <w:tc>
          <w:tcPr>
            <w:tcW w:w="54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p>
        </w:tc>
        <w:tc>
          <w:tcPr>
            <w:tcW w:w="165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 属于行政执法案卷</w:t>
            </w:r>
          </w:p>
        </w:tc>
        <w:tc>
          <w:tcPr>
            <w:tcW w:w="34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5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5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p>
        </w:tc>
        <w:tc>
          <w:tcPr>
            <w:tcW w:w="54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p>
        </w:tc>
        <w:tc>
          <w:tcPr>
            <w:tcW w:w="165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 属于行政查询事项</w:t>
            </w:r>
          </w:p>
        </w:tc>
        <w:tc>
          <w:tcPr>
            <w:tcW w:w="34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5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5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p>
        </w:tc>
        <w:tc>
          <w:tcPr>
            <w:tcW w:w="544"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四） 无法提供</w:t>
            </w:r>
          </w:p>
        </w:tc>
        <w:tc>
          <w:tcPr>
            <w:tcW w:w="165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 本机关不掌握相关政府信息</w:t>
            </w:r>
          </w:p>
        </w:tc>
        <w:tc>
          <w:tcPr>
            <w:tcW w:w="34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5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5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p>
        </w:tc>
        <w:tc>
          <w:tcPr>
            <w:tcW w:w="54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p>
        </w:tc>
        <w:tc>
          <w:tcPr>
            <w:tcW w:w="165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 没有现成信息需要另行制作</w:t>
            </w:r>
          </w:p>
        </w:tc>
        <w:tc>
          <w:tcPr>
            <w:tcW w:w="34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5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5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p>
        </w:tc>
        <w:tc>
          <w:tcPr>
            <w:tcW w:w="54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p>
        </w:tc>
        <w:tc>
          <w:tcPr>
            <w:tcW w:w="165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 补正后申请内容仍不明确</w:t>
            </w:r>
          </w:p>
        </w:tc>
        <w:tc>
          <w:tcPr>
            <w:tcW w:w="34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5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5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p>
        </w:tc>
        <w:tc>
          <w:tcPr>
            <w:tcW w:w="544"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五） 不予处理</w:t>
            </w:r>
          </w:p>
        </w:tc>
        <w:tc>
          <w:tcPr>
            <w:tcW w:w="165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 信访举报投诉类申请</w:t>
            </w:r>
          </w:p>
        </w:tc>
        <w:tc>
          <w:tcPr>
            <w:tcW w:w="34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5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5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p>
        </w:tc>
        <w:tc>
          <w:tcPr>
            <w:tcW w:w="54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p>
        </w:tc>
        <w:tc>
          <w:tcPr>
            <w:tcW w:w="165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 重复申请</w:t>
            </w:r>
          </w:p>
        </w:tc>
        <w:tc>
          <w:tcPr>
            <w:tcW w:w="34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5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5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p>
        </w:tc>
        <w:tc>
          <w:tcPr>
            <w:tcW w:w="54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p>
        </w:tc>
        <w:tc>
          <w:tcPr>
            <w:tcW w:w="165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 要求提供公开出版物</w:t>
            </w:r>
          </w:p>
        </w:tc>
        <w:tc>
          <w:tcPr>
            <w:tcW w:w="34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5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5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p>
        </w:tc>
        <w:tc>
          <w:tcPr>
            <w:tcW w:w="54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p>
        </w:tc>
        <w:tc>
          <w:tcPr>
            <w:tcW w:w="165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 无正当理由大量反复申请</w:t>
            </w:r>
          </w:p>
        </w:tc>
        <w:tc>
          <w:tcPr>
            <w:tcW w:w="34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5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5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p>
        </w:tc>
        <w:tc>
          <w:tcPr>
            <w:tcW w:w="54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p>
        </w:tc>
        <w:tc>
          <w:tcPr>
            <w:tcW w:w="165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 要求行政机关确认或重新出具已获取信息</w:t>
            </w:r>
          </w:p>
        </w:tc>
        <w:tc>
          <w:tcPr>
            <w:tcW w:w="34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5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5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p>
        </w:tc>
        <w:tc>
          <w:tcPr>
            <w:tcW w:w="544"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六） 其他处理</w:t>
            </w:r>
          </w:p>
        </w:tc>
        <w:tc>
          <w:tcPr>
            <w:tcW w:w="165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 申请人无正当理由逾期不补正、行政机关不再处理其政府信息公开申请</w:t>
            </w:r>
          </w:p>
        </w:tc>
        <w:tc>
          <w:tcPr>
            <w:tcW w:w="34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5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5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2" w:type="pct"/>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p>
        </w:tc>
        <w:tc>
          <w:tcPr>
            <w:tcW w:w="544" w:type="pct"/>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p>
        </w:tc>
        <w:tc>
          <w:tcPr>
            <w:tcW w:w="1652" w:type="pct"/>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 申请人逾期未按收费通知要求缴纳费用、行政机关不再处理其政府信息公开申请</w:t>
            </w:r>
          </w:p>
        </w:tc>
        <w:tc>
          <w:tcPr>
            <w:tcW w:w="34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5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5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2" w:type="pct"/>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p>
        </w:tc>
        <w:tc>
          <w:tcPr>
            <w:tcW w:w="544" w:type="pct"/>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p>
        </w:tc>
        <w:tc>
          <w:tcPr>
            <w:tcW w:w="165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 其他</w:t>
            </w:r>
          </w:p>
        </w:tc>
        <w:tc>
          <w:tcPr>
            <w:tcW w:w="34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5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5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2" w:type="pct"/>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p>
        </w:tc>
        <w:tc>
          <w:tcPr>
            <w:tcW w:w="2197"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七） 总计</w:t>
            </w:r>
          </w:p>
        </w:tc>
        <w:tc>
          <w:tcPr>
            <w:tcW w:w="34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13</w:t>
            </w:r>
          </w:p>
        </w:tc>
        <w:tc>
          <w:tcPr>
            <w:tcW w:w="34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5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5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559"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四、结转下年度继续办理</w:t>
            </w:r>
          </w:p>
        </w:tc>
        <w:tc>
          <w:tcPr>
            <w:tcW w:w="34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1</w:t>
            </w:r>
          </w:p>
        </w:tc>
        <w:tc>
          <w:tcPr>
            <w:tcW w:w="34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4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5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35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1</w:t>
            </w:r>
          </w:p>
        </w:tc>
      </w:tr>
    </w:tbl>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四、政府信息公开行政复议、行政诉讼情况</w:t>
      </w:r>
    </w:p>
    <w:tbl>
      <w:tblPr>
        <w:tblStyle w:val="7"/>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598"/>
        <w:gridCol w:w="598"/>
        <w:gridCol w:w="598"/>
        <w:gridCol w:w="598"/>
        <w:gridCol w:w="598"/>
        <w:gridCol w:w="598"/>
        <w:gridCol w:w="598"/>
        <w:gridCol w:w="598"/>
        <w:gridCol w:w="598"/>
        <w:gridCol w:w="598"/>
        <w:gridCol w:w="598"/>
        <w:gridCol w:w="598"/>
        <w:gridCol w:w="598"/>
        <w:gridCol w:w="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99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行政复议</w:t>
            </w:r>
          </w:p>
        </w:tc>
        <w:tc>
          <w:tcPr>
            <w:tcW w:w="5992"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结果维持</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结果纠正</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其他结果</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尚未审结</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总计</w:t>
            </w:r>
          </w:p>
        </w:tc>
        <w:tc>
          <w:tcPr>
            <w:tcW w:w="299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未经复议直接起诉</w:t>
            </w:r>
          </w:p>
        </w:tc>
        <w:tc>
          <w:tcPr>
            <w:tcW w:w="300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2"/>
                <w:szCs w:val="22"/>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2"/>
                <w:szCs w:val="22"/>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2"/>
                <w:szCs w:val="22"/>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2"/>
                <w:szCs w:val="22"/>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2"/>
                <w:szCs w:val="22"/>
              </w:rPr>
            </w:pP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尚未审结</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总计</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尚未审结</w:t>
            </w:r>
          </w:p>
        </w:tc>
        <w:tc>
          <w:tcPr>
            <w:tcW w:w="6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6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r>
    </w:tbl>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五、存在的主要问题及改进情况</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依申请公开数量大幅上升，公开涉及面广，出现同一时段内、同一事项多次申请现象，给按时答复带来一定难度。针对复杂疑难依申请案件，由政务公开领导小组办公室、相关业务科室、法律顾问三方会商，认真分析研究依申请内容，确保依申请公开答复的准确性和针对性，保障申请人知情权。</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六、其他需要报告的事项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收取信息处理费情况。按照《国务院办公厅关于印发&lt;政府信息公开信息处理费管理办法&gt;的通知》（国办函〔2020〕109号）。和《山东省人民政府办公厅关于做好政府信息公开信息处理费管理工作有关事项的通知》（鲁政办字〔2020〕179号）收取信息处理费。2023年本机关依申请公开政府信息未收取任何费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2、落实上级年度政务公开工作要点情况。严格按照上级工作要求，形成并公开《淄川区住房和城乡建设局政务公开工作任务台账》，明确重点工作任务及要求，确保</w:t>
      </w:r>
      <w:r>
        <w:rPr>
          <w:rFonts w:hint="eastAsia" w:ascii="仿宋_GB2312" w:hAnsi="仿宋_GB2312" w:eastAsia="仿宋_GB2312" w:cs="仿宋_GB2312"/>
          <w:i w:val="0"/>
          <w:iCs w:val="0"/>
          <w:caps w:val="0"/>
          <w:color w:val="000000"/>
          <w:spacing w:val="0"/>
          <w:sz w:val="32"/>
          <w:szCs w:val="32"/>
          <w:shd w:val="clear" w:fill="FFFFFF"/>
        </w:rPr>
        <w:t>高标准完成各项</w:t>
      </w:r>
      <w:r>
        <w:rPr>
          <w:rFonts w:hint="eastAsia" w:ascii="仿宋_GB2312" w:hAnsi="仿宋_GB2312" w:eastAsia="仿宋_GB2312" w:cs="仿宋_GB2312"/>
          <w:i w:val="0"/>
          <w:iCs w:val="0"/>
          <w:caps w:val="0"/>
          <w:color w:val="000000"/>
          <w:spacing w:val="0"/>
          <w:sz w:val="32"/>
          <w:szCs w:val="32"/>
          <w:shd w:val="clear" w:fill="FFFFFF"/>
          <w:lang w:val="en-US" w:eastAsia="zh-CN"/>
        </w:rPr>
        <w:t>考核指标</w:t>
      </w:r>
      <w:r>
        <w:rPr>
          <w:rFonts w:hint="eastAsia" w:ascii="仿宋_GB2312" w:hAnsi="仿宋_GB2312" w:eastAsia="仿宋_GB2312" w:cs="仿宋_GB2312"/>
          <w:i w:val="0"/>
          <w:iCs w:val="0"/>
          <w:caps w:val="0"/>
          <w:color w:val="000000"/>
          <w:spacing w:val="0"/>
          <w:sz w:val="32"/>
          <w:szCs w:val="32"/>
          <w:shd w:val="clear" w:fill="FFFFFF"/>
          <w:lang w:eastAsia="zh-CN"/>
        </w:rPr>
        <w:t>。</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lang w:val="en-US" w:eastAsia="zh-CN"/>
        </w:rPr>
        <w:t>3、人大代表建议及政协委员提案办理结果情况。</w:t>
      </w:r>
      <w:r>
        <w:rPr>
          <w:rFonts w:hint="eastAsia" w:ascii="仿宋_GB2312" w:hAnsi="仿宋_GB2312" w:eastAsia="仿宋_GB2312" w:cs="仿宋_GB2312"/>
          <w:i w:val="0"/>
          <w:caps w:val="0"/>
          <w:color w:val="auto"/>
          <w:spacing w:val="0"/>
          <w:sz w:val="32"/>
          <w:szCs w:val="32"/>
          <w:shd w:val="clear" w:fill="FFFFFF"/>
        </w:rPr>
        <w:t>202</w:t>
      </w:r>
      <w:r>
        <w:rPr>
          <w:rFonts w:hint="eastAsia" w:ascii="仿宋_GB2312" w:hAnsi="仿宋_GB2312" w:eastAsia="仿宋_GB2312" w:cs="仿宋_GB2312"/>
          <w:i w:val="0"/>
          <w:caps w:val="0"/>
          <w:color w:val="auto"/>
          <w:spacing w:val="0"/>
          <w:sz w:val="32"/>
          <w:szCs w:val="32"/>
          <w:shd w:val="clear" w:fill="FFFFFF"/>
          <w:lang w:val="en-US" w:eastAsia="zh-CN"/>
        </w:rPr>
        <w:t>3</w:t>
      </w:r>
      <w:r>
        <w:rPr>
          <w:rFonts w:hint="eastAsia" w:ascii="仿宋_GB2312" w:hAnsi="仿宋_GB2312" w:eastAsia="仿宋_GB2312" w:cs="仿宋_GB2312"/>
          <w:i w:val="0"/>
          <w:caps w:val="0"/>
          <w:color w:val="auto"/>
          <w:spacing w:val="0"/>
          <w:sz w:val="32"/>
          <w:szCs w:val="32"/>
          <w:shd w:val="clear" w:fill="FFFFFF"/>
        </w:rPr>
        <w:t>年，区住建局共收到政协提案</w:t>
      </w:r>
      <w:r>
        <w:rPr>
          <w:rFonts w:hint="eastAsia" w:ascii="仿宋_GB2312" w:hAnsi="仿宋_GB2312" w:eastAsia="仿宋_GB2312" w:cs="仿宋_GB2312"/>
          <w:i w:val="0"/>
          <w:caps w:val="0"/>
          <w:color w:val="auto"/>
          <w:spacing w:val="0"/>
          <w:sz w:val="32"/>
          <w:szCs w:val="32"/>
          <w:shd w:val="clear" w:fill="FFFFFF"/>
          <w:lang w:val="en-US" w:eastAsia="zh-CN"/>
        </w:rPr>
        <w:t>10</w:t>
      </w:r>
      <w:r>
        <w:rPr>
          <w:rFonts w:hint="eastAsia" w:ascii="仿宋_GB2312" w:hAnsi="仿宋_GB2312" w:eastAsia="仿宋_GB2312" w:cs="仿宋_GB2312"/>
          <w:i w:val="0"/>
          <w:caps w:val="0"/>
          <w:color w:val="auto"/>
          <w:spacing w:val="0"/>
          <w:sz w:val="32"/>
          <w:szCs w:val="32"/>
          <w:shd w:val="clear" w:fill="FFFFFF"/>
        </w:rPr>
        <w:t>件，人大建议</w:t>
      </w:r>
      <w:r>
        <w:rPr>
          <w:rFonts w:hint="eastAsia" w:ascii="仿宋_GB2312" w:hAnsi="仿宋_GB2312" w:eastAsia="仿宋_GB2312" w:cs="仿宋_GB2312"/>
          <w:i w:val="0"/>
          <w:caps w:val="0"/>
          <w:color w:val="auto"/>
          <w:spacing w:val="0"/>
          <w:sz w:val="32"/>
          <w:szCs w:val="32"/>
          <w:shd w:val="clear" w:fill="FFFFFF"/>
          <w:lang w:val="en-US" w:eastAsia="zh-CN"/>
        </w:rPr>
        <w:t>6</w:t>
      </w:r>
      <w:r>
        <w:rPr>
          <w:rFonts w:hint="eastAsia" w:ascii="仿宋_GB2312" w:hAnsi="仿宋_GB2312" w:eastAsia="仿宋_GB2312" w:cs="仿宋_GB2312"/>
          <w:i w:val="0"/>
          <w:caps w:val="0"/>
          <w:color w:val="auto"/>
          <w:spacing w:val="0"/>
          <w:sz w:val="32"/>
          <w:szCs w:val="32"/>
          <w:shd w:val="clear" w:fill="FFFFFF"/>
        </w:rPr>
        <w:t>件，均给予了圆满答复，答复率100%，委员代表满意率100%</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lang w:val="en-US" w:eastAsia="zh-CN"/>
        </w:rPr>
        <w:t>并依规对建议提案内容、答复内容进行公开，</w:t>
      </w:r>
      <w:r>
        <w:rPr>
          <w:rFonts w:hint="eastAsia" w:ascii="仿宋_GB2312" w:hAnsi="仿宋_GB2312" w:eastAsia="仿宋_GB2312" w:cs="仿宋_GB2312"/>
          <w:i w:val="0"/>
          <w:caps w:val="0"/>
          <w:color w:val="auto"/>
          <w:spacing w:val="0"/>
          <w:sz w:val="32"/>
          <w:szCs w:val="32"/>
          <w:shd w:val="clear" w:fill="FFFFFF"/>
        </w:rPr>
        <w:t>全年未有上级建议提案办理任务。</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4、政务公开工作创新情况。无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仿宋_GB2312" w:hAnsi="仿宋_GB2312" w:eastAsia="仿宋_GB2312" w:cs="仿宋_GB2312"/>
          <w:i w:val="0"/>
          <w:caps w:val="0"/>
          <w:color w:val="auto"/>
          <w:spacing w:val="0"/>
          <w:kern w:val="2"/>
          <w:sz w:val="32"/>
          <w:szCs w:val="32"/>
          <w:shd w:val="clear" w:fill="FFFFFF"/>
          <w:lang w:val="en-US" w:eastAsia="zh-CN" w:bidi="ar-SA"/>
        </w:rPr>
        <w:t>5、政府信息公开工作年度报告数据统计需要说明的事项。无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仿宋_GB2312" w:hAnsi="仿宋_GB2312" w:eastAsia="仿宋_GB2312" w:cs="仿宋_GB2312"/>
          <w:i w:val="0"/>
          <w:caps w:val="0"/>
          <w:color w:val="auto"/>
          <w:spacing w:val="0"/>
          <w:kern w:val="2"/>
          <w:sz w:val="32"/>
          <w:szCs w:val="32"/>
          <w:shd w:val="clear" w:fill="FFFFFF"/>
          <w:lang w:val="en-US" w:eastAsia="zh-CN" w:bidi="ar-SA"/>
        </w:rPr>
        <w:t>6、本行政机关认为需要报告的其他事项。无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仿宋_GB2312" w:hAnsi="仿宋_GB2312" w:eastAsia="仿宋_GB2312" w:cs="仿宋_GB2312"/>
          <w:i w:val="0"/>
          <w:caps w:val="0"/>
          <w:color w:val="auto"/>
          <w:spacing w:val="0"/>
          <w:kern w:val="2"/>
          <w:sz w:val="32"/>
          <w:szCs w:val="32"/>
          <w:shd w:val="clear" w:fill="FFFFFF"/>
          <w:lang w:val="en-US" w:eastAsia="zh-CN" w:bidi="ar-SA"/>
        </w:rPr>
        <w:t>7、其他有关文件专门要求通过政府信息公开工作年度报告予以报告的事项。无</w:t>
      </w:r>
    </w:p>
    <w:p>
      <w:pPr>
        <w:keepNext w:val="0"/>
        <w:keepLines w:val="0"/>
        <w:pageBreakBefore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p>
    <w:p>
      <w:pPr>
        <w:keepNext w:val="0"/>
        <w:keepLines w:val="0"/>
        <w:pageBreakBefore w:val="0"/>
        <w:kinsoku/>
        <w:wordWrap/>
        <w:overflowPunct/>
        <w:topLinePunct w:val="0"/>
        <w:autoSpaceDE/>
        <w:autoSpaceDN/>
        <w:bidi w:val="0"/>
        <w:adjustRightInd/>
        <w:snapToGrid/>
        <w:spacing w:afterAutospacing="0" w:line="560" w:lineRule="exact"/>
        <w:ind w:firstLine="3520" w:firstLineChars="1100"/>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仿宋_GB2312" w:hAnsi="仿宋_GB2312" w:eastAsia="仿宋_GB2312" w:cs="仿宋_GB2312"/>
          <w:i w:val="0"/>
          <w:caps w:val="0"/>
          <w:color w:val="auto"/>
          <w:spacing w:val="0"/>
          <w:kern w:val="2"/>
          <w:sz w:val="32"/>
          <w:szCs w:val="32"/>
          <w:shd w:val="clear" w:fill="FFFFFF"/>
          <w:lang w:val="en-US" w:eastAsia="zh-CN" w:bidi="ar-SA"/>
        </w:rPr>
        <w:t>淄博市淄川区住房和城乡建设局</w:t>
      </w:r>
    </w:p>
    <w:p>
      <w:pPr>
        <w:keepNext w:val="0"/>
        <w:keepLines w:val="0"/>
        <w:pageBreakBefore w:val="0"/>
        <w:kinsoku/>
        <w:wordWrap/>
        <w:overflowPunct/>
        <w:topLinePunct w:val="0"/>
        <w:autoSpaceDE/>
        <w:autoSpaceDN/>
        <w:bidi w:val="0"/>
        <w:adjustRightInd/>
        <w:snapToGrid/>
        <w:spacing w:afterAutospacing="0" w:line="560" w:lineRule="exact"/>
        <w:ind w:firstLine="4800" w:firstLineChars="1500"/>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仿宋_GB2312" w:hAnsi="仿宋_GB2312" w:eastAsia="仿宋_GB2312" w:cs="仿宋_GB2312"/>
          <w:i w:val="0"/>
          <w:caps w:val="0"/>
          <w:color w:val="auto"/>
          <w:spacing w:val="0"/>
          <w:kern w:val="2"/>
          <w:sz w:val="32"/>
          <w:szCs w:val="32"/>
          <w:shd w:val="clear" w:fill="FFFFFF"/>
          <w:lang w:val="en-US" w:eastAsia="zh-CN" w:bidi="ar-SA"/>
        </w:rPr>
        <w:t>2024年1月12日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3D7FBE"/>
    <w:multiLevelType w:val="singleLevel"/>
    <w:tmpl w:val="453D7FBE"/>
    <w:lvl w:ilvl="0" w:tentative="0">
      <w:start w:val="1"/>
      <w:numFmt w:val="chineseCounting"/>
      <w:suff w:val="nothing"/>
      <w:lvlText w:val="%1、"/>
      <w:lvlJc w:val="left"/>
      <w:rPr>
        <w:rFonts w:hint="eastAsia"/>
      </w:rPr>
    </w:lvl>
  </w:abstractNum>
  <w:abstractNum w:abstractNumId="1">
    <w:nsid w:val="4BD5813B"/>
    <w:multiLevelType w:val="singleLevel"/>
    <w:tmpl w:val="4BD5813B"/>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5YTM3NmI4MWRkYmQwMWNmYzJkNTc4NmU1ZWM3MTEifQ=="/>
  </w:docVars>
  <w:rsids>
    <w:rsidRoot w:val="06E75045"/>
    <w:rsid w:val="00AE72C3"/>
    <w:rsid w:val="0615299D"/>
    <w:rsid w:val="06E75045"/>
    <w:rsid w:val="082116FB"/>
    <w:rsid w:val="1D0074C1"/>
    <w:rsid w:val="3145389E"/>
    <w:rsid w:val="357726F3"/>
    <w:rsid w:val="35C82A73"/>
    <w:rsid w:val="3CEA4B96"/>
    <w:rsid w:val="3EE2025E"/>
    <w:rsid w:val="56093059"/>
    <w:rsid w:val="5F447139"/>
    <w:rsid w:val="620E1670"/>
    <w:rsid w:val="64ED7AF8"/>
    <w:rsid w:val="65503A95"/>
    <w:rsid w:val="6C796776"/>
    <w:rsid w:val="6CFC00CD"/>
    <w:rsid w:val="72D76FA4"/>
    <w:rsid w:val="7A7C62B3"/>
    <w:rsid w:val="7F6F6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1"/>
    <w:pPr>
      <w:ind w:left="800"/>
    </w:pPr>
    <w:rPr>
      <w:rFonts w:ascii="宋体" w:hAnsi="宋体" w:eastAsia="宋体" w:cs="宋体"/>
      <w:sz w:val="32"/>
      <w:szCs w:val="32"/>
      <w:lang w:val="en-US" w:eastAsia="zh-CN" w:bidi="ar-SA"/>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basedOn w:val="8"/>
    <w:qFormat/>
    <w:uiPriority w:val="0"/>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1693</Words>
  <Characters>1739</Characters>
  <Lines>0</Lines>
  <Paragraphs>0</Paragraphs>
  <TotalTime>62</TotalTime>
  <ScaleCrop>false</ScaleCrop>
  <LinksUpToDate>false</LinksUpToDate>
  <CharactersWithSpaces>1784</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2021-02-02T06:54:00Z</dcterms:created>
  <dc:creator>徐汪</dc:creator>
  <cp:lastModifiedBy>银杏果</cp:lastModifiedBy>
  <dcterms:modified xsi:type="dcterms:W3CDTF">2024-01-30T01:00:20Z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7508F5430DDC47C8B701BF07FD08222F</vt:lpwstr>
  </property>
</Properties>
</file>