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淄博市淄川区综合行政执法局</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2023年政府信息公开工作年度报告</w:t>
      </w:r>
    </w:p>
    <w:p>
      <w:pPr>
        <w:widowControl/>
        <w:shd w:val="clear" w:color="auto" w:fill="FFFFFF"/>
        <w:spacing w:line="560" w:lineRule="exact"/>
        <w:ind w:firstLine="482"/>
        <w:rPr>
          <w:rFonts w:ascii="Times New Roman" w:hAnsi="Times New Roman" w:eastAsia="黑体"/>
          <w:bCs/>
          <w:kern w:val="0"/>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本年度报告中所列数据的统计期限自2023年1月1日起，至2023年12月31日止。如对报告内容有疑问，请与</w:t>
      </w:r>
      <w:r>
        <w:rPr>
          <w:rFonts w:hint="eastAsia" w:ascii="仿宋_GB2312" w:hAnsi="仿宋_GB2312" w:eastAsia="仿宋_GB2312" w:cs="仿宋_GB2312"/>
          <w:sz w:val="32"/>
          <w:szCs w:val="32"/>
        </w:rPr>
        <w:t>淄川区综合行政执法局</w:t>
      </w:r>
      <w:r>
        <w:rPr>
          <w:rFonts w:ascii="仿宋_GB2312" w:hAnsi="仿宋_GB2312" w:eastAsia="仿宋_GB2312" w:cs="仿宋_GB2312"/>
          <w:sz w:val="32"/>
          <w:szCs w:val="32"/>
        </w:rPr>
        <w:t>联系（地址：</w:t>
      </w:r>
      <w:r>
        <w:rPr>
          <w:rFonts w:hint="eastAsia" w:ascii="仿宋_GB2312" w:hAnsi="仿宋_GB2312" w:eastAsia="仿宋_GB2312" w:cs="仿宋_GB2312"/>
          <w:sz w:val="32"/>
          <w:szCs w:val="32"/>
        </w:rPr>
        <w:t>淄博市淄川区鲁泰文化路512号</w:t>
      </w:r>
      <w:r>
        <w:rPr>
          <w:rFonts w:ascii="仿宋_GB2312" w:hAnsi="仿宋_GB2312" w:eastAsia="仿宋_GB2312" w:cs="仿宋_GB2312"/>
          <w:sz w:val="32"/>
          <w:szCs w:val="32"/>
        </w:rPr>
        <w:t>；邮编：</w:t>
      </w:r>
      <w:r>
        <w:rPr>
          <w:rFonts w:hint="eastAsia" w:ascii="仿宋_GB2312" w:hAnsi="仿宋_GB2312" w:eastAsia="仿宋_GB2312" w:cs="仿宋_GB2312"/>
          <w:sz w:val="32"/>
          <w:szCs w:val="32"/>
        </w:rPr>
        <w:t>255100</w:t>
      </w:r>
      <w:r>
        <w:rPr>
          <w:rFonts w:ascii="仿宋_GB2312" w:hAnsi="仿宋_GB2312" w:eastAsia="仿宋_GB2312" w:cs="仿宋_GB2312"/>
          <w:sz w:val="32"/>
          <w:szCs w:val="32"/>
        </w:rPr>
        <w:t>；电话：0533-</w:t>
      </w:r>
      <w:r>
        <w:rPr>
          <w:rFonts w:hint="eastAsia" w:ascii="仿宋_GB2312" w:hAnsi="仿宋_GB2312" w:eastAsia="仿宋_GB2312" w:cs="仿宋_GB2312"/>
          <w:sz w:val="32"/>
          <w:szCs w:val="32"/>
        </w:rPr>
        <w:t>2705760</w:t>
      </w:r>
      <w:r>
        <w:rPr>
          <w:rFonts w:ascii="仿宋_GB2312" w:hAnsi="仿宋_GB2312" w:eastAsia="仿宋_GB2312" w:cs="仿宋_GB2312"/>
          <w:sz w:val="32"/>
          <w:szCs w:val="32"/>
        </w:rPr>
        <w:t>；电子邮箱：</w:t>
      </w:r>
      <w:r>
        <w:fldChar w:fldCharType="begin"/>
      </w:r>
      <w:r>
        <w:instrText xml:space="preserve"> HYPERLINK "mailto:zcq-zhxzzfj@zb.shandong.cn" </w:instrText>
      </w:r>
      <w:r>
        <w:fldChar w:fldCharType="separate"/>
      </w:r>
      <w:r>
        <w:rPr>
          <w:rFonts w:hint="eastAsia" w:ascii="仿宋_GB2312" w:hAnsi="仿宋_GB2312" w:eastAsia="仿宋_GB2312" w:cs="仿宋_GB2312"/>
          <w:sz w:val="32"/>
          <w:szCs w:val="32"/>
        </w:rPr>
        <w:t>zcq-zhxzzfj@zb.shandong.cn</w:t>
      </w:r>
      <w:r>
        <w:rPr>
          <w:rFonts w:hint="eastAsia" w:ascii="仿宋_GB2312" w:hAnsi="仿宋_GB2312" w:eastAsia="仿宋_GB2312" w:cs="仿宋_GB2312"/>
          <w:sz w:val="32"/>
          <w:szCs w:val="32"/>
        </w:rPr>
        <w:fldChar w:fldCharType="end"/>
      </w:r>
      <w:r>
        <w:rPr>
          <w:rFonts w:ascii="仿宋_GB2312" w:hAnsi="仿宋_GB2312" w:eastAsia="仿宋_GB2312" w:cs="仿宋_GB2312"/>
          <w:sz w:val="32"/>
          <w:szCs w:val="32"/>
        </w:rPr>
        <w:t>）。</w:t>
      </w: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一、总体情况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淄川区综合行政执法</w:t>
      </w:r>
      <w:r>
        <w:rPr>
          <w:rFonts w:ascii="仿宋_GB2312" w:hAnsi="仿宋_GB2312" w:eastAsia="仿宋_GB2312" w:cs="仿宋_GB2312"/>
          <w:sz w:val="32"/>
          <w:szCs w:val="32"/>
        </w:rPr>
        <w:t>局全面贯彻落实党的二十大精神，坚持围绕中心</w:t>
      </w:r>
      <w:r>
        <w:rPr>
          <w:rFonts w:hint="eastAsia" w:ascii="仿宋_GB2312" w:hAnsi="仿宋_GB2312" w:eastAsia="仿宋_GB2312" w:cs="仿宋_GB2312"/>
          <w:sz w:val="32"/>
          <w:szCs w:val="32"/>
        </w:rPr>
        <w:t>工作，按照区委区政府统一安排部署，依法依规做好政务公开工作。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1、主动公开情况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淄川区综合行政执法局高度重视政务公开工作，不断完善政务公开工作制度，政务公开工作领导小组按照责任分工严格抓好各项政务公开工作。参照《</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年淄川区政务公开工作任务分解表》，按时完成政务公开相关栏目的上传和维护工作，本年度通过区政府网站主动公开各类政府信息共</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4条。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2、依申请公开情况</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2023年，淄川区综合行政执法局</w:t>
      </w:r>
      <w:r>
        <w:rPr>
          <w:rFonts w:ascii="仿宋_GB2312" w:hAnsi="仿宋_GB2312" w:eastAsia="仿宋_GB2312" w:cs="仿宋_GB2312"/>
          <w:sz w:val="32"/>
          <w:szCs w:val="32"/>
        </w:rPr>
        <w:t>收到政府信息公开申请</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全部依法依规予以办理。因依申请公开引发的行政复议案件</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件，行政诉讼案件</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政府信息公开工作领导小组不断完善政务公开工作制度，严格遵循政务公开工作流程，完善信息公开源头认定机制，根据公开标准重点对部门文件格式和内容进行了规范和维护，圆满完成了各项政务公开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4、平台建设方面</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olor w:val="000000"/>
          <w:kern w:val="0"/>
          <w:sz w:val="32"/>
          <w:szCs w:val="32"/>
        </w:rPr>
        <w:t>充分利用政府门户网站和微信公众号平台，及时公开局信息。</w:t>
      </w:r>
      <w:r>
        <w:rPr>
          <w:rFonts w:hint="eastAsia" w:ascii="仿宋_GB2312" w:hAnsi="仿宋_GB2312" w:eastAsia="仿宋_GB2312" w:cs="仿宋_GB2312"/>
          <w:sz w:val="32"/>
          <w:szCs w:val="32"/>
        </w:rPr>
        <w:t>一方面通过区政府门户网站对政府信息公开栏目设置进行梳理，</w:t>
      </w:r>
      <w:r>
        <w:rPr>
          <w:rFonts w:hint="eastAsia" w:ascii="Times New Roman" w:hAnsi="Times New Roman" w:eastAsia="仿宋_GB2312"/>
          <w:color w:val="000000"/>
          <w:kern w:val="0"/>
          <w:sz w:val="32"/>
          <w:szCs w:val="32"/>
        </w:rPr>
        <w:t>定期公开政策文件、重点领域、执法情况等内容，</w:t>
      </w:r>
      <w:r>
        <w:rPr>
          <w:rFonts w:hint="eastAsia" w:ascii="仿宋_GB2312" w:hAnsi="仿宋_GB2312" w:eastAsia="仿宋_GB2312" w:cs="仿宋_GB2312"/>
          <w:sz w:val="32"/>
          <w:szCs w:val="32"/>
        </w:rPr>
        <w:t>另一方面通过“淄川行政执法”局微信公众号按照区政府要求积极转发相关政策信息，截至目前，局微信公众号关注人数1340余人，全年发布图文、视频资料509条，</w:t>
      </w:r>
      <w:r>
        <w:rPr>
          <w:rFonts w:hint="eastAsia" w:ascii="Times New Roman" w:hAnsi="Times New Roman" w:eastAsia="仿宋_GB2312"/>
          <w:color w:val="000000"/>
          <w:kern w:val="0"/>
          <w:sz w:val="32"/>
          <w:szCs w:val="32"/>
        </w:rPr>
        <w:t>为群众提供政策宣传及便利服务。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5、监督保障情况。</w:t>
      </w:r>
    </w:p>
    <w:p>
      <w:pPr>
        <w:spacing w:line="560" w:lineRule="exact"/>
        <w:ind w:firstLine="641"/>
        <w:rPr>
          <w:rFonts w:ascii="Times New Roman" w:hAnsi="Times New Roman" w:eastAsia="楷体"/>
          <w:color w:val="000000"/>
          <w:kern w:val="0"/>
          <w:sz w:val="32"/>
          <w:szCs w:val="32"/>
        </w:rPr>
      </w:pPr>
      <w:r>
        <w:rPr>
          <w:rFonts w:hint="eastAsia" w:ascii="Times New Roman" w:hAnsi="Times New Roman" w:eastAsia="仿宋_GB2312"/>
          <w:color w:val="000000"/>
          <w:kern w:val="0"/>
          <w:sz w:val="32"/>
          <w:szCs w:val="32"/>
        </w:rPr>
        <w:t>一是加强组织领导。淄川区综合行政执法局始终将政务公开工作纳入重要议事日程，根据我局实际，加大领导力度，优化组织机构，形成了主要领导亲自抓，相关负责人组织实施，层层有人管、层层抓落实的工作格局。二是强化监督保障。</w:t>
      </w:r>
      <w:r>
        <w:rPr>
          <w:rFonts w:hint="eastAsia" w:ascii="仿宋_GB2312" w:hAnsi="仿宋_GB2312" w:eastAsia="仿宋_GB2312" w:cs="仿宋_GB2312"/>
          <w:sz w:val="32"/>
          <w:szCs w:val="32"/>
        </w:rPr>
        <w:t>局政府信息公开工作领导小组年初制定2023年政务公开培训计划，全年开展专题培训2次，不定期召开中层会议对政府信息公开工作进行评估，及时梳理公开事项，督促各科室按时公开相关政府信息。</w:t>
      </w:r>
    </w:p>
    <w:p>
      <w:pPr>
        <w:spacing w:line="560" w:lineRule="exact"/>
        <w:ind w:firstLine="641"/>
        <w:rPr>
          <w:rFonts w:ascii="Times New Roman" w:hAnsi="Times New Roman" w:eastAsia="楷体"/>
          <w:color w:val="000000"/>
          <w:kern w:val="0"/>
          <w:sz w:val="32"/>
          <w:szCs w:val="32"/>
        </w:rPr>
      </w:pPr>
    </w:p>
    <w:p>
      <w:pPr>
        <w:spacing w:line="560" w:lineRule="exact"/>
        <w:ind w:firstLine="641"/>
        <w:rPr>
          <w:rFonts w:ascii="Times New Roman" w:hAnsi="Times New Roman" w:eastAsia="楷体"/>
          <w:color w:val="000000"/>
          <w:kern w:val="0"/>
          <w:sz w:val="32"/>
          <w:szCs w:val="32"/>
        </w:rPr>
      </w:pPr>
    </w:p>
    <w:p>
      <w:pPr>
        <w:widowControl/>
        <w:shd w:val="clear" w:color="auto" w:fill="FFFFFF"/>
        <w:spacing w:line="560" w:lineRule="exact"/>
        <w:ind w:firstLine="640" w:firstLineChars="200"/>
        <w:rPr>
          <w:rFonts w:ascii="Times New Roman" w:hAnsi="Times New Roman" w:eastAsia="黑体"/>
          <w:bCs/>
          <w:kern w:val="0"/>
          <w:sz w:val="32"/>
          <w:szCs w:val="32"/>
        </w:rPr>
      </w:pPr>
      <w:r>
        <w:rPr>
          <w:rFonts w:hint="eastAsia" w:ascii="Times New Roman" w:hAnsi="Times New Roman" w:eastAsia="黑体"/>
          <w:bCs/>
          <w:kern w:val="0"/>
          <w:sz w:val="32"/>
          <w:szCs w:val="32"/>
        </w:rPr>
        <w:t>二、</w:t>
      </w:r>
      <w:r>
        <w:rPr>
          <w:rFonts w:ascii="Times New Roman" w:hAnsi="Times New Roman" w:eastAsia="黑体"/>
          <w:bCs/>
          <w:kern w:val="0"/>
          <w:sz w:val="32"/>
          <w:szCs w:val="32"/>
        </w:rPr>
        <w:t>主动公开政府信息情况</w:t>
      </w:r>
    </w:p>
    <w:tbl>
      <w:tblPr>
        <w:tblStyle w:val="1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本年制作数量</w:t>
            </w:r>
          </w:p>
        </w:tc>
        <w:tc>
          <w:tcPr>
            <w:tcW w:w="2030" w:type="dxa"/>
            <w:vAlign w:val="center"/>
          </w:tcPr>
          <w:p>
            <w:pPr>
              <w:jc w:val="center"/>
              <w:rPr>
                <w:sz w:val="24"/>
                <w:szCs w:val="24"/>
              </w:rPr>
            </w:pPr>
            <w:r>
              <w:rPr>
                <w:rFonts w:hint="eastAsia"/>
                <w:sz w:val="24"/>
                <w:szCs w:val="24"/>
              </w:rPr>
              <w:t>本年废止件数</w:t>
            </w:r>
          </w:p>
        </w:tc>
        <w:tc>
          <w:tcPr>
            <w:tcW w:w="2222" w:type="dxa"/>
            <w:vAlign w:val="center"/>
          </w:tcPr>
          <w:p>
            <w:pPr>
              <w:jc w:val="center"/>
              <w:rPr>
                <w:sz w:val="24"/>
                <w:szCs w:val="24"/>
              </w:rPr>
            </w:pPr>
            <w:r>
              <w:rPr>
                <w:rFonts w:hint="eastAsia"/>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sz w:val="24"/>
                <w:szCs w:val="24"/>
              </w:rPr>
            </w:pPr>
            <w:r>
              <w:rPr>
                <w:rFonts w:hint="eastAsia"/>
                <w:sz w:val="24"/>
                <w:szCs w:val="24"/>
              </w:rPr>
              <w:t>规章</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sz w:val="24"/>
                <w:szCs w:val="24"/>
              </w:rPr>
            </w:pPr>
            <w:r>
              <w:rPr>
                <w:rFonts w:hint="eastAsia"/>
                <w:sz w:val="24"/>
                <w:szCs w:val="24"/>
              </w:rPr>
              <w:t>行政规范性文件</w:t>
            </w:r>
          </w:p>
        </w:tc>
        <w:tc>
          <w:tcPr>
            <w:tcW w:w="1985" w:type="dxa"/>
            <w:vAlign w:val="center"/>
          </w:tcPr>
          <w:p>
            <w:pPr>
              <w:rPr>
                <w:sz w:val="24"/>
                <w:szCs w:val="24"/>
              </w:rPr>
            </w:pPr>
            <w:r>
              <w:rPr>
                <w:rFonts w:hint="eastAsia"/>
                <w:sz w:val="24"/>
                <w:szCs w:val="24"/>
              </w:rPr>
              <w:t>0</w:t>
            </w:r>
          </w:p>
        </w:tc>
        <w:tc>
          <w:tcPr>
            <w:tcW w:w="2030" w:type="dxa"/>
            <w:vAlign w:val="center"/>
          </w:tcPr>
          <w:p>
            <w:pPr>
              <w:rPr>
                <w:sz w:val="24"/>
                <w:szCs w:val="24"/>
              </w:rPr>
            </w:pPr>
            <w:r>
              <w:rPr>
                <w:rFonts w:hint="eastAsia"/>
                <w:sz w:val="24"/>
                <w:szCs w:val="24"/>
              </w:rPr>
              <w:t>0</w:t>
            </w:r>
          </w:p>
        </w:tc>
        <w:tc>
          <w:tcPr>
            <w:tcW w:w="2222" w:type="dxa"/>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sz w:val="24"/>
                <w:szCs w:val="24"/>
              </w:rPr>
            </w:pPr>
            <w:r>
              <w:rPr>
                <w:rFonts w:hint="eastAsia"/>
                <w:sz w:val="24"/>
                <w:szCs w:val="24"/>
              </w:rPr>
              <w:t>信息内容</w:t>
            </w:r>
          </w:p>
        </w:tc>
        <w:tc>
          <w:tcPr>
            <w:tcW w:w="6237" w:type="dxa"/>
            <w:gridSpan w:val="3"/>
            <w:vAlign w:val="center"/>
          </w:tcPr>
          <w:p>
            <w:pPr>
              <w:jc w:val="center"/>
              <w:rPr>
                <w:sz w:val="24"/>
                <w:szCs w:val="24"/>
              </w:rPr>
            </w:pPr>
            <w:r>
              <w:rPr>
                <w:rFonts w:hint="eastAsia"/>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sz w:val="24"/>
                <w:szCs w:val="24"/>
              </w:rPr>
            </w:pPr>
            <w:r>
              <w:rPr>
                <w:rFonts w:hint="eastAsia"/>
                <w:sz w:val="24"/>
                <w:szCs w:val="24"/>
              </w:rPr>
              <w:t>行政许可</w:t>
            </w:r>
          </w:p>
        </w:tc>
        <w:tc>
          <w:tcPr>
            <w:tcW w:w="6237" w:type="dxa"/>
            <w:gridSpan w:val="3"/>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sz w:val="24"/>
                <w:szCs w:val="24"/>
              </w:rPr>
            </w:pPr>
            <w:r>
              <w:rPr>
                <w:rFonts w:hint="eastAsia"/>
                <w:sz w:val="24"/>
                <w:szCs w:val="24"/>
              </w:rPr>
              <w:t>信息内容</w:t>
            </w:r>
          </w:p>
        </w:tc>
        <w:tc>
          <w:tcPr>
            <w:tcW w:w="6237" w:type="dxa"/>
            <w:gridSpan w:val="3"/>
            <w:vAlign w:val="center"/>
          </w:tcPr>
          <w:p>
            <w:pPr>
              <w:jc w:val="center"/>
              <w:rPr>
                <w:sz w:val="24"/>
                <w:szCs w:val="24"/>
              </w:rPr>
            </w:pPr>
            <w:r>
              <w:rPr>
                <w:rFonts w:hint="eastAsia"/>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行政处罚</w:t>
            </w:r>
          </w:p>
        </w:tc>
        <w:tc>
          <w:tcPr>
            <w:tcW w:w="6237" w:type="dxa"/>
            <w:gridSpan w:val="3"/>
            <w:vAlign w:val="center"/>
          </w:tcPr>
          <w:p>
            <w:pPr>
              <w:rPr>
                <w:sz w:val="24"/>
                <w:szCs w:val="24"/>
              </w:rPr>
            </w:pPr>
            <w:r>
              <w:rPr>
                <w:rFonts w:hint="eastAsia"/>
                <w:sz w:val="24"/>
                <w:szCs w:val="24"/>
                <w:lang w:val="en-US" w:eastAsia="zh-CN"/>
              </w:rPr>
              <w:t>6</w:t>
            </w:r>
            <w:bookmarkStart w:id="0" w:name="_GoBack"/>
            <w:bookmarkEnd w:id="0"/>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行政强制</w:t>
            </w:r>
          </w:p>
        </w:tc>
        <w:tc>
          <w:tcPr>
            <w:tcW w:w="6237" w:type="dxa"/>
            <w:gridSpan w:val="3"/>
            <w:vAlign w:val="center"/>
          </w:tcPr>
          <w:p>
            <w:pP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信息内容</w:t>
            </w:r>
          </w:p>
        </w:tc>
        <w:tc>
          <w:tcPr>
            <w:tcW w:w="6237" w:type="dxa"/>
            <w:gridSpan w:val="3"/>
            <w:vAlign w:val="center"/>
          </w:tcPr>
          <w:p>
            <w:pPr>
              <w:jc w:val="center"/>
              <w:rPr>
                <w:sz w:val="24"/>
                <w:szCs w:val="24"/>
              </w:rPr>
            </w:pPr>
            <w:r>
              <w:rPr>
                <w:sz w:val="24"/>
                <w:szCs w:val="24"/>
              </w:rPr>
              <w:t>本年收费金额</w:t>
            </w:r>
            <w:r>
              <w:rPr>
                <w:rFonts w:hint="eastAsia"/>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sz w:val="24"/>
                <w:szCs w:val="24"/>
              </w:rPr>
            </w:pPr>
            <w:r>
              <w:rPr>
                <w:rFonts w:hint="eastAsia"/>
                <w:sz w:val="24"/>
                <w:szCs w:val="24"/>
              </w:rPr>
              <w:t>行政事业性收费</w:t>
            </w:r>
          </w:p>
        </w:tc>
        <w:tc>
          <w:tcPr>
            <w:tcW w:w="6237" w:type="dxa"/>
            <w:gridSpan w:val="3"/>
            <w:vAlign w:val="center"/>
          </w:tcPr>
          <w:p>
            <w:pPr>
              <w:jc w:val="left"/>
              <w:rPr>
                <w:sz w:val="24"/>
                <w:szCs w:val="24"/>
              </w:rPr>
            </w:pPr>
            <w:r>
              <w:rPr>
                <w:rFonts w:hint="eastAsia"/>
                <w:sz w:val="24"/>
                <w:szCs w:val="24"/>
              </w:rPr>
              <w:t>0</w:t>
            </w:r>
          </w:p>
        </w:tc>
      </w:tr>
    </w:tbl>
    <w:p>
      <w:pPr>
        <w:widowControl/>
        <w:shd w:val="clear" w:color="auto" w:fill="FFFFFF"/>
        <w:spacing w:after="240" w:line="560" w:lineRule="exact"/>
        <w:rPr>
          <w:rFonts w:ascii="Times New Roman" w:hAnsi="Times New Roman" w:eastAsia="黑体"/>
          <w:kern w:val="0"/>
          <w:sz w:val="32"/>
          <w:szCs w:val="32"/>
        </w:rPr>
      </w:pPr>
      <w:r>
        <w:rPr>
          <w:rFonts w:ascii="Times New Roman" w:hAnsi="Times New Roman" w:eastAsia="黑体"/>
          <w:bCs/>
          <w:kern w:val="0"/>
          <w:sz w:val="32"/>
          <w:szCs w:val="32"/>
        </w:rPr>
        <w:t>三、收到和处理政府信息公开申请情况</w:t>
      </w:r>
    </w:p>
    <w:tbl>
      <w:tblPr>
        <w:tblStyle w:val="1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09"/>
        <w:gridCol w:w="2268"/>
        <w:gridCol w:w="850"/>
        <w:gridCol w:w="709"/>
        <w:gridCol w:w="709"/>
        <w:gridCol w:w="850"/>
        <w:gridCol w:w="851"/>
        <w:gridCol w:w="65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56" w:type="dxa"/>
            <w:gridSpan w:val="3"/>
            <w:vMerge w:val="restart"/>
            <w:vAlign w:val="center"/>
          </w:tcPr>
          <w:p>
            <w:pPr>
              <w:jc w:val="center"/>
            </w:pPr>
            <w:r>
              <w:rPr>
                <w:rFonts w:hint="eastAsia"/>
              </w:rPr>
              <w:t>（本列数据的勾稽关系为：第一项加第二项之和，等于第三项加第四项之和）</w:t>
            </w:r>
          </w:p>
        </w:tc>
        <w:tc>
          <w:tcPr>
            <w:tcW w:w="5329"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56" w:type="dxa"/>
            <w:gridSpan w:val="3"/>
            <w:vMerge w:val="continue"/>
            <w:vAlign w:val="center"/>
          </w:tcPr>
          <w:p>
            <w:pPr>
              <w:jc w:val="center"/>
            </w:pPr>
          </w:p>
        </w:tc>
        <w:tc>
          <w:tcPr>
            <w:tcW w:w="850" w:type="dxa"/>
            <w:vMerge w:val="restart"/>
            <w:vAlign w:val="center"/>
          </w:tcPr>
          <w:p>
            <w:pPr>
              <w:jc w:val="center"/>
              <w:rPr>
                <w:sz w:val="18"/>
                <w:szCs w:val="18"/>
              </w:rPr>
            </w:pPr>
            <w:r>
              <w:rPr>
                <w:rFonts w:hint="eastAsia"/>
                <w:szCs w:val="21"/>
              </w:rPr>
              <w:t>自然人</w:t>
            </w:r>
          </w:p>
        </w:tc>
        <w:tc>
          <w:tcPr>
            <w:tcW w:w="3771" w:type="dxa"/>
            <w:gridSpan w:val="5"/>
            <w:vAlign w:val="center"/>
          </w:tcPr>
          <w:p>
            <w:pPr>
              <w:jc w:val="center"/>
              <w:rPr>
                <w:szCs w:val="21"/>
              </w:rPr>
            </w:pPr>
            <w:r>
              <w:rPr>
                <w:rFonts w:hint="eastAsia"/>
                <w:szCs w:val="21"/>
              </w:rPr>
              <w:t>法人或其他组织</w:t>
            </w:r>
          </w:p>
        </w:tc>
        <w:tc>
          <w:tcPr>
            <w:tcW w:w="708" w:type="dxa"/>
            <w:vMerge w:val="restart"/>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856" w:type="dxa"/>
            <w:gridSpan w:val="3"/>
            <w:vMerge w:val="continue"/>
            <w:vAlign w:val="center"/>
          </w:tcPr>
          <w:p/>
        </w:tc>
        <w:tc>
          <w:tcPr>
            <w:tcW w:w="850" w:type="dxa"/>
            <w:vMerge w:val="continue"/>
            <w:vAlign w:val="center"/>
          </w:tcPr>
          <w:p>
            <w:pPr>
              <w:rPr>
                <w:sz w:val="18"/>
                <w:szCs w:val="18"/>
              </w:rPr>
            </w:pPr>
          </w:p>
        </w:tc>
        <w:tc>
          <w:tcPr>
            <w:tcW w:w="709" w:type="dxa"/>
            <w:vAlign w:val="center"/>
          </w:tcPr>
          <w:p>
            <w:pPr>
              <w:jc w:val="center"/>
              <w:rPr>
                <w:szCs w:val="21"/>
              </w:rPr>
            </w:pPr>
            <w:r>
              <w:rPr>
                <w:rFonts w:hint="eastAsia"/>
                <w:szCs w:val="21"/>
              </w:rPr>
              <w:t>商业企业</w:t>
            </w:r>
          </w:p>
        </w:tc>
        <w:tc>
          <w:tcPr>
            <w:tcW w:w="709" w:type="dxa"/>
            <w:vAlign w:val="center"/>
          </w:tcPr>
          <w:p>
            <w:pPr>
              <w:jc w:val="center"/>
              <w:rPr>
                <w:szCs w:val="21"/>
              </w:rPr>
            </w:pPr>
            <w:r>
              <w:rPr>
                <w:rFonts w:hint="eastAsia"/>
                <w:szCs w:val="21"/>
              </w:rPr>
              <w:t>科研机构</w:t>
            </w:r>
          </w:p>
        </w:tc>
        <w:tc>
          <w:tcPr>
            <w:tcW w:w="850" w:type="dxa"/>
            <w:vAlign w:val="center"/>
          </w:tcPr>
          <w:p>
            <w:pPr>
              <w:jc w:val="center"/>
              <w:rPr>
                <w:szCs w:val="21"/>
              </w:rPr>
            </w:pPr>
            <w:r>
              <w:rPr>
                <w:rFonts w:hint="eastAsia"/>
                <w:szCs w:val="21"/>
              </w:rPr>
              <w:t>社会公益组织</w:t>
            </w:r>
          </w:p>
        </w:tc>
        <w:tc>
          <w:tcPr>
            <w:tcW w:w="851" w:type="dxa"/>
            <w:vAlign w:val="center"/>
          </w:tcPr>
          <w:p>
            <w:pPr>
              <w:jc w:val="center"/>
              <w:rPr>
                <w:szCs w:val="21"/>
              </w:rPr>
            </w:pPr>
            <w:r>
              <w:rPr>
                <w:rFonts w:hint="eastAsia"/>
                <w:szCs w:val="21"/>
              </w:rPr>
              <w:t>法律服务机构</w:t>
            </w:r>
          </w:p>
        </w:tc>
        <w:tc>
          <w:tcPr>
            <w:tcW w:w="652" w:type="dxa"/>
            <w:vAlign w:val="center"/>
          </w:tcPr>
          <w:p>
            <w:pPr>
              <w:jc w:val="center"/>
              <w:rPr>
                <w:szCs w:val="21"/>
              </w:rPr>
            </w:pPr>
            <w:r>
              <w:rPr>
                <w:rFonts w:hint="eastAsia"/>
                <w:szCs w:val="21"/>
              </w:rPr>
              <w:t>其他</w:t>
            </w:r>
          </w:p>
        </w:tc>
        <w:tc>
          <w:tcPr>
            <w:tcW w:w="70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r>
              <w:rPr>
                <w:rFonts w:hint="eastAsia"/>
              </w:rPr>
              <w:t>一、本年新收政府信息公开申请数量</w:t>
            </w:r>
          </w:p>
        </w:tc>
        <w:tc>
          <w:tcPr>
            <w:tcW w:w="850" w:type="dxa"/>
            <w:vAlign w:val="center"/>
          </w:tcPr>
          <w:p>
            <w:r>
              <w:rPr>
                <w:rFonts w:hint="eastAsia"/>
              </w:rPr>
              <w:t>20</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850" w:type="dxa"/>
            <w:vAlign w:val="center"/>
          </w:tcPr>
          <w:p>
            <w:pPr>
              <w:rPr>
                <w:szCs w:val="21"/>
              </w:rPr>
            </w:pPr>
            <w:r>
              <w:rPr>
                <w:rFonts w:hint="eastAsia"/>
                <w:szCs w:val="21"/>
              </w:rPr>
              <w:t>0</w:t>
            </w:r>
          </w:p>
        </w:tc>
        <w:tc>
          <w:tcPr>
            <w:tcW w:w="851" w:type="dxa"/>
            <w:vAlign w:val="center"/>
          </w:tcPr>
          <w:p>
            <w:pPr>
              <w:rPr>
                <w:szCs w:val="21"/>
              </w:rPr>
            </w:pPr>
            <w:r>
              <w:rPr>
                <w:rFonts w:hint="eastAsia"/>
                <w:szCs w:val="21"/>
              </w:rPr>
              <w:t>0</w:t>
            </w:r>
          </w:p>
        </w:tc>
        <w:tc>
          <w:tcPr>
            <w:tcW w:w="652" w:type="dxa"/>
            <w:vAlign w:val="center"/>
          </w:tcPr>
          <w:p>
            <w:pPr>
              <w:rPr>
                <w:szCs w:val="21"/>
              </w:rPr>
            </w:pPr>
            <w:r>
              <w:rPr>
                <w:rFonts w:hint="eastAsia"/>
                <w:szCs w:val="21"/>
              </w:rPr>
              <w:t>0</w:t>
            </w:r>
          </w:p>
        </w:tc>
        <w:tc>
          <w:tcPr>
            <w:tcW w:w="708" w:type="dxa"/>
            <w:vAlign w:val="center"/>
          </w:tcPr>
          <w:p>
            <w:pP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r>
              <w:rPr>
                <w:rFonts w:hint="eastAsia"/>
              </w:rPr>
              <w:t>二、上年结转政府信息公开申请数量</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r>
              <w:rPr>
                <w:rFonts w:hint="eastAsia"/>
              </w:rPr>
              <w:t>三、本年度办理结果</w:t>
            </w:r>
          </w:p>
        </w:tc>
        <w:tc>
          <w:tcPr>
            <w:tcW w:w="2977" w:type="dxa"/>
            <w:gridSpan w:val="2"/>
            <w:vAlign w:val="center"/>
          </w:tcPr>
          <w:p>
            <w:pPr>
              <w:rPr>
                <w:rFonts w:asciiTheme="minorEastAsia" w:hAnsiTheme="minorEastAsia"/>
                <w:sz w:val="18"/>
                <w:szCs w:val="18"/>
              </w:rPr>
            </w:pPr>
            <w:r>
              <w:rPr>
                <w:rFonts w:hint="eastAsia" w:asciiTheme="minorEastAsia" w:hAnsiTheme="minorEastAsia"/>
                <w:sz w:val="18"/>
                <w:szCs w:val="18"/>
              </w:rPr>
              <w:t>（一）予以公开</w:t>
            </w:r>
          </w:p>
        </w:tc>
        <w:tc>
          <w:tcPr>
            <w:tcW w:w="850" w:type="dxa"/>
            <w:vAlign w:val="center"/>
          </w:tcPr>
          <w:p>
            <w:r>
              <w:rPr>
                <w:rFonts w:hint="eastAsia"/>
              </w:rPr>
              <w:t>4</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2977" w:type="dxa"/>
            <w:gridSpan w:val="2"/>
            <w:vAlign w:val="center"/>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268" w:type="dxa"/>
            <w:vAlign w:val="center"/>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rFonts w:asciiTheme="minorEastAsia" w:hAnsiTheme="minorEastAsia"/>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3．危及“三安全一稳定”</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7．属于行政执法案卷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8．属于行政查询事项</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restart"/>
            <w:vAlign w:val="center"/>
          </w:tcPr>
          <w:p>
            <w:pPr>
              <w:rPr>
                <w:sz w:val="18"/>
                <w:szCs w:val="18"/>
              </w:rPr>
            </w:pPr>
            <w:r>
              <w:rPr>
                <w:rFonts w:hint="eastAsia"/>
                <w:sz w:val="18"/>
                <w:szCs w:val="18"/>
              </w:rPr>
              <w:t>（四）无法提供</w:t>
            </w: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850" w:type="dxa"/>
            <w:vAlign w:val="center"/>
          </w:tcPr>
          <w:p>
            <w:r>
              <w:rPr>
                <w:rFonts w:hint="eastAsia"/>
              </w:rPr>
              <w:t>16</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2．重复申请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pPr>
              <w:rPr>
                <w:rFonts w:hint="eastAsia" w:eastAsia="宋体"/>
                <w:lang w:val="en-US" w:eastAsia="zh-CN"/>
              </w:rPr>
            </w:pPr>
            <w:r>
              <w:rPr>
                <w:rFonts w:hint="eastAsia"/>
                <w:lang w:val="en-US" w:eastAsia="zh-CN"/>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tc>
        <w:tc>
          <w:tcPr>
            <w:tcW w:w="2268" w:type="dxa"/>
            <w:vAlign w:val="center"/>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pPr>
              <w:rPr>
                <w:rFonts w:hint="eastAsia" w:eastAsia="宋体"/>
                <w:lang w:val="en-US" w:eastAsia="zh-CN"/>
              </w:rPr>
            </w:pPr>
            <w:r>
              <w:rPr>
                <w:rFonts w:hint="eastAsia"/>
                <w:lang w:val="en-US" w:eastAsia="zh-CN"/>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tc>
        <w:tc>
          <w:tcPr>
            <w:tcW w:w="709" w:type="dxa"/>
            <w:vMerge w:val="continue"/>
            <w:vAlign w:val="center"/>
          </w:tcPr>
          <w:p/>
        </w:tc>
        <w:tc>
          <w:tcPr>
            <w:tcW w:w="2268"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restart"/>
            <w:vAlign w:val="center"/>
          </w:tcPr>
          <w:p/>
        </w:tc>
        <w:tc>
          <w:tcPr>
            <w:tcW w:w="709" w:type="dxa"/>
            <w:vMerge w:val="restart"/>
            <w:vAlign w:val="center"/>
          </w:tcPr>
          <w:p>
            <w:pPr>
              <w:rPr>
                <w:sz w:val="18"/>
                <w:szCs w:val="18"/>
              </w:rPr>
            </w:pPr>
            <w:r>
              <w:rPr>
                <w:rFonts w:hint="eastAsia"/>
                <w:sz w:val="18"/>
                <w:szCs w:val="18"/>
              </w:rPr>
              <w:t>（六）其他处理</w:t>
            </w:r>
          </w:p>
        </w:tc>
        <w:tc>
          <w:tcPr>
            <w:tcW w:w="2268" w:type="dxa"/>
            <w:vAlign w:val="center"/>
          </w:tcPr>
          <w:p>
            <w:pPr>
              <w:rPr>
                <w:sz w:val="18"/>
                <w:szCs w:val="18"/>
              </w:rPr>
            </w:pPr>
            <w:r>
              <w:rPr>
                <w:rFonts w:hint="eastAsia"/>
                <w:sz w:val="18"/>
                <w:szCs w:val="18"/>
              </w:rPr>
              <w:t>1.申请人无正当理由逾期不补正、行政机关不在处理其政府信息公开申请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sz w:val="18"/>
                <w:szCs w:val="18"/>
              </w:rPr>
            </w:pPr>
            <w:r>
              <w:rPr>
                <w:rFonts w:hint="eastAsia"/>
                <w:sz w:val="18"/>
                <w:szCs w:val="18"/>
              </w:rPr>
              <w:t>2.申请人逾期未按收费通知要求缴纳费用、行政机关不在处理旗政府信息公开申请</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continue"/>
            <w:vAlign w:val="center"/>
          </w:tcPr>
          <w:p/>
        </w:tc>
        <w:tc>
          <w:tcPr>
            <w:tcW w:w="709" w:type="dxa"/>
            <w:vMerge w:val="continue"/>
            <w:vAlign w:val="center"/>
          </w:tcPr>
          <w:p>
            <w:pPr>
              <w:rPr>
                <w:sz w:val="18"/>
                <w:szCs w:val="18"/>
              </w:rPr>
            </w:pPr>
          </w:p>
        </w:tc>
        <w:tc>
          <w:tcPr>
            <w:tcW w:w="2268" w:type="dxa"/>
            <w:vAlign w:val="center"/>
          </w:tcPr>
          <w:p>
            <w:pPr>
              <w:rPr>
                <w:sz w:val="18"/>
                <w:szCs w:val="18"/>
              </w:rPr>
            </w:pPr>
            <w:r>
              <w:rPr>
                <w:rFonts w:hint="eastAsia"/>
                <w:sz w:val="18"/>
                <w:szCs w:val="18"/>
              </w:rPr>
              <w:t>3.其他</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tc>
        <w:tc>
          <w:tcPr>
            <w:tcW w:w="2977" w:type="dxa"/>
            <w:gridSpan w:val="2"/>
            <w:vAlign w:val="center"/>
          </w:tcPr>
          <w:p>
            <w:pPr>
              <w:rPr>
                <w:sz w:val="18"/>
                <w:szCs w:val="18"/>
              </w:rPr>
            </w:pPr>
            <w:r>
              <w:rPr>
                <w:rFonts w:hint="eastAsia"/>
                <w:sz w:val="18"/>
                <w:szCs w:val="18"/>
              </w:rPr>
              <w:t>（七）总计</w:t>
            </w:r>
          </w:p>
        </w:tc>
        <w:tc>
          <w:tcPr>
            <w:tcW w:w="850" w:type="dxa"/>
            <w:vAlign w:val="center"/>
          </w:tcPr>
          <w:p>
            <w:r>
              <w:t>20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r>
              <w:rPr>
                <w:rFonts w:hint="eastAsia"/>
              </w:rPr>
              <w:t>四、结转下年度继续办理</w:t>
            </w:r>
          </w:p>
        </w:tc>
        <w:tc>
          <w:tcPr>
            <w:tcW w:w="850" w:type="dxa"/>
            <w:vAlign w:val="center"/>
          </w:tcPr>
          <w:p>
            <w:r>
              <w:rPr>
                <w:rFonts w:hint="eastAsia"/>
              </w:rPr>
              <w:t>0</w:t>
            </w:r>
          </w:p>
        </w:tc>
        <w:tc>
          <w:tcPr>
            <w:tcW w:w="709" w:type="dxa"/>
            <w:vAlign w:val="center"/>
          </w:tcPr>
          <w:p>
            <w:r>
              <w:rPr>
                <w:rFonts w:hint="eastAsia"/>
              </w:rPr>
              <w:t>0</w:t>
            </w:r>
          </w:p>
        </w:tc>
        <w:tc>
          <w:tcPr>
            <w:tcW w:w="709" w:type="dxa"/>
            <w:vAlign w:val="center"/>
          </w:tcPr>
          <w:p>
            <w:r>
              <w:rPr>
                <w:rFonts w:hint="eastAsia"/>
              </w:rPr>
              <w:t>0</w:t>
            </w:r>
          </w:p>
        </w:tc>
        <w:tc>
          <w:tcPr>
            <w:tcW w:w="850" w:type="dxa"/>
            <w:vAlign w:val="center"/>
          </w:tcPr>
          <w:p>
            <w:r>
              <w:rPr>
                <w:rFonts w:hint="eastAsia"/>
              </w:rPr>
              <w:t>0</w:t>
            </w:r>
          </w:p>
        </w:tc>
        <w:tc>
          <w:tcPr>
            <w:tcW w:w="851" w:type="dxa"/>
            <w:vAlign w:val="center"/>
          </w:tcPr>
          <w:p>
            <w:r>
              <w:rPr>
                <w:rFonts w:hint="eastAsia"/>
              </w:rPr>
              <w:t>0</w:t>
            </w:r>
          </w:p>
        </w:tc>
        <w:tc>
          <w:tcPr>
            <w:tcW w:w="652" w:type="dxa"/>
            <w:vAlign w:val="center"/>
          </w:tcPr>
          <w:p>
            <w:r>
              <w:rPr>
                <w:rFonts w:hint="eastAsia"/>
              </w:rPr>
              <w:t>0</w:t>
            </w:r>
          </w:p>
        </w:tc>
        <w:tc>
          <w:tcPr>
            <w:tcW w:w="708" w:type="dxa"/>
            <w:vAlign w:val="center"/>
          </w:tcPr>
          <w:p>
            <w:r>
              <w:rPr>
                <w:rFonts w:hint="eastAsia"/>
              </w:rPr>
              <w:t>0</w:t>
            </w:r>
          </w:p>
        </w:tc>
      </w:tr>
    </w:tbl>
    <w:p>
      <w:pPr>
        <w:widowControl/>
        <w:shd w:val="clear" w:color="auto" w:fill="FFFFFF"/>
        <w:ind w:firstLine="480"/>
        <w:rPr>
          <w:rFonts w:ascii="Times New Roman" w:hAnsi="Times New Roman"/>
          <w:kern w:val="0"/>
          <w:sz w:val="24"/>
          <w:szCs w:val="24"/>
        </w:rPr>
      </w:pPr>
    </w:p>
    <w:p>
      <w:pPr>
        <w:pStyle w:val="21"/>
        <w:spacing w:line="560" w:lineRule="exact"/>
        <w:ind w:right="153" w:firstLine="640" w:firstLineChars="200"/>
        <w:jc w:val="both"/>
        <w:rPr>
          <w:rFonts w:ascii="Times New Roman" w:hAnsi="Times New Roman" w:eastAsia="黑体"/>
          <w:bCs/>
          <w:sz w:val="32"/>
          <w:szCs w:val="32"/>
        </w:rPr>
      </w:pPr>
      <w:r>
        <w:rPr>
          <w:rFonts w:hint="eastAsia" w:ascii="Times New Roman" w:hAnsi="Times New Roman" w:eastAsia="黑体"/>
          <w:bCs/>
          <w:sz w:val="32"/>
          <w:szCs w:val="32"/>
        </w:rPr>
        <w:t>四、</w:t>
      </w:r>
      <w:r>
        <w:rPr>
          <w:rFonts w:ascii="Times New Roman" w:hAnsi="Times New Roman" w:eastAsia="黑体"/>
          <w:bCs/>
          <w:sz w:val="32"/>
          <w:szCs w:val="32"/>
        </w:rPr>
        <w:t>政府信息公开行政复议、行政诉讼情况</w:t>
      </w:r>
    </w:p>
    <w:tbl>
      <w:tblPr>
        <w:tblStyle w:val="1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vAlign w:val="center"/>
          </w:tcPr>
          <w:p>
            <w:pPr>
              <w:jc w:val="center"/>
              <w:rPr>
                <w:sz w:val="24"/>
                <w:szCs w:val="24"/>
              </w:rPr>
            </w:pPr>
            <w:r>
              <w:rPr>
                <w:rFonts w:hint="eastAsia"/>
                <w:sz w:val="24"/>
                <w:szCs w:val="24"/>
              </w:rPr>
              <w:t>行政复议</w:t>
            </w:r>
          </w:p>
        </w:tc>
        <w:tc>
          <w:tcPr>
            <w:tcW w:w="5670" w:type="dxa"/>
            <w:gridSpan w:val="10"/>
            <w:vAlign w:val="center"/>
          </w:tcPr>
          <w:p>
            <w:pPr>
              <w:jc w:val="center"/>
              <w:rPr>
                <w:sz w:val="24"/>
                <w:szCs w:val="24"/>
              </w:rPr>
            </w:pPr>
            <w:r>
              <w:rPr>
                <w:rFonts w:hint="eastAsia"/>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Merge w:val="restart"/>
            <w:vAlign w:val="center"/>
          </w:tcPr>
          <w:p>
            <w:pPr>
              <w:jc w:val="center"/>
              <w:rPr>
                <w:sz w:val="24"/>
                <w:szCs w:val="24"/>
              </w:rPr>
            </w:pPr>
            <w:r>
              <w:rPr>
                <w:rFonts w:hint="eastAsia"/>
                <w:sz w:val="24"/>
                <w:szCs w:val="24"/>
              </w:rPr>
              <w:t>结果维持</w:t>
            </w:r>
          </w:p>
        </w:tc>
        <w:tc>
          <w:tcPr>
            <w:tcW w:w="568" w:type="dxa"/>
            <w:vMerge w:val="restart"/>
            <w:vAlign w:val="center"/>
          </w:tcPr>
          <w:p>
            <w:pPr>
              <w:jc w:val="center"/>
              <w:rPr>
                <w:sz w:val="24"/>
                <w:szCs w:val="24"/>
              </w:rPr>
            </w:pPr>
            <w:r>
              <w:rPr>
                <w:rFonts w:hint="eastAsia"/>
                <w:sz w:val="24"/>
                <w:szCs w:val="24"/>
              </w:rPr>
              <w:t>结果纠正</w:t>
            </w:r>
          </w:p>
        </w:tc>
        <w:tc>
          <w:tcPr>
            <w:tcW w:w="567" w:type="dxa"/>
            <w:vMerge w:val="restart"/>
            <w:vAlign w:val="center"/>
          </w:tcPr>
          <w:p>
            <w:pPr>
              <w:jc w:val="center"/>
              <w:rPr>
                <w:sz w:val="24"/>
                <w:szCs w:val="24"/>
              </w:rPr>
            </w:pPr>
            <w:r>
              <w:rPr>
                <w:rFonts w:hint="eastAsia"/>
                <w:sz w:val="24"/>
                <w:szCs w:val="24"/>
              </w:rPr>
              <w:t>其他结果</w:t>
            </w:r>
          </w:p>
        </w:tc>
        <w:tc>
          <w:tcPr>
            <w:tcW w:w="567" w:type="dxa"/>
            <w:vMerge w:val="restart"/>
            <w:vAlign w:val="center"/>
          </w:tcPr>
          <w:p>
            <w:pPr>
              <w:jc w:val="center"/>
              <w:rPr>
                <w:sz w:val="24"/>
                <w:szCs w:val="24"/>
              </w:rPr>
            </w:pPr>
            <w:r>
              <w:rPr>
                <w:rFonts w:hint="eastAsia"/>
                <w:sz w:val="24"/>
                <w:szCs w:val="24"/>
              </w:rPr>
              <w:t>尚未审结</w:t>
            </w:r>
          </w:p>
        </w:tc>
        <w:tc>
          <w:tcPr>
            <w:tcW w:w="567" w:type="dxa"/>
            <w:vMerge w:val="restart"/>
            <w:vAlign w:val="center"/>
          </w:tcPr>
          <w:p>
            <w:pPr>
              <w:jc w:val="center"/>
              <w:rPr>
                <w:sz w:val="24"/>
                <w:szCs w:val="24"/>
              </w:rPr>
            </w:pPr>
            <w:r>
              <w:rPr>
                <w:rFonts w:hint="eastAsia"/>
                <w:sz w:val="24"/>
                <w:szCs w:val="24"/>
              </w:rPr>
              <w:t>总计</w:t>
            </w:r>
          </w:p>
        </w:tc>
        <w:tc>
          <w:tcPr>
            <w:tcW w:w="2835" w:type="dxa"/>
            <w:gridSpan w:val="5"/>
            <w:vAlign w:val="center"/>
          </w:tcPr>
          <w:p>
            <w:pPr>
              <w:jc w:val="center"/>
              <w:rPr>
                <w:sz w:val="24"/>
                <w:szCs w:val="24"/>
              </w:rPr>
            </w:pPr>
            <w:r>
              <w:rPr>
                <w:rFonts w:hint="eastAsia"/>
                <w:sz w:val="24"/>
                <w:szCs w:val="24"/>
              </w:rPr>
              <w:t>未经复议直接起诉</w:t>
            </w:r>
          </w:p>
        </w:tc>
        <w:tc>
          <w:tcPr>
            <w:tcW w:w="2835" w:type="dxa"/>
            <w:gridSpan w:val="5"/>
            <w:vAlign w:val="center"/>
          </w:tcPr>
          <w:p>
            <w:pPr>
              <w:jc w:val="center"/>
              <w:rPr>
                <w:sz w:val="24"/>
                <w:szCs w:val="24"/>
              </w:rPr>
            </w:pPr>
            <w:r>
              <w:rPr>
                <w:rFonts w:hint="eastAsia"/>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sz w:val="24"/>
                <w:szCs w:val="24"/>
              </w:rPr>
            </w:pPr>
          </w:p>
        </w:tc>
        <w:tc>
          <w:tcPr>
            <w:tcW w:w="568"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Merge w:val="continue"/>
            <w:vAlign w:val="center"/>
          </w:tcPr>
          <w:p>
            <w:pPr>
              <w:jc w:val="center"/>
              <w:rPr>
                <w:sz w:val="24"/>
                <w:szCs w:val="24"/>
              </w:rPr>
            </w:pP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c>
          <w:tcPr>
            <w:tcW w:w="567" w:type="dxa"/>
            <w:vAlign w:val="center"/>
          </w:tcPr>
          <w:p>
            <w:pPr>
              <w:jc w:val="center"/>
              <w:rPr>
                <w:sz w:val="24"/>
                <w:szCs w:val="24"/>
              </w:rPr>
            </w:pPr>
            <w:r>
              <w:rPr>
                <w:rFonts w:hint="eastAsia"/>
                <w:sz w:val="24"/>
                <w:szCs w:val="24"/>
              </w:rPr>
              <w:t>结果维持</w:t>
            </w:r>
          </w:p>
        </w:tc>
        <w:tc>
          <w:tcPr>
            <w:tcW w:w="567" w:type="dxa"/>
            <w:vAlign w:val="center"/>
          </w:tcPr>
          <w:p>
            <w:pPr>
              <w:jc w:val="center"/>
              <w:rPr>
                <w:sz w:val="24"/>
                <w:szCs w:val="24"/>
              </w:rPr>
            </w:pPr>
            <w:r>
              <w:rPr>
                <w:rFonts w:hint="eastAsia"/>
                <w:sz w:val="24"/>
                <w:szCs w:val="24"/>
              </w:rPr>
              <w:t>结果纠正</w:t>
            </w:r>
          </w:p>
        </w:tc>
        <w:tc>
          <w:tcPr>
            <w:tcW w:w="567" w:type="dxa"/>
            <w:vAlign w:val="center"/>
          </w:tcPr>
          <w:p>
            <w:pPr>
              <w:jc w:val="center"/>
              <w:rPr>
                <w:sz w:val="24"/>
                <w:szCs w:val="24"/>
              </w:rPr>
            </w:pPr>
            <w:r>
              <w:rPr>
                <w:rFonts w:hint="eastAsia"/>
                <w:sz w:val="24"/>
                <w:szCs w:val="24"/>
              </w:rPr>
              <w:t>其他结果</w:t>
            </w:r>
          </w:p>
        </w:tc>
        <w:tc>
          <w:tcPr>
            <w:tcW w:w="567" w:type="dxa"/>
            <w:vAlign w:val="center"/>
          </w:tcPr>
          <w:p>
            <w:pPr>
              <w:jc w:val="center"/>
              <w:rPr>
                <w:sz w:val="24"/>
                <w:szCs w:val="24"/>
              </w:rPr>
            </w:pPr>
            <w:r>
              <w:rPr>
                <w:rFonts w:hint="eastAsia"/>
                <w:sz w:val="24"/>
                <w:szCs w:val="24"/>
              </w:rPr>
              <w:t>尚未审结</w:t>
            </w:r>
          </w:p>
        </w:tc>
        <w:tc>
          <w:tcPr>
            <w:tcW w:w="567" w:type="dxa"/>
            <w:vAlign w:val="center"/>
          </w:tcPr>
          <w:p>
            <w:pPr>
              <w:jc w:val="center"/>
              <w:rPr>
                <w:sz w:val="24"/>
                <w:szCs w:val="24"/>
              </w:rPr>
            </w:pPr>
            <w:r>
              <w:rPr>
                <w:rFonts w:hint="eastAsia"/>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rPr>
                <w:sz w:val="24"/>
                <w:szCs w:val="24"/>
              </w:rPr>
            </w:pPr>
            <w:r>
              <w:rPr>
                <w:rFonts w:hint="eastAsia"/>
                <w:sz w:val="24"/>
                <w:szCs w:val="24"/>
              </w:rPr>
              <w:t>0</w:t>
            </w:r>
          </w:p>
        </w:tc>
        <w:tc>
          <w:tcPr>
            <w:tcW w:w="568"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c>
          <w:tcPr>
            <w:tcW w:w="567" w:type="dxa"/>
            <w:vAlign w:val="center"/>
          </w:tcPr>
          <w:p>
            <w:pPr>
              <w:rPr>
                <w:sz w:val="24"/>
                <w:szCs w:val="24"/>
              </w:rPr>
            </w:pPr>
            <w:r>
              <w:rPr>
                <w:rFonts w:hint="eastAsia"/>
                <w:sz w:val="24"/>
                <w:szCs w:val="24"/>
              </w:rPr>
              <w:t>0</w:t>
            </w:r>
          </w:p>
        </w:tc>
      </w:tr>
    </w:tbl>
    <w:p>
      <w:pPr>
        <w:widowControl/>
        <w:shd w:val="clear" w:color="auto" w:fill="FFFFFF"/>
        <w:jc w:val="center"/>
        <w:rPr>
          <w:rFonts w:ascii="Times New Roman" w:hAnsi="Times New Roman"/>
          <w:kern w:val="0"/>
          <w:sz w:val="24"/>
          <w:szCs w:val="24"/>
        </w:rPr>
      </w:pPr>
    </w:p>
    <w:p>
      <w:pPr>
        <w:widowControl/>
        <w:shd w:val="clear" w:color="auto" w:fill="FFFFFF"/>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五、存在的主要问题及改进情况</w:t>
      </w:r>
    </w:p>
    <w:p>
      <w:pPr>
        <w:widowControl/>
        <w:autoSpaceDN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存在问题：政务公开制度不健全，责任分工不明确。没有制定详细的政务公开工作制度和明确政务公开工作程序。政务公开工作责任分工不明确，没有明确专人负责政务公开工作，导致政府信息公开不够及时。</w:t>
      </w:r>
    </w:p>
    <w:p>
      <w:pPr>
        <w:widowControl/>
        <w:autoSpaceDN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改进情况：一是健全工作机制。制定完备的政务公开工作制度，明确工作程序，依法依规做好政务公开工作。二是强化队伍建设。指定专人负责，按照分解任务明确责任分工，做到政府信息公开及时有效。</w:t>
      </w:r>
    </w:p>
    <w:p>
      <w:pPr>
        <w:widowControl/>
        <w:shd w:val="clear" w:color="auto" w:fill="FFFFFF"/>
        <w:spacing w:line="560" w:lineRule="exact"/>
        <w:ind w:firstLine="640" w:firstLineChars="200"/>
        <w:rPr>
          <w:rFonts w:ascii="仿宋_GB2312" w:hAnsi="仿宋_GB2312" w:eastAsia="仿宋_GB2312" w:cs="仿宋_GB2312"/>
          <w:sz w:val="32"/>
          <w:szCs w:val="32"/>
          <w:shd w:val="clear" w:color="auto" w:fill="FFFFFF"/>
        </w:rPr>
      </w:pPr>
      <w:r>
        <w:rPr>
          <w:rFonts w:ascii="Times New Roman" w:hAnsi="Times New Roman" w:eastAsia="黑体"/>
          <w:bCs/>
          <w:kern w:val="0"/>
          <w:sz w:val="32"/>
          <w:szCs w:val="32"/>
        </w:rPr>
        <w:t>六、其他需要报告的事项</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Times New Roman" w:eastAsia="仿宋_GB2312"/>
          <w:color w:val="000000"/>
          <w:sz w:val="32"/>
          <w:szCs w:val="32"/>
        </w:rPr>
        <w:t>1、收取信息处理费情况。按照《国务院办公厅关于印发&lt;</w:t>
      </w:r>
      <w:r>
        <w:rPr>
          <w:rFonts w:hint="eastAsia" w:ascii="仿宋_GB2312" w:hAnsi="仿宋_GB2312" w:eastAsia="仿宋_GB2312" w:cs="仿宋_GB2312"/>
          <w:color w:val="000000"/>
          <w:sz w:val="32"/>
          <w:szCs w:val="32"/>
        </w:rPr>
        <w: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widowControl/>
        <w:shd w:val="clear" w:color="auto" w:fill="FFFFFF"/>
        <w:spacing w:line="560" w:lineRule="exact"/>
        <w:ind w:firstLine="64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32"/>
          <w:szCs w:val="32"/>
        </w:rPr>
        <w:t>2、落实上级年度政务公开工作要点情况。2023年，淄川区综合行政执法局按照《淄川区2023年政务公开工作任务分解表》，将政务公开工作任务进一步分解到各相关科室，同时加强督导检查，确保了各项工作的落实，较好完成了全年政务公开工作任务。</w:t>
      </w:r>
    </w:p>
    <w:p>
      <w:pPr>
        <w:widowControl/>
        <w:shd w:val="clear" w:color="auto" w:fill="FFFFFF"/>
        <w:spacing w:line="560" w:lineRule="exact"/>
        <w:ind w:firstLine="64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3、人大代表和政协提案办理结果公开情况。2023年度，淄川区综合行政执法局共办结人大建议政协提案20件。其中：人大建议2件，政协提案18件。</w:t>
      </w:r>
    </w:p>
    <w:p>
      <w:pPr>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4.政务公开工作创新情况。</w:t>
      </w:r>
      <w:r>
        <w:rPr>
          <w:rFonts w:hint="eastAsia" w:ascii="仿宋_GB2312" w:hAnsi="仿宋_GB2312" w:eastAsia="仿宋_GB2312" w:cs="仿宋_GB2312"/>
          <w:sz w:val="32"/>
          <w:szCs w:val="32"/>
        </w:rPr>
        <w:t>为进一步深化政民互动交流，深化政务公开理念，不断增强政府工作透明度和公信力，我局开展“局长进社区暨物业服务开放日”活动，创新公众参与形式，把“开放日”打造成为展现政府形象、强化群众监督的有力手段，真正架起政民互动“连心桥”。</w:t>
      </w:r>
    </w:p>
    <w:p>
      <w:pPr>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5、政府信息公开工作年度报告数据统计需要说明的事项。</w:t>
      </w:r>
    </w:p>
    <w:p>
      <w:pPr>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本年度报告中所列数据的统计期限自2023年1月1日起，至2023年12月31日止</w:t>
      </w:r>
      <w:r>
        <w:rPr>
          <w:rFonts w:hint="eastAsia" w:ascii="仿宋_GB2312" w:hAnsi="仿宋_GB2312" w:eastAsia="仿宋_GB2312" w:cs="仿宋_GB2312"/>
          <w:color w:val="000000"/>
          <w:kern w:val="0"/>
          <w:sz w:val="32"/>
          <w:szCs w:val="32"/>
        </w:rPr>
        <w:t>。</w:t>
      </w:r>
    </w:p>
    <w:p>
      <w:pPr>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6、本行政机关认为需要报告的其他事项。无。</w:t>
      </w:r>
    </w:p>
    <w:p>
      <w:pPr>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7、其他有关文件专门要求通过政府信息公开工作年度报告予以报告的事项。无。</w:t>
      </w:r>
    </w:p>
    <w:p>
      <w:pPr>
        <w:widowControl/>
        <w:shd w:val="clear" w:color="auto" w:fill="FFFFFF"/>
        <w:spacing w:line="560" w:lineRule="exact"/>
        <w:ind w:firstLine="641"/>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淄川区综合行政执法局</w:t>
      </w:r>
    </w:p>
    <w:p>
      <w:pPr>
        <w:widowControl/>
        <w:shd w:val="clear" w:color="auto" w:fill="FFFFFF"/>
        <w:spacing w:line="560" w:lineRule="exact"/>
        <w:ind w:firstLine="641"/>
        <w:jc w:val="right"/>
        <w:rPr>
          <w:rFonts w:ascii="楷体" w:hAnsi="楷体" w:eastAsia="楷体"/>
          <w:color w:val="000000"/>
          <w:kern w:val="0"/>
          <w:sz w:val="32"/>
          <w:szCs w:val="32"/>
        </w:rPr>
      </w:pPr>
      <w:r>
        <w:rPr>
          <w:rFonts w:hint="eastAsia" w:ascii="仿宋_GB2312" w:hAnsi="仿宋_GB2312" w:eastAsia="仿宋_GB2312" w:cs="仿宋_GB2312"/>
          <w:color w:val="000000"/>
          <w:kern w:val="0"/>
          <w:sz w:val="32"/>
          <w:szCs w:val="32"/>
        </w:rPr>
        <w:t>2024年1月12日</w:t>
      </w: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32"/>
        <w:szCs w:val="32"/>
      </w:rPr>
    </w:pPr>
    <w:r>
      <w:rPr>
        <w:sz w:val="32"/>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0YzZkZjAxMDNjYTgyYWVmMjAwZjdmYTA2NTY4YjkifQ=="/>
  </w:docVars>
  <w:rsids>
    <w:rsidRoot w:val="00777FEE"/>
    <w:rsid w:val="00032B26"/>
    <w:rsid w:val="00035664"/>
    <w:rsid w:val="00037EFB"/>
    <w:rsid w:val="0008431C"/>
    <w:rsid w:val="000A479D"/>
    <w:rsid w:val="000B1104"/>
    <w:rsid w:val="000C0C92"/>
    <w:rsid w:val="000F446A"/>
    <w:rsid w:val="0011775E"/>
    <w:rsid w:val="00117C37"/>
    <w:rsid w:val="001253E6"/>
    <w:rsid w:val="001942C6"/>
    <w:rsid w:val="00194B25"/>
    <w:rsid w:val="001C4F78"/>
    <w:rsid w:val="001C5DAB"/>
    <w:rsid w:val="001E372B"/>
    <w:rsid w:val="002A6AD6"/>
    <w:rsid w:val="002B5841"/>
    <w:rsid w:val="002C22E1"/>
    <w:rsid w:val="002C5B60"/>
    <w:rsid w:val="00301CA6"/>
    <w:rsid w:val="003051F1"/>
    <w:rsid w:val="00317CB7"/>
    <w:rsid w:val="00322437"/>
    <w:rsid w:val="00341973"/>
    <w:rsid w:val="003428E7"/>
    <w:rsid w:val="00352BFA"/>
    <w:rsid w:val="00373058"/>
    <w:rsid w:val="00390FB3"/>
    <w:rsid w:val="003952C9"/>
    <w:rsid w:val="003A7DAC"/>
    <w:rsid w:val="003B1FBC"/>
    <w:rsid w:val="003D0437"/>
    <w:rsid w:val="003F5B8E"/>
    <w:rsid w:val="004210D5"/>
    <w:rsid w:val="00422C24"/>
    <w:rsid w:val="004402F2"/>
    <w:rsid w:val="00476320"/>
    <w:rsid w:val="0048313F"/>
    <w:rsid w:val="00490626"/>
    <w:rsid w:val="004E0B44"/>
    <w:rsid w:val="004E2C35"/>
    <w:rsid w:val="004F4C60"/>
    <w:rsid w:val="004F7BF2"/>
    <w:rsid w:val="00517D4D"/>
    <w:rsid w:val="00530065"/>
    <w:rsid w:val="00540433"/>
    <w:rsid w:val="00557CB5"/>
    <w:rsid w:val="00560B36"/>
    <w:rsid w:val="005616B9"/>
    <w:rsid w:val="00576D05"/>
    <w:rsid w:val="0058577E"/>
    <w:rsid w:val="005C07D9"/>
    <w:rsid w:val="006046B5"/>
    <w:rsid w:val="00637FAA"/>
    <w:rsid w:val="0066385A"/>
    <w:rsid w:val="0068596F"/>
    <w:rsid w:val="0068638C"/>
    <w:rsid w:val="006A0541"/>
    <w:rsid w:val="006A3111"/>
    <w:rsid w:val="006A7E93"/>
    <w:rsid w:val="006D54F1"/>
    <w:rsid w:val="006D6D0B"/>
    <w:rsid w:val="00717214"/>
    <w:rsid w:val="00763A02"/>
    <w:rsid w:val="007675B7"/>
    <w:rsid w:val="00777FEE"/>
    <w:rsid w:val="00796BB6"/>
    <w:rsid w:val="007C2282"/>
    <w:rsid w:val="007C3A15"/>
    <w:rsid w:val="007D5B17"/>
    <w:rsid w:val="007D6EDF"/>
    <w:rsid w:val="007E7DE3"/>
    <w:rsid w:val="00833ED6"/>
    <w:rsid w:val="00837390"/>
    <w:rsid w:val="00846887"/>
    <w:rsid w:val="0086664C"/>
    <w:rsid w:val="008D12FC"/>
    <w:rsid w:val="008E6556"/>
    <w:rsid w:val="00914CFD"/>
    <w:rsid w:val="009374AE"/>
    <w:rsid w:val="009B0EEE"/>
    <w:rsid w:val="009B7E73"/>
    <w:rsid w:val="009D12EF"/>
    <w:rsid w:val="009D2C00"/>
    <w:rsid w:val="00A10598"/>
    <w:rsid w:val="00A3142C"/>
    <w:rsid w:val="00A340D2"/>
    <w:rsid w:val="00A41B71"/>
    <w:rsid w:val="00A56AE0"/>
    <w:rsid w:val="00AB2B6E"/>
    <w:rsid w:val="00AB3B29"/>
    <w:rsid w:val="00AB5616"/>
    <w:rsid w:val="00AC569C"/>
    <w:rsid w:val="00AF12E9"/>
    <w:rsid w:val="00AF235E"/>
    <w:rsid w:val="00AF5F99"/>
    <w:rsid w:val="00B00E8A"/>
    <w:rsid w:val="00B00FEE"/>
    <w:rsid w:val="00B3180B"/>
    <w:rsid w:val="00B34114"/>
    <w:rsid w:val="00B44C7E"/>
    <w:rsid w:val="00B75CCB"/>
    <w:rsid w:val="00B80C2F"/>
    <w:rsid w:val="00B91B78"/>
    <w:rsid w:val="00BD525D"/>
    <w:rsid w:val="00C01734"/>
    <w:rsid w:val="00C702C4"/>
    <w:rsid w:val="00C70B88"/>
    <w:rsid w:val="00C87808"/>
    <w:rsid w:val="00C90118"/>
    <w:rsid w:val="00C945B2"/>
    <w:rsid w:val="00CD1923"/>
    <w:rsid w:val="00D13A77"/>
    <w:rsid w:val="00D315EA"/>
    <w:rsid w:val="00D31BBB"/>
    <w:rsid w:val="00D5218C"/>
    <w:rsid w:val="00D54B99"/>
    <w:rsid w:val="00D55AFE"/>
    <w:rsid w:val="00D72CFE"/>
    <w:rsid w:val="00D76814"/>
    <w:rsid w:val="00D804C9"/>
    <w:rsid w:val="00D920F2"/>
    <w:rsid w:val="00DA2F3C"/>
    <w:rsid w:val="00DB2B57"/>
    <w:rsid w:val="00DB71F1"/>
    <w:rsid w:val="00E02049"/>
    <w:rsid w:val="00E1343B"/>
    <w:rsid w:val="00E15F52"/>
    <w:rsid w:val="00E16700"/>
    <w:rsid w:val="00E300D1"/>
    <w:rsid w:val="00E4116C"/>
    <w:rsid w:val="00E52113"/>
    <w:rsid w:val="00E536F3"/>
    <w:rsid w:val="00E83D71"/>
    <w:rsid w:val="00EA2363"/>
    <w:rsid w:val="00EC03DB"/>
    <w:rsid w:val="00EE3537"/>
    <w:rsid w:val="00EF0DFE"/>
    <w:rsid w:val="00F025A1"/>
    <w:rsid w:val="00F579DF"/>
    <w:rsid w:val="00F6465D"/>
    <w:rsid w:val="00FB2B51"/>
    <w:rsid w:val="00FC71F7"/>
    <w:rsid w:val="00FE45D8"/>
    <w:rsid w:val="06050CDB"/>
    <w:rsid w:val="07BB1161"/>
    <w:rsid w:val="084A4178"/>
    <w:rsid w:val="087F3E7B"/>
    <w:rsid w:val="0A135D37"/>
    <w:rsid w:val="0D156991"/>
    <w:rsid w:val="11CB3B65"/>
    <w:rsid w:val="13AE395E"/>
    <w:rsid w:val="14555CCF"/>
    <w:rsid w:val="153025D5"/>
    <w:rsid w:val="19267AD1"/>
    <w:rsid w:val="1D284DAE"/>
    <w:rsid w:val="1E9F40B0"/>
    <w:rsid w:val="1EF20821"/>
    <w:rsid w:val="20BC6977"/>
    <w:rsid w:val="21710C14"/>
    <w:rsid w:val="24082400"/>
    <w:rsid w:val="24156130"/>
    <w:rsid w:val="24A647AE"/>
    <w:rsid w:val="25C9120A"/>
    <w:rsid w:val="27BB4408"/>
    <w:rsid w:val="2C815051"/>
    <w:rsid w:val="2CF32449"/>
    <w:rsid w:val="2D225CEC"/>
    <w:rsid w:val="2DFC1467"/>
    <w:rsid w:val="2E624234"/>
    <w:rsid w:val="308B02F6"/>
    <w:rsid w:val="364871AE"/>
    <w:rsid w:val="36774695"/>
    <w:rsid w:val="387C0352"/>
    <w:rsid w:val="390E069B"/>
    <w:rsid w:val="3A47779C"/>
    <w:rsid w:val="3CE97FD1"/>
    <w:rsid w:val="3ECA6D2C"/>
    <w:rsid w:val="3F0D7EB6"/>
    <w:rsid w:val="3F2F4088"/>
    <w:rsid w:val="435D5835"/>
    <w:rsid w:val="43D7577F"/>
    <w:rsid w:val="447A08AC"/>
    <w:rsid w:val="47BB7411"/>
    <w:rsid w:val="4ACC3E2B"/>
    <w:rsid w:val="4C820C46"/>
    <w:rsid w:val="4DCE0BB9"/>
    <w:rsid w:val="501355F3"/>
    <w:rsid w:val="50727AED"/>
    <w:rsid w:val="50C71488"/>
    <w:rsid w:val="52C35BF3"/>
    <w:rsid w:val="55447584"/>
    <w:rsid w:val="598D4C24"/>
    <w:rsid w:val="60176E2D"/>
    <w:rsid w:val="616109D2"/>
    <w:rsid w:val="621A6DD3"/>
    <w:rsid w:val="62C83629"/>
    <w:rsid w:val="633B01FC"/>
    <w:rsid w:val="65416589"/>
    <w:rsid w:val="6A1A57D2"/>
    <w:rsid w:val="6C4671CE"/>
    <w:rsid w:val="6E3553D1"/>
    <w:rsid w:val="6F09697B"/>
    <w:rsid w:val="703B1969"/>
    <w:rsid w:val="70EE3C7B"/>
    <w:rsid w:val="726230A1"/>
    <w:rsid w:val="72AB3611"/>
    <w:rsid w:val="73BE59D3"/>
    <w:rsid w:val="75106A21"/>
    <w:rsid w:val="751A7756"/>
    <w:rsid w:val="75322E77"/>
    <w:rsid w:val="755726DD"/>
    <w:rsid w:val="77253DF8"/>
    <w:rsid w:val="7D047183"/>
    <w:rsid w:val="7E7F16A8"/>
    <w:rsid w:val="7FE271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Body Text"/>
    <w:basedOn w:val="1"/>
    <w:qFormat/>
    <w:uiPriority w:val="1"/>
    <w:pPr>
      <w:ind w:left="151"/>
    </w:pPr>
    <w:rPr>
      <w:sz w:val="32"/>
      <w:szCs w:val="32"/>
    </w:rPr>
  </w:style>
  <w:style w:type="paragraph" w:styleId="5">
    <w:name w:val="Date"/>
    <w:basedOn w:val="1"/>
    <w:next w:val="1"/>
    <w:link w:val="29"/>
    <w:semiHidden/>
    <w:unhideWhenUsed/>
    <w:qFormat/>
    <w:uiPriority w:val="99"/>
    <w:pPr>
      <w:ind w:left="100" w:leftChars="2500"/>
    </w:pPr>
  </w:style>
  <w:style w:type="paragraph" w:styleId="6">
    <w:name w:val="Balloon Text"/>
    <w:basedOn w:val="1"/>
    <w:link w:val="28"/>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paragraph" w:customStyle="1" w:styleId="14">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5">
    <w:name w:val="CM1"/>
    <w:basedOn w:val="14"/>
    <w:next w:val="14"/>
    <w:qFormat/>
    <w:uiPriority w:val="99"/>
    <w:rPr>
      <w:rFonts w:cs="Times New Roman"/>
      <w:color w:val="auto"/>
    </w:rPr>
  </w:style>
  <w:style w:type="paragraph" w:customStyle="1" w:styleId="16">
    <w:name w:val="CM8"/>
    <w:basedOn w:val="14"/>
    <w:next w:val="14"/>
    <w:qFormat/>
    <w:uiPriority w:val="99"/>
    <w:pPr>
      <w:spacing w:after="255"/>
    </w:pPr>
    <w:rPr>
      <w:rFonts w:cs="Times New Roman"/>
      <w:color w:val="auto"/>
    </w:rPr>
  </w:style>
  <w:style w:type="paragraph" w:customStyle="1" w:styleId="17">
    <w:name w:val="CM2"/>
    <w:basedOn w:val="14"/>
    <w:next w:val="14"/>
    <w:qFormat/>
    <w:uiPriority w:val="99"/>
    <w:pPr>
      <w:spacing w:line="598" w:lineRule="atLeast"/>
    </w:pPr>
    <w:rPr>
      <w:rFonts w:cs="Times New Roman"/>
      <w:color w:val="auto"/>
    </w:rPr>
  </w:style>
  <w:style w:type="paragraph" w:customStyle="1" w:styleId="18">
    <w:name w:val="CM3"/>
    <w:basedOn w:val="14"/>
    <w:next w:val="14"/>
    <w:qFormat/>
    <w:uiPriority w:val="99"/>
    <w:pPr>
      <w:spacing w:line="593" w:lineRule="atLeast"/>
    </w:pPr>
    <w:rPr>
      <w:rFonts w:cs="Times New Roman"/>
      <w:color w:val="auto"/>
    </w:rPr>
  </w:style>
  <w:style w:type="paragraph" w:customStyle="1" w:styleId="19">
    <w:name w:val="CM4"/>
    <w:basedOn w:val="14"/>
    <w:next w:val="14"/>
    <w:qFormat/>
    <w:uiPriority w:val="99"/>
    <w:pPr>
      <w:spacing w:line="593" w:lineRule="atLeast"/>
    </w:pPr>
    <w:rPr>
      <w:rFonts w:cs="Times New Roman"/>
      <w:color w:val="auto"/>
    </w:rPr>
  </w:style>
  <w:style w:type="paragraph" w:customStyle="1" w:styleId="20">
    <w:name w:val="CM9"/>
    <w:basedOn w:val="14"/>
    <w:next w:val="14"/>
    <w:qFormat/>
    <w:uiPriority w:val="99"/>
    <w:pPr>
      <w:spacing w:after="572"/>
    </w:pPr>
    <w:rPr>
      <w:rFonts w:cs="Times New Roman"/>
      <w:color w:val="auto"/>
    </w:rPr>
  </w:style>
  <w:style w:type="paragraph" w:customStyle="1" w:styleId="21">
    <w:name w:val="CM5"/>
    <w:basedOn w:val="14"/>
    <w:next w:val="14"/>
    <w:qFormat/>
    <w:uiPriority w:val="99"/>
    <w:pPr>
      <w:spacing w:line="593" w:lineRule="atLeast"/>
    </w:pPr>
    <w:rPr>
      <w:rFonts w:cs="Times New Roman"/>
      <w:color w:val="auto"/>
    </w:rPr>
  </w:style>
  <w:style w:type="paragraph" w:customStyle="1" w:styleId="22">
    <w:name w:val="CM6"/>
    <w:basedOn w:val="14"/>
    <w:next w:val="14"/>
    <w:qFormat/>
    <w:uiPriority w:val="99"/>
    <w:rPr>
      <w:rFonts w:cs="Times New Roman"/>
      <w:color w:val="auto"/>
    </w:rPr>
  </w:style>
  <w:style w:type="paragraph" w:customStyle="1" w:styleId="23">
    <w:name w:val="CM10"/>
    <w:basedOn w:val="14"/>
    <w:next w:val="14"/>
    <w:qFormat/>
    <w:uiPriority w:val="99"/>
    <w:pPr>
      <w:spacing w:after="188"/>
    </w:pPr>
    <w:rPr>
      <w:rFonts w:cs="Times New Roman"/>
      <w:color w:val="auto"/>
    </w:rPr>
  </w:style>
  <w:style w:type="paragraph" w:customStyle="1" w:styleId="24">
    <w:name w:val="CM7"/>
    <w:basedOn w:val="14"/>
    <w:next w:val="14"/>
    <w:qFormat/>
    <w:uiPriority w:val="99"/>
    <w:rPr>
      <w:rFonts w:cs="Times New Roman"/>
      <w:color w:val="auto"/>
    </w:rPr>
  </w:style>
  <w:style w:type="paragraph" w:customStyle="1" w:styleId="25">
    <w:name w:val="CM11"/>
    <w:basedOn w:val="14"/>
    <w:next w:val="14"/>
    <w:qFormat/>
    <w:uiPriority w:val="99"/>
    <w:pPr>
      <w:spacing w:after="840"/>
    </w:pPr>
    <w:rPr>
      <w:rFonts w:cs="Times New Roman"/>
      <w:color w:val="auto"/>
    </w:rPr>
  </w:style>
  <w:style w:type="character" w:customStyle="1" w:styleId="26">
    <w:name w:val="页眉 字符"/>
    <w:basedOn w:val="12"/>
    <w:link w:val="8"/>
    <w:qFormat/>
    <w:locked/>
    <w:uiPriority w:val="99"/>
    <w:rPr>
      <w:rFonts w:cs="Times New Roman"/>
      <w:sz w:val="18"/>
      <w:szCs w:val="18"/>
    </w:rPr>
  </w:style>
  <w:style w:type="character" w:customStyle="1" w:styleId="27">
    <w:name w:val="页脚 字符"/>
    <w:basedOn w:val="12"/>
    <w:link w:val="7"/>
    <w:qFormat/>
    <w:locked/>
    <w:uiPriority w:val="99"/>
    <w:rPr>
      <w:rFonts w:cs="Times New Roman"/>
      <w:sz w:val="18"/>
      <w:szCs w:val="18"/>
    </w:rPr>
  </w:style>
  <w:style w:type="character" w:customStyle="1" w:styleId="28">
    <w:name w:val="批注框文本 字符"/>
    <w:basedOn w:val="12"/>
    <w:link w:val="6"/>
    <w:semiHidden/>
    <w:qFormat/>
    <w:uiPriority w:val="99"/>
    <w:rPr>
      <w:kern w:val="2"/>
      <w:sz w:val="18"/>
      <w:szCs w:val="18"/>
    </w:rPr>
  </w:style>
  <w:style w:type="character" w:customStyle="1" w:styleId="29">
    <w:name w:val="日期 字符"/>
    <w:basedOn w:val="12"/>
    <w:link w:val="5"/>
    <w:semiHidden/>
    <w:qFormat/>
    <w:uiPriority w:val="99"/>
    <w:rPr>
      <w:kern w:val="2"/>
      <w:sz w:val="21"/>
      <w:szCs w:val="22"/>
    </w:rPr>
  </w:style>
  <w:style w:type="character" w:customStyle="1" w:styleId="30">
    <w:name w:val="批注文字 字符"/>
    <w:basedOn w:val="12"/>
    <w:link w:val="3"/>
    <w:qFormat/>
    <w:uiPriority w:val="99"/>
    <w:rPr>
      <w:rFonts w:ascii="Calibri" w:hAnsi="Calibri"/>
      <w:kern w:val="2"/>
      <w:sz w:val="21"/>
      <w:szCs w:val="22"/>
    </w:rPr>
  </w:style>
  <w:style w:type="character" w:customStyle="1" w:styleId="31">
    <w:name w:val="标题 1 字符"/>
    <w:basedOn w:val="12"/>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468</Words>
  <Characters>2669</Characters>
  <Lines>22</Lines>
  <Paragraphs>6</Paragraphs>
  <TotalTime>40</TotalTime>
  <ScaleCrop>false</ScaleCrop>
  <LinksUpToDate>false</LinksUpToDate>
  <CharactersWithSpaces>3131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2020-01-08T08:20:00Z</cp:lastPrinted>
  <dcterms:modified xsi:type="dcterms:W3CDTF">2024-01-31T06:11:34Z</dcterms:modified>
  <dc:subject>科目</dc:subject>
  <dc:title>标题</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A16D74DF41F94B9E931213FF3F47649C_12</vt:lpwstr>
  </property>
</Properties>
</file>