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A1A04">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淄川区综合行政执法局2024年第四季度政府工作报告重点工作任务落实情况表</w:t>
      </w:r>
    </w:p>
    <w:p w14:paraId="0FCFBD54"/>
    <w:tbl>
      <w:tblPr>
        <w:tblStyle w:val="5"/>
        <w:tblW w:w="15778" w:type="dxa"/>
        <w:tblInd w:w="-1003" w:type="dxa"/>
        <w:tblLayout w:type="fixed"/>
        <w:tblCellMar>
          <w:top w:w="0" w:type="dxa"/>
          <w:left w:w="0" w:type="dxa"/>
          <w:bottom w:w="0" w:type="dxa"/>
          <w:right w:w="0" w:type="dxa"/>
        </w:tblCellMar>
      </w:tblPr>
      <w:tblGrid>
        <w:gridCol w:w="5"/>
        <w:gridCol w:w="2355"/>
        <w:gridCol w:w="2683"/>
        <w:gridCol w:w="536"/>
        <w:gridCol w:w="4275"/>
        <w:gridCol w:w="200"/>
        <w:gridCol w:w="1338"/>
        <w:gridCol w:w="1314"/>
        <w:gridCol w:w="432"/>
        <w:gridCol w:w="1000"/>
        <w:gridCol w:w="440"/>
        <w:gridCol w:w="615"/>
        <w:gridCol w:w="585"/>
      </w:tblGrid>
      <w:tr w14:paraId="728D995B">
        <w:tblPrEx>
          <w:tblCellMar>
            <w:top w:w="0" w:type="dxa"/>
            <w:left w:w="0" w:type="dxa"/>
            <w:bottom w:w="0" w:type="dxa"/>
            <w:right w:w="0" w:type="dxa"/>
          </w:tblCellMar>
        </w:tblPrEx>
        <w:trPr>
          <w:trHeight w:val="624" w:hRule="atLeast"/>
        </w:trPr>
        <w:tc>
          <w:tcPr>
            <w:tcW w:w="747" w:type="pct"/>
            <w:gridSpan w:val="2"/>
            <w:tcBorders>
              <w:top w:val="single" w:color="auto" w:sz="8" w:space="0"/>
              <w:left w:val="single" w:color="auto" w:sz="8" w:space="0"/>
              <w:bottom w:val="single" w:color="auto" w:sz="4" w:space="0"/>
              <w:right w:val="single" w:color="auto" w:sz="8" w:space="0"/>
            </w:tcBorders>
            <w:vAlign w:val="center"/>
          </w:tcPr>
          <w:p w14:paraId="3824AAA2">
            <w:pPr>
              <w:widowControl/>
              <w:jc w:val="center"/>
              <w:rPr>
                <w:rFonts w:hint="eastAsia" w:ascii="黑体" w:hAnsi="黑体" w:eastAsia="黑体" w:cs="宋体"/>
                <w:color w:val="000000"/>
                <w:kern w:val="0"/>
                <w:sz w:val="28"/>
                <w:szCs w:val="28"/>
              </w:rPr>
            </w:pPr>
            <w:r>
              <w:rPr>
                <w:rFonts w:hint="eastAsia" w:ascii="黑体" w:hAnsi="黑体" w:eastAsia="黑体" w:cs="宋体"/>
                <w:bCs/>
                <w:color w:val="000000"/>
                <w:kern w:val="0"/>
                <w:sz w:val="28"/>
                <w:szCs w:val="28"/>
              </w:rPr>
              <w:t>重点工作项目</w:t>
            </w:r>
          </w:p>
        </w:tc>
        <w:tc>
          <w:tcPr>
            <w:tcW w:w="850" w:type="pct"/>
            <w:tcBorders>
              <w:top w:val="single" w:color="auto" w:sz="8" w:space="0"/>
              <w:left w:val="nil"/>
              <w:bottom w:val="single" w:color="auto" w:sz="4" w:space="0"/>
              <w:right w:val="single" w:color="auto" w:sz="8" w:space="0"/>
            </w:tcBorders>
            <w:vAlign w:val="center"/>
          </w:tcPr>
          <w:p w14:paraId="5E9144AA">
            <w:pPr>
              <w:widowControl/>
              <w:jc w:val="center"/>
              <w:rPr>
                <w:rFonts w:hint="eastAsia" w:ascii="黑体" w:hAnsi="黑体" w:eastAsia="黑体" w:cs="宋体"/>
                <w:color w:val="000000"/>
                <w:kern w:val="0"/>
                <w:sz w:val="28"/>
                <w:szCs w:val="28"/>
              </w:rPr>
            </w:pPr>
            <w:r>
              <w:rPr>
                <w:rFonts w:hint="eastAsia" w:ascii="黑体" w:hAnsi="黑体" w:eastAsia="黑体" w:cs="宋体"/>
                <w:bCs/>
                <w:color w:val="000000"/>
                <w:kern w:val="0"/>
                <w:sz w:val="28"/>
                <w:szCs w:val="28"/>
              </w:rPr>
              <w:t>项目内容及目标要求</w:t>
            </w:r>
          </w:p>
        </w:tc>
        <w:tc>
          <w:tcPr>
            <w:tcW w:w="2011" w:type="pct"/>
            <w:gridSpan w:val="4"/>
            <w:tcBorders>
              <w:top w:val="single" w:color="auto" w:sz="8" w:space="0"/>
              <w:left w:val="nil"/>
              <w:bottom w:val="single" w:color="auto" w:sz="4" w:space="0"/>
              <w:right w:val="single" w:color="auto" w:sz="8" w:space="0"/>
            </w:tcBorders>
            <w:vAlign w:val="center"/>
          </w:tcPr>
          <w:p w14:paraId="4222D47C">
            <w:pPr>
              <w:widowControl/>
              <w:jc w:val="center"/>
              <w:rPr>
                <w:rFonts w:hint="eastAsia" w:ascii="黑体" w:hAnsi="黑体" w:eastAsia="黑体" w:cs="宋体"/>
                <w:color w:val="000000"/>
                <w:kern w:val="0"/>
                <w:sz w:val="28"/>
                <w:szCs w:val="28"/>
              </w:rPr>
            </w:pPr>
            <w:r>
              <w:rPr>
                <w:rFonts w:hint="eastAsia" w:ascii="黑体" w:hAnsi="黑体" w:eastAsia="黑体" w:cs="宋体"/>
                <w:bCs/>
                <w:color w:val="000000"/>
                <w:kern w:val="0"/>
                <w:sz w:val="28"/>
                <w:szCs w:val="28"/>
              </w:rPr>
              <w:t>执行措施、工作进展、取得成效</w:t>
            </w:r>
          </w:p>
        </w:tc>
        <w:tc>
          <w:tcPr>
            <w:tcW w:w="553" w:type="pct"/>
            <w:gridSpan w:val="2"/>
            <w:tcBorders>
              <w:top w:val="single" w:color="auto" w:sz="8" w:space="0"/>
              <w:left w:val="nil"/>
              <w:bottom w:val="single" w:color="auto" w:sz="4" w:space="0"/>
              <w:right w:val="single" w:color="auto" w:sz="8" w:space="0"/>
            </w:tcBorders>
            <w:vAlign w:val="center"/>
          </w:tcPr>
          <w:p w14:paraId="26E5C3B4">
            <w:pPr>
              <w:widowControl/>
              <w:jc w:val="center"/>
              <w:rPr>
                <w:rFonts w:hint="eastAsia" w:ascii="黑体" w:hAnsi="黑体" w:eastAsia="黑体" w:cs="宋体"/>
                <w:color w:val="000000"/>
                <w:kern w:val="0"/>
                <w:sz w:val="28"/>
                <w:szCs w:val="28"/>
              </w:rPr>
            </w:pPr>
            <w:r>
              <w:rPr>
                <w:rFonts w:hint="eastAsia" w:ascii="黑体" w:hAnsi="黑体" w:eastAsia="黑体" w:cs="宋体"/>
                <w:bCs/>
                <w:color w:val="000000"/>
                <w:kern w:val="0"/>
                <w:sz w:val="28"/>
                <w:szCs w:val="28"/>
              </w:rPr>
              <w:t>后续举措</w:t>
            </w:r>
          </w:p>
        </w:tc>
        <w:tc>
          <w:tcPr>
            <w:tcW w:w="456" w:type="pct"/>
            <w:gridSpan w:val="2"/>
            <w:tcBorders>
              <w:top w:val="single" w:color="auto" w:sz="8" w:space="0"/>
              <w:left w:val="nil"/>
              <w:bottom w:val="single" w:color="auto" w:sz="4" w:space="0"/>
              <w:right w:val="single" w:color="auto" w:sz="8" w:space="0"/>
            </w:tcBorders>
            <w:vAlign w:val="center"/>
          </w:tcPr>
          <w:p w14:paraId="1FF9974F">
            <w:pPr>
              <w:widowControl/>
              <w:jc w:val="center"/>
              <w:rPr>
                <w:rFonts w:hint="eastAsia" w:ascii="黑体" w:hAnsi="黑体" w:eastAsia="黑体" w:cs="宋体"/>
                <w:color w:val="000000"/>
                <w:kern w:val="0"/>
                <w:sz w:val="28"/>
                <w:szCs w:val="28"/>
              </w:rPr>
            </w:pPr>
            <w:r>
              <w:rPr>
                <w:rFonts w:hint="eastAsia" w:ascii="黑体" w:hAnsi="黑体" w:eastAsia="黑体" w:cs="宋体"/>
                <w:bCs/>
                <w:color w:val="000000"/>
                <w:kern w:val="0"/>
                <w:sz w:val="28"/>
                <w:szCs w:val="28"/>
              </w:rPr>
              <w:t>责任分工</w:t>
            </w:r>
          </w:p>
        </w:tc>
        <w:tc>
          <w:tcPr>
            <w:tcW w:w="380" w:type="pct"/>
            <w:gridSpan w:val="2"/>
            <w:tcBorders>
              <w:top w:val="single" w:color="auto" w:sz="8" w:space="0"/>
              <w:left w:val="nil"/>
              <w:bottom w:val="single" w:color="auto" w:sz="4" w:space="0"/>
              <w:right w:val="single" w:color="auto" w:sz="8" w:space="0"/>
            </w:tcBorders>
            <w:vAlign w:val="center"/>
          </w:tcPr>
          <w:p w14:paraId="3F38FB42">
            <w:pPr>
              <w:widowControl/>
              <w:jc w:val="center"/>
              <w:rPr>
                <w:rFonts w:hint="eastAsia" w:ascii="黑体" w:hAnsi="黑体" w:eastAsia="黑体" w:cs="宋体"/>
                <w:color w:val="000000"/>
                <w:kern w:val="0"/>
                <w:sz w:val="28"/>
                <w:szCs w:val="28"/>
              </w:rPr>
            </w:pPr>
            <w:r>
              <w:rPr>
                <w:rFonts w:hint="eastAsia" w:ascii="黑体" w:hAnsi="黑体" w:eastAsia="黑体" w:cs="宋体"/>
                <w:bCs/>
                <w:color w:val="000000"/>
                <w:kern w:val="0"/>
                <w:sz w:val="28"/>
                <w:szCs w:val="28"/>
              </w:rPr>
              <w:t>监督方式</w:t>
            </w:r>
          </w:p>
        </w:tc>
      </w:tr>
      <w:tr w14:paraId="2FDC966D">
        <w:tblPrEx>
          <w:tblCellMar>
            <w:top w:w="0" w:type="dxa"/>
            <w:left w:w="0" w:type="dxa"/>
            <w:bottom w:w="0" w:type="dxa"/>
            <w:right w:w="0" w:type="dxa"/>
          </w:tblCellMar>
        </w:tblPrEx>
        <w:trPr>
          <w:trHeight w:val="624" w:hRule="atLeast"/>
        </w:trPr>
        <w:tc>
          <w:tcPr>
            <w:tcW w:w="747" w:type="pct"/>
            <w:gridSpan w:val="2"/>
            <w:tcBorders>
              <w:top w:val="single" w:color="auto" w:sz="4" w:space="0"/>
              <w:left w:val="single" w:color="auto" w:sz="4" w:space="0"/>
              <w:bottom w:val="single" w:color="auto" w:sz="4" w:space="0"/>
              <w:right w:val="single" w:color="auto" w:sz="4" w:space="0"/>
            </w:tcBorders>
            <w:vAlign w:val="center"/>
          </w:tcPr>
          <w:p w14:paraId="008585CC">
            <w:pPr>
              <w:widowControl/>
              <w:jc w:val="both"/>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推进全域公园城市建设，实施城市道路景观提升工程，新建改建10处口袋公园，新增城市绿地80万平方米。</w:t>
            </w:r>
          </w:p>
        </w:tc>
        <w:tc>
          <w:tcPr>
            <w:tcW w:w="850" w:type="pct"/>
            <w:tcBorders>
              <w:top w:val="single" w:color="auto" w:sz="4" w:space="0"/>
              <w:left w:val="single" w:color="auto" w:sz="4" w:space="0"/>
              <w:bottom w:val="single" w:color="auto" w:sz="4" w:space="0"/>
              <w:right w:val="single" w:color="auto" w:sz="4" w:space="0"/>
            </w:tcBorders>
            <w:vAlign w:val="center"/>
          </w:tcPr>
          <w:p w14:paraId="291BE891">
            <w:pPr>
              <w:widowControl/>
              <w:jc w:val="both"/>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完成社区游园、街头游园等10处的建设工作，季度完成建设规模10公顷。</w:t>
            </w:r>
          </w:p>
        </w:tc>
        <w:tc>
          <w:tcPr>
            <w:tcW w:w="2011" w:type="pct"/>
            <w:gridSpan w:val="4"/>
            <w:tcBorders>
              <w:top w:val="single" w:color="auto" w:sz="4" w:space="0"/>
              <w:left w:val="single" w:color="auto" w:sz="4" w:space="0"/>
              <w:bottom w:val="single" w:color="auto" w:sz="4" w:space="0"/>
              <w:right w:val="single" w:color="auto" w:sz="4" w:space="0"/>
            </w:tcBorders>
          </w:tcPr>
          <w:p w14:paraId="5D2C1CEC">
            <w:pPr>
              <w:widowControl/>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累计完成10处街头游园（山水文苑、丽城街头游园街头游园、博晨盛园三期社区游园、中海翠湖溪岸庭院景观绿化、双泉社区游园、凤凰原著二期社区游园、东山经济适用房北邻合村并居安置区游园、将军路与滨河路交叉口西南角游园、松龄西路与凤凰山路东北角游园、将军路与淄矿路西北角游园），累计完成80公顷绿地新建改造提升。</w:t>
            </w:r>
          </w:p>
        </w:tc>
        <w:tc>
          <w:tcPr>
            <w:tcW w:w="553" w:type="pct"/>
            <w:gridSpan w:val="2"/>
            <w:tcBorders>
              <w:top w:val="single" w:color="auto" w:sz="4" w:space="0"/>
              <w:left w:val="single" w:color="auto" w:sz="4" w:space="0"/>
              <w:bottom w:val="single" w:color="auto" w:sz="4" w:space="0"/>
              <w:right w:val="single" w:color="auto" w:sz="4" w:space="0"/>
            </w:tcBorders>
            <w:vAlign w:val="center"/>
          </w:tcPr>
          <w:p w14:paraId="03337298">
            <w:pPr>
              <w:widowControl/>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按年度计划对项目单位进行调度和督导</w:t>
            </w:r>
          </w:p>
        </w:tc>
        <w:tc>
          <w:tcPr>
            <w:tcW w:w="456" w:type="pct"/>
            <w:gridSpan w:val="2"/>
            <w:tcBorders>
              <w:top w:val="single" w:color="auto" w:sz="4" w:space="0"/>
              <w:left w:val="single" w:color="auto" w:sz="4" w:space="0"/>
              <w:bottom w:val="single" w:color="auto" w:sz="4" w:space="0"/>
              <w:right w:val="single" w:color="auto" w:sz="4" w:space="0"/>
            </w:tcBorders>
            <w:vAlign w:val="center"/>
          </w:tcPr>
          <w:p w14:paraId="0DE20E68">
            <w:pPr>
              <w:widowControl/>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区综合行政执法局</w:t>
            </w:r>
          </w:p>
        </w:tc>
        <w:tc>
          <w:tcPr>
            <w:tcW w:w="380" w:type="pct"/>
            <w:gridSpan w:val="2"/>
            <w:tcBorders>
              <w:top w:val="single" w:color="auto" w:sz="4" w:space="0"/>
              <w:left w:val="single" w:color="auto" w:sz="4" w:space="0"/>
              <w:bottom w:val="single" w:color="auto" w:sz="4" w:space="0"/>
              <w:right w:val="single" w:color="auto" w:sz="4" w:space="0"/>
            </w:tcBorders>
            <w:vAlign w:val="center"/>
          </w:tcPr>
          <w:p w14:paraId="49B1E65F">
            <w:pPr>
              <w:widowControl/>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0533-</w:t>
            </w:r>
          </w:p>
          <w:p w14:paraId="253265BD">
            <w:pPr>
              <w:widowControl/>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2705760</w:t>
            </w:r>
          </w:p>
        </w:tc>
      </w:tr>
      <w:tr w14:paraId="67295A9A">
        <w:tblPrEx>
          <w:tblCellMar>
            <w:top w:w="0" w:type="dxa"/>
            <w:left w:w="0" w:type="dxa"/>
            <w:bottom w:w="0" w:type="dxa"/>
            <w:right w:w="0" w:type="dxa"/>
          </w:tblCellMar>
        </w:tblPrEx>
        <w:trPr>
          <w:trHeight w:val="624" w:hRule="atLeast"/>
        </w:trPr>
        <w:tc>
          <w:tcPr>
            <w:tcW w:w="747" w:type="pct"/>
            <w:gridSpan w:val="2"/>
            <w:tcBorders>
              <w:top w:val="single" w:color="auto" w:sz="4" w:space="0"/>
              <w:left w:val="single" w:color="auto" w:sz="4" w:space="0"/>
              <w:bottom w:val="single" w:color="auto" w:sz="4" w:space="0"/>
              <w:right w:val="single" w:color="auto" w:sz="4" w:space="0"/>
            </w:tcBorders>
            <w:vAlign w:val="center"/>
          </w:tcPr>
          <w:p w14:paraId="79982D8B">
            <w:pPr>
              <w:widowControl/>
              <w:jc w:val="both"/>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深化城乡环境大整治精细管理大提升行动，巩固精品示范创建成果，提升改造8条示范路、77个示范村、11个示范小区，带动全区城乡环境持续向好。</w:t>
            </w:r>
          </w:p>
        </w:tc>
        <w:tc>
          <w:tcPr>
            <w:tcW w:w="1020" w:type="pct"/>
            <w:gridSpan w:val="2"/>
            <w:tcBorders>
              <w:top w:val="single" w:color="auto" w:sz="4" w:space="0"/>
              <w:left w:val="single" w:color="auto" w:sz="4" w:space="0"/>
              <w:bottom w:val="single" w:color="auto" w:sz="4" w:space="0"/>
              <w:right w:val="single" w:color="auto" w:sz="4" w:space="0"/>
            </w:tcBorders>
            <w:vAlign w:val="center"/>
          </w:tcPr>
          <w:p w14:paraId="75B66B62">
            <w:pPr>
              <w:widowControl/>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一是针对前三季度市反馈问题整改不达标、不彻底的问题进行现场复核、限期再整改、再提升，减少问题量，改善镇街村居环境。二是11月份开展城市管理规范提升21天行动，大力清除城区沿街各类脏乱差，主动发现和督促整改问题，并常态化推进，改善提升城市环境。</w:t>
            </w:r>
          </w:p>
        </w:tc>
        <w:tc>
          <w:tcPr>
            <w:tcW w:w="1354" w:type="pct"/>
            <w:tcBorders>
              <w:top w:val="single" w:color="auto" w:sz="4" w:space="0"/>
              <w:left w:val="single" w:color="auto" w:sz="4" w:space="0"/>
              <w:bottom w:val="single" w:color="auto" w:sz="4" w:space="0"/>
              <w:right w:val="single" w:color="auto" w:sz="4" w:space="0"/>
            </w:tcBorders>
            <w:vAlign w:val="center"/>
          </w:tcPr>
          <w:p w14:paraId="2DFA5035">
            <w:pPr>
              <w:widowControl/>
              <w:jc w:val="both"/>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调度全区各镇街和相关部门工作积极性，积极开展各自牵头领域和辖区内的环境整治工作；参照市对区城乡环境整治常态长效长治行动考核指标标准，制定我区对镇街考核指标标准并严格落实，靶向针对市第三方测评反馈我区的问题，大力推进问题整改，进行现场督导复核。积极对上沟通，做好相关迎检及对接工作，目前我区在全市考核中锁定第一梯队位次。</w:t>
            </w:r>
          </w:p>
        </w:tc>
        <w:tc>
          <w:tcPr>
            <w:tcW w:w="1040" w:type="pct"/>
            <w:gridSpan w:val="4"/>
            <w:tcBorders>
              <w:top w:val="single" w:color="auto" w:sz="4" w:space="0"/>
              <w:left w:val="single" w:color="auto" w:sz="4" w:space="0"/>
              <w:bottom w:val="single" w:color="auto" w:sz="4" w:space="0"/>
              <w:right w:val="single" w:color="auto" w:sz="4" w:space="0"/>
            </w:tcBorders>
          </w:tcPr>
          <w:p w14:paraId="2942FE37">
            <w:pPr>
              <w:widowControl/>
              <w:rPr>
                <w:rFonts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1.制定年度计划。组织各镇街尽快制定2025年城乡环境整治任务清单，夯实责任，明确目标。2.严格督导考核。全面落实区对镇街考核办法，提高镇办问题整改工作积极性和责任心。3.强化问题整改。定期开展第三方测评反馈问题整改工作督导，严格按照市相关工作标准深入现场检查验收，定期通报问题整改率。4.整治重点领域。对问题数量居高不下、问题整改率偏低的牵头部门或镇办，有针对性的组织开展专项整治行动。</w:t>
            </w:r>
          </w:p>
        </w:tc>
        <w:tc>
          <w:tcPr>
            <w:tcW w:w="456" w:type="pct"/>
            <w:gridSpan w:val="2"/>
            <w:tcBorders>
              <w:top w:val="single" w:color="auto" w:sz="4" w:space="0"/>
              <w:left w:val="single" w:color="auto" w:sz="4" w:space="0"/>
              <w:bottom w:val="single" w:color="auto" w:sz="4" w:space="0"/>
              <w:right w:val="single" w:color="auto" w:sz="4" w:space="0"/>
            </w:tcBorders>
            <w:vAlign w:val="center"/>
          </w:tcPr>
          <w:p w14:paraId="656C1507">
            <w:pPr>
              <w:widowControl/>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区综合行政执法局</w:t>
            </w:r>
          </w:p>
        </w:tc>
        <w:tc>
          <w:tcPr>
            <w:tcW w:w="380" w:type="pct"/>
            <w:gridSpan w:val="2"/>
            <w:tcBorders>
              <w:top w:val="single" w:color="auto" w:sz="4" w:space="0"/>
              <w:left w:val="single" w:color="auto" w:sz="4" w:space="0"/>
              <w:bottom w:val="single" w:color="auto" w:sz="4" w:space="0"/>
              <w:right w:val="single" w:color="auto" w:sz="4" w:space="0"/>
            </w:tcBorders>
            <w:vAlign w:val="center"/>
          </w:tcPr>
          <w:p w14:paraId="50265BBE">
            <w:pPr>
              <w:widowControl/>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0533-</w:t>
            </w:r>
          </w:p>
          <w:p w14:paraId="0EC5D36A">
            <w:pPr>
              <w:widowControl/>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2705760</w:t>
            </w:r>
          </w:p>
        </w:tc>
      </w:tr>
      <w:tr w14:paraId="095EAD5A">
        <w:tblPrEx>
          <w:tblCellMar>
            <w:top w:w="0" w:type="dxa"/>
            <w:left w:w="0" w:type="dxa"/>
            <w:bottom w:w="0" w:type="dxa"/>
            <w:right w:w="0" w:type="dxa"/>
          </w:tblCellMar>
        </w:tblPrEx>
        <w:trPr>
          <w:gridBefore w:val="1"/>
          <w:gridAfter w:val="1"/>
          <w:wBefore w:w="1" w:type="pct"/>
          <w:wAfter w:w="185" w:type="pct"/>
          <w:trHeight w:val="3109" w:hRule="atLeast"/>
        </w:trPr>
        <w:tc>
          <w:tcPr>
            <w:tcW w:w="746" w:type="pct"/>
            <w:tcBorders>
              <w:top w:val="single" w:color="auto" w:sz="4" w:space="0"/>
              <w:left w:val="single" w:color="auto" w:sz="4" w:space="0"/>
              <w:bottom w:val="single" w:color="auto" w:sz="4" w:space="0"/>
              <w:right w:val="single" w:color="auto" w:sz="4" w:space="0"/>
            </w:tcBorders>
            <w:vAlign w:val="center"/>
          </w:tcPr>
          <w:p w14:paraId="63EF276D">
            <w:pPr>
              <w:widowControl/>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推进“数字城管”向“智慧城管”升级，探索实施“首违不罚+公益减罚+柔性执法”新模式，加快构建“大城管”格局。</w:t>
            </w:r>
          </w:p>
        </w:tc>
        <w:tc>
          <w:tcPr>
            <w:tcW w:w="1020" w:type="pct"/>
            <w:gridSpan w:val="2"/>
            <w:tcBorders>
              <w:top w:val="single" w:color="auto" w:sz="4" w:space="0"/>
              <w:left w:val="single" w:color="auto" w:sz="4" w:space="0"/>
              <w:bottom w:val="single" w:color="auto" w:sz="4" w:space="0"/>
              <w:right w:val="single" w:color="auto" w:sz="4" w:space="0"/>
            </w:tcBorders>
            <w:vAlign w:val="center"/>
          </w:tcPr>
          <w:p w14:paraId="29053C0D">
            <w:pPr>
              <w:widowControl/>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不断扩展城管服务热线、视频监控、综合执法、户外广告、多维分析、全民城管、市政环卫、园林公园、智慧停车、共享单车、文明创建综合管理平台等子系统上线运行。对违法行为给予行政处罚必须以事实为依据，做到</w:t>
            </w:r>
            <w:r>
              <w:rPr>
                <w:rFonts w:ascii="Times New Roman" w:hAnsi="Times New Roman" w:eastAsia="仿宋_GB2312" w:cs="Times New Roman"/>
                <w:color w:val="auto"/>
                <w:kern w:val="0"/>
                <w:sz w:val="28"/>
                <w:szCs w:val="28"/>
              </w:rPr>
              <w:t>依法执法、过罚相当，避免过度执法。</w:t>
            </w:r>
          </w:p>
        </w:tc>
        <w:tc>
          <w:tcPr>
            <w:tcW w:w="1842" w:type="pct"/>
            <w:gridSpan w:val="3"/>
            <w:tcBorders>
              <w:top w:val="single" w:color="auto" w:sz="4" w:space="0"/>
              <w:left w:val="single" w:color="auto" w:sz="4" w:space="0"/>
              <w:bottom w:val="single" w:color="auto" w:sz="4" w:space="0"/>
              <w:right w:val="single" w:color="auto" w:sz="4" w:space="0"/>
            </w:tcBorders>
            <w:vAlign w:val="center"/>
          </w:tcPr>
          <w:p w14:paraId="0E4B53E3">
            <w:pPr>
              <w:widowControl/>
              <w:jc w:val="both"/>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区数字化城管平台进一步拓展完善系统建设，全面实现信息实时采集传输大数据互联共享，形成发现、处理、监督三位一体的城市管理问题处理机制。倡导诚实守信</w:t>
            </w:r>
            <w:r>
              <w:rPr>
                <w:rFonts w:ascii="Times New Roman" w:hAnsi="Times New Roman" w:eastAsia="仿宋_GB2312" w:cs="Times New Roman"/>
                <w:color w:val="auto"/>
                <w:kern w:val="0"/>
                <w:sz w:val="28"/>
                <w:szCs w:val="28"/>
              </w:rPr>
              <w:t>，</w:t>
            </w:r>
            <w:r>
              <w:rPr>
                <w:rFonts w:hint="eastAsia" w:ascii="Times New Roman" w:hAnsi="Times New Roman" w:eastAsia="仿宋_GB2312" w:cs="Times New Roman"/>
                <w:color w:val="auto"/>
                <w:kern w:val="0"/>
                <w:sz w:val="28"/>
                <w:szCs w:val="28"/>
              </w:rPr>
              <w:t>约谈当事人，对当事人签署承诺书后违背诚实守信不改正或改正后再犯相同违法行为的，行政执法部门应当依法作出行政罚款处罚决定，不得滥用相关柔性执法制度。</w:t>
            </w:r>
          </w:p>
        </w:tc>
        <w:tc>
          <w:tcPr>
            <w:tcW w:w="416" w:type="pct"/>
            <w:tcBorders>
              <w:top w:val="single" w:color="auto" w:sz="4" w:space="0"/>
              <w:left w:val="single" w:color="auto" w:sz="4" w:space="0"/>
              <w:bottom w:val="single" w:color="auto" w:sz="4" w:space="0"/>
              <w:right w:val="single" w:color="auto" w:sz="4" w:space="0"/>
            </w:tcBorders>
            <w:vAlign w:val="center"/>
          </w:tcPr>
          <w:p w14:paraId="58A2EFF1">
            <w:pPr>
              <w:widowControl/>
              <w:rPr>
                <w:rFonts w:hint="eastAsia" w:ascii="Times New Roman" w:hAnsi="Times New Roman" w:eastAsia="仿宋_GB2312" w:cs="Times New Roman"/>
                <w:color w:val="auto"/>
                <w:kern w:val="0"/>
                <w:sz w:val="28"/>
                <w:szCs w:val="28"/>
              </w:rPr>
            </w:pPr>
          </w:p>
        </w:tc>
        <w:tc>
          <w:tcPr>
            <w:tcW w:w="453" w:type="pct"/>
            <w:gridSpan w:val="2"/>
            <w:tcBorders>
              <w:top w:val="single" w:color="auto" w:sz="4" w:space="0"/>
              <w:left w:val="single" w:color="auto" w:sz="4" w:space="0"/>
              <w:bottom w:val="single" w:color="auto" w:sz="4" w:space="0"/>
              <w:right w:val="single" w:color="auto" w:sz="4" w:space="0"/>
            </w:tcBorders>
            <w:vAlign w:val="center"/>
          </w:tcPr>
          <w:p w14:paraId="5C54A135">
            <w:pPr>
              <w:widowControl/>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区综合行政执法局</w:t>
            </w:r>
          </w:p>
        </w:tc>
        <w:tc>
          <w:tcPr>
            <w:tcW w:w="334" w:type="pct"/>
            <w:gridSpan w:val="2"/>
            <w:tcBorders>
              <w:top w:val="single" w:color="auto" w:sz="4" w:space="0"/>
              <w:left w:val="single" w:color="auto" w:sz="4" w:space="0"/>
              <w:bottom w:val="single" w:color="auto" w:sz="4" w:space="0"/>
              <w:right w:val="single" w:color="auto" w:sz="4" w:space="0"/>
            </w:tcBorders>
            <w:vAlign w:val="center"/>
          </w:tcPr>
          <w:p w14:paraId="76261DB8">
            <w:pPr>
              <w:widowControl/>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0533-</w:t>
            </w:r>
          </w:p>
          <w:p w14:paraId="65C76697">
            <w:pPr>
              <w:widowControl/>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2705760</w:t>
            </w:r>
          </w:p>
        </w:tc>
      </w:tr>
      <w:tr w14:paraId="5C266502">
        <w:tblPrEx>
          <w:tblCellMar>
            <w:top w:w="0" w:type="dxa"/>
            <w:left w:w="0" w:type="dxa"/>
            <w:bottom w:w="0" w:type="dxa"/>
            <w:right w:w="0" w:type="dxa"/>
          </w:tblCellMar>
        </w:tblPrEx>
        <w:trPr>
          <w:gridBefore w:val="1"/>
          <w:gridAfter w:val="1"/>
          <w:wBefore w:w="1" w:type="pct"/>
          <w:wAfter w:w="185" w:type="pct"/>
          <w:trHeight w:val="4249" w:hRule="atLeast"/>
        </w:trPr>
        <w:tc>
          <w:tcPr>
            <w:tcW w:w="746" w:type="pct"/>
            <w:tcBorders>
              <w:top w:val="single" w:color="auto" w:sz="4" w:space="0"/>
              <w:left w:val="single" w:color="auto" w:sz="4" w:space="0"/>
              <w:bottom w:val="single" w:color="auto" w:sz="4" w:space="0"/>
              <w:right w:val="single" w:color="auto" w:sz="4" w:space="0"/>
            </w:tcBorders>
            <w:vAlign w:val="center"/>
          </w:tcPr>
          <w:p w14:paraId="48689121">
            <w:pPr>
              <w:widowControl/>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强化停车综合治理，健全城管交警协同执法机制，新增停车位2000个以上。</w:t>
            </w:r>
          </w:p>
        </w:tc>
        <w:tc>
          <w:tcPr>
            <w:tcW w:w="1020" w:type="pct"/>
            <w:gridSpan w:val="2"/>
            <w:tcBorders>
              <w:top w:val="single" w:color="auto" w:sz="4" w:space="0"/>
              <w:left w:val="single" w:color="auto" w:sz="4" w:space="0"/>
              <w:bottom w:val="single" w:color="auto" w:sz="4" w:space="0"/>
              <w:right w:val="single" w:color="auto" w:sz="4" w:space="0"/>
            </w:tcBorders>
            <w:vAlign w:val="center"/>
          </w:tcPr>
          <w:p w14:paraId="09C86074">
            <w:pPr>
              <w:widowControl/>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施划停车位600个</w:t>
            </w:r>
          </w:p>
        </w:tc>
        <w:tc>
          <w:tcPr>
            <w:tcW w:w="1418" w:type="pct"/>
            <w:gridSpan w:val="2"/>
            <w:tcBorders>
              <w:top w:val="single" w:color="auto" w:sz="4" w:space="0"/>
              <w:left w:val="single" w:color="auto" w:sz="4" w:space="0"/>
              <w:bottom w:val="single" w:color="auto" w:sz="4" w:space="0"/>
              <w:right w:val="single" w:color="auto" w:sz="4" w:space="0"/>
            </w:tcBorders>
            <w:vAlign w:val="center"/>
          </w:tcPr>
          <w:p w14:paraId="7A2F0BA5">
            <w:pPr>
              <w:widowControl/>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全年新增停车位2050个</w:t>
            </w:r>
          </w:p>
        </w:tc>
        <w:tc>
          <w:tcPr>
            <w:tcW w:w="840" w:type="pct"/>
            <w:gridSpan w:val="2"/>
            <w:tcBorders>
              <w:top w:val="single" w:color="auto" w:sz="4" w:space="0"/>
              <w:left w:val="single" w:color="auto" w:sz="4" w:space="0"/>
              <w:bottom w:val="single" w:color="auto" w:sz="4" w:space="0"/>
              <w:right w:val="single" w:color="auto" w:sz="4" w:space="0"/>
            </w:tcBorders>
            <w:vAlign w:val="center"/>
          </w:tcPr>
          <w:p w14:paraId="6A026CA2">
            <w:pPr>
              <w:widowControl/>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 xml:space="preserve">下一步，按照应划尽划原则，继续做好城区停车位施划工作。  </w:t>
            </w:r>
          </w:p>
        </w:tc>
        <w:tc>
          <w:tcPr>
            <w:tcW w:w="453" w:type="pct"/>
            <w:gridSpan w:val="2"/>
            <w:tcBorders>
              <w:top w:val="single" w:color="auto" w:sz="4" w:space="0"/>
              <w:left w:val="single" w:color="auto" w:sz="4" w:space="0"/>
              <w:bottom w:val="single" w:color="auto" w:sz="4" w:space="0"/>
              <w:right w:val="single" w:color="auto" w:sz="4" w:space="0"/>
            </w:tcBorders>
            <w:vAlign w:val="center"/>
          </w:tcPr>
          <w:p w14:paraId="553309FE">
            <w:pPr>
              <w:widowControl/>
              <w:jc w:val="center"/>
              <w:rPr>
                <w:rFonts w:hint="eastAsia" w:ascii="Times New Roman" w:hAnsi="Times New Roman" w:eastAsia="仿宋_GB2312" w:cs="Times New Roman"/>
                <w:color w:val="auto"/>
                <w:kern w:val="0"/>
                <w:sz w:val="28"/>
                <w:szCs w:val="28"/>
              </w:rPr>
            </w:pPr>
            <w:r>
              <w:rPr>
                <w:rFonts w:hint="eastAsia" w:ascii="Times New Roman" w:hAnsi="Times New Roman" w:eastAsia="仿宋_GB2312" w:cs="Times New Roman"/>
                <w:color w:val="auto"/>
                <w:kern w:val="0"/>
                <w:sz w:val="28"/>
                <w:szCs w:val="28"/>
              </w:rPr>
              <w:t>区综合行政执法局</w:t>
            </w:r>
          </w:p>
        </w:tc>
        <w:tc>
          <w:tcPr>
            <w:tcW w:w="334" w:type="pct"/>
            <w:gridSpan w:val="2"/>
            <w:tcBorders>
              <w:top w:val="single" w:color="auto" w:sz="4" w:space="0"/>
              <w:left w:val="single" w:color="auto" w:sz="4" w:space="0"/>
              <w:bottom w:val="single" w:color="auto" w:sz="4" w:space="0"/>
              <w:right w:val="single" w:color="auto" w:sz="4" w:space="0"/>
            </w:tcBorders>
            <w:vAlign w:val="center"/>
          </w:tcPr>
          <w:p w14:paraId="27E8275A">
            <w:pPr>
              <w:widowControl/>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0533-</w:t>
            </w:r>
          </w:p>
          <w:p w14:paraId="1B1AE12F">
            <w:pPr>
              <w:widowControl/>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2705760</w:t>
            </w:r>
          </w:p>
        </w:tc>
      </w:tr>
      <w:tr w14:paraId="494697CF">
        <w:tblPrEx>
          <w:tblCellMar>
            <w:top w:w="0" w:type="dxa"/>
            <w:left w:w="0" w:type="dxa"/>
            <w:bottom w:w="0" w:type="dxa"/>
            <w:right w:w="0" w:type="dxa"/>
          </w:tblCellMar>
        </w:tblPrEx>
        <w:trPr>
          <w:gridBefore w:val="1"/>
          <w:gridAfter w:val="1"/>
          <w:wBefore w:w="1" w:type="pct"/>
          <w:wAfter w:w="185" w:type="pct"/>
          <w:trHeight w:val="7379" w:hRule="atLeast"/>
        </w:trPr>
        <w:tc>
          <w:tcPr>
            <w:tcW w:w="746" w:type="pct"/>
            <w:tcBorders>
              <w:top w:val="single" w:color="auto" w:sz="4" w:space="0"/>
              <w:left w:val="single" w:color="auto" w:sz="4" w:space="0"/>
              <w:bottom w:val="single" w:color="auto" w:sz="4" w:space="0"/>
              <w:right w:val="single" w:color="auto" w:sz="4" w:space="0"/>
            </w:tcBorders>
            <w:shd w:val="clear" w:color="auto" w:fill="FFFFFF"/>
            <w:vAlign w:val="center"/>
          </w:tcPr>
          <w:p w14:paraId="5B2F41F4">
            <w:pPr>
              <w:widowControl/>
              <w:rPr>
                <w:rFonts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抓好市政环卫园林市场化运行，全面推行片区化、一体化保洁作业模式，加快推进垃圾分类全体系项目建设。</w:t>
            </w:r>
          </w:p>
        </w:tc>
        <w:tc>
          <w:tcPr>
            <w:tcW w:w="102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92D8EFD">
            <w:pPr>
              <w:widowControl/>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对市场化公司按照《淄川区城市管家及城乡环卫一体化考核》进行日督导月考核，规范作业标准，保证作业质量。一是对作业公司不定时进行随机现场督导，对督导问题及时反馈，限期整改，并实行台帐式管理，定期复核，确保整改效果。二是督导作业公司对城区主次干道严格落实“深度保洁，以克论净”工作要求，实行“机扫人保，巡回捡拾，全日保洁”作业模式，确保全路段达到“五净五无”作业标准。对生活垃圾按要求进行清运，达到日产日清，并运至电厂进行无害化处理。三是对城区道路设施、路灯照明及附属设施养护管理工作进行督导、检查，确保路平、灯亮、设施完好。四是督导作业公司按照片区化、一体化作业实施方案进行环卫作业。  进一步健全生活垃圾源头分类投放设施建设和管理，加快推进垃圾分类全体系项目建设。持续深入开展《淄博市生活垃圾分类管理办法》宣贯活动，定期进小区、进社区、进镇办、进学校开展垃圾分类宣讲活动。</w:t>
            </w:r>
          </w:p>
        </w:tc>
        <w:tc>
          <w:tcPr>
            <w:tcW w:w="1418" w:type="pct"/>
            <w:gridSpan w:val="2"/>
            <w:tcBorders>
              <w:top w:val="single" w:color="auto" w:sz="4" w:space="0"/>
              <w:left w:val="single" w:color="auto" w:sz="4" w:space="0"/>
              <w:bottom w:val="single" w:color="auto" w:sz="4" w:space="0"/>
              <w:right w:val="single" w:color="auto" w:sz="4" w:space="0"/>
            </w:tcBorders>
            <w:vAlign w:val="center"/>
          </w:tcPr>
          <w:p w14:paraId="7F7C53EF">
            <w:pPr>
              <w:widowControl/>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第四季度共下发整改督办单24份，督导整改问题694个。处理整改市数字城管问题136个，区数字城管理问题68个，各类督办单15件。截止12月23日，全年共下发整改督办单189份，督导整改问题6176个。处理整改市数字城管问题300个，区数字城管理问题188个，各类督办单50件。加强垃圾分类收集设施建设，截至目前我区垃圾分类收集设施基本实现全覆盖。2024年无害化处理生活垃圾167541.40吨，生活垃圾无害化处理率达到100%。利用多种形式，向村居民讲解垃圾分类知识，提高垃圾分类知晓率。</w:t>
            </w:r>
          </w:p>
        </w:tc>
        <w:tc>
          <w:tcPr>
            <w:tcW w:w="840" w:type="pct"/>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E0188E0">
            <w:pPr>
              <w:widowControl/>
              <w:rPr>
                <w:rFonts w:hint="eastAsia" w:ascii="Times New Roman" w:hAnsi="Times New Roman" w:eastAsia="仿宋_GB2312" w:cs="Times New Roman"/>
                <w:color w:val="auto"/>
                <w:kern w:val="0"/>
                <w:sz w:val="28"/>
                <w:szCs w:val="28"/>
                <w:lang w:val="en-US" w:eastAsia="zh-CN"/>
              </w:rPr>
            </w:pPr>
            <w:r>
              <w:rPr>
                <w:rFonts w:hint="eastAsia" w:ascii="Times New Roman" w:hAnsi="Times New Roman" w:eastAsia="仿宋_GB2312" w:cs="Times New Roman"/>
                <w:color w:val="auto"/>
                <w:kern w:val="0"/>
                <w:sz w:val="28"/>
                <w:szCs w:val="28"/>
                <w:lang w:val="en-US" w:eastAsia="zh-CN"/>
              </w:rPr>
              <w:t>继续做好对市场化公司的指导、考核及管理工作。</w:t>
            </w:r>
            <w:r>
              <w:rPr>
                <w:rFonts w:hint="eastAsia" w:ascii="Times New Roman" w:hAnsi="Times New Roman" w:eastAsia="仿宋_GB2312" w:cs="Times New Roman"/>
                <w:color w:val="auto"/>
                <w:kern w:val="0"/>
                <w:sz w:val="28"/>
                <w:szCs w:val="28"/>
                <w:lang w:val="en-US" w:eastAsia="zh-CN"/>
              </w:rPr>
              <w:br w:type="textWrapping"/>
            </w:r>
            <w:r>
              <w:rPr>
                <w:rFonts w:hint="eastAsia" w:ascii="Times New Roman" w:hAnsi="Times New Roman" w:eastAsia="仿宋_GB2312" w:cs="Times New Roman"/>
                <w:color w:val="auto"/>
                <w:kern w:val="0"/>
                <w:sz w:val="28"/>
                <w:szCs w:val="28"/>
                <w:lang w:val="en-US" w:eastAsia="zh-CN"/>
              </w:rPr>
              <w:t>持续加强宣传教育，创新宣传方式，提高农村居民环保意识。加大农村生活垃圾分类工作宣传力度，加强对村民的培训和指导，逐步推进垃圾分类工作开展。加强与资源回收企业的合作。建立稳定的回收渠道，提高可回收物的回收率。</w:t>
            </w:r>
          </w:p>
        </w:tc>
        <w:tc>
          <w:tcPr>
            <w:tcW w:w="453" w:type="pct"/>
            <w:gridSpan w:val="2"/>
            <w:tcBorders>
              <w:top w:val="single" w:color="auto" w:sz="4" w:space="0"/>
              <w:left w:val="single" w:color="auto" w:sz="4" w:space="0"/>
              <w:bottom w:val="single" w:color="auto" w:sz="4" w:space="0"/>
              <w:right w:val="single" w:color="auto" w:sz="4" w:space="0"/>
            </w:tcBorders>
            <w:vAlign w:val="center"/>
          </w:tcPr>
          <w:p w14:paraId="4D0D03AE">
            <w:pPr>
              <w:widowControl/>
              <w:jc w:val="center"/>
              <w:rPr>
                <w:rFonts w:hint="eastAsia"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区综合行政执法局</w:t>
            </w:r>
          </w:p>
        </w:tc>
        <w:tc>
          <w:tcPr>
            <w:tcW w:w="334" w:type="pct"/>
            <w:gridSpan w:val="2"/>
            <w:tcBorders>
              <w:top w:val="single" w:color="auto" w:sz="4" w:space="0"/>
              <w:left w:val="single" w:color="auto" w:sz="4" w:space="0"/>
              <w:bottom w:val="single" w:color="auto" w:sz="4" w:space="0"/>
              <w:right w:val="single" w:color="auto" w:sz="4" w:space="0"/>
            </w:tcBorders>
            <w:vAlign w:val="center"/>
          </w:tcPr>
          <w:p w14:paraId="65359B69">
            <w:pPr>
              <w:widowControl/>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0533-</w:t>
            </w:r>
          </w:p>
          <w:p w14:paraId="10A95CEA">
            <w:pPr>
              <w:widowControl/>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2705760</w:t>
            </w:r>
          </w:p>
        </w:tc>
      </w:tr>
      <w:tr w14:paraId="61DEC6B7">
        <w:tblPrEx>
          <w:tblCellMar>
            <w:top w:w="0" w:type="dxa"/>
            <w:left w:w="0" w:type="dxa"/>
            <w:bottom w:w="0" w:type="dxa"/>
            <w:right w:w="0" w:type="dxa"/>
          </w:tblCellMar>
        </w:tblPrEx>
        <w:trPr>
          <w:gridBefore w:val="1"/>
          <w:gridAfter w:val="1"/>
          <w:wBefore w:w="1" w:type="pct"/>
          <w:wAfter w:w="185" w:type="pct"/>
          <w:trHeight w:val="624" w:hRule="atLeast"/>
        </w:trPr>
        <w:tc>
          <w:tcPr>
            <w:tcW w:w="746" w:type="pct"/>
            <w:tcBorders>
              <w:top w:val="single" w:color="auto" w:sz="4" w:space="0"/>
              <w:left w:val="single" w:color="auto" w:sz="4" w:space="0"/>
              <w:bottom w:val="single" w:color="auto" w:sz="4" w:space="0"/>
              <w:right w:val="single" w:color="auto" w:sz="4" w:space="0"/>
            </w:tcBorders>
            <w:vAlign w:val="center"/>
          </w:tcPr>
          <w:p w14:paraId="107B0240">
            <w:pPr>
              <w:widowControl/>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开展住宅小区物业提升行动，打造精品示范小区11个、红色物业示范点9个。</w:t>
            </w:r>
          </w:p>
        </w:tc>
        <w:tc>
          <w:tcPr>
            <w:tcW w:w="1020" w:type="pct"/>
            <w:gridSpan w:val="2"/>
            <w:tcBorders>
              <w:top w:val="single" w:color="auto" w:sz="4" w:space="0"/>
              <w:left w:val="single" w:color="auto" w:sz="4" w:space="0"/>
              <w:bottom w:val="single" w:color="auto" w:sz="4" w:space="0"/>
              <w:right w:val="single" w:color="auto" w:sz="4" w:space="0"/>
            </w:tcBorders>
            <w:vAlign w:val="center"/>
          </w:tcPr>
          <w:p w14:paraId="6BA02BF0">
            <w:pPr>
              <w:widowControl/>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在全区范围内打造3个红色物业示范点、精品示范小区3个。形成党建引领物业服务管理的长效机制，积极培育物业服务行业特色文化。</w:t>
            </w:r>
          </w:p>
        </w:tc>
        <w:tc>
          <w:tcPr>
            <w:tcW w:w="1418" w:type="pct"/>
            <w:gridSpan w:val="2"/>
            <w:tcBorders>
              <w:top w:val="single" w:color="auto" w:sz="4" w:space="0"/>
              <w:left w:val="single" w:color="auto" w:sz="4" w:space="0"/>
              <w:bottom w:val="single" w:color="auto" w:sz="4" w:space="0"/>
              <w:right w:val="single" w:color="auto" w:sz="4" w:space="0"/>
            </w:tcBorders>
            <w:vAlign w:val="center"/>
          </w:tcPr>
          <w:p w14:paraId="622D4D18">
            <w:pPr>
              <w:widowControl/>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 xml:space="preserve">截止目前，已完成9个红色物业示范点：山水缘、后来社区 </w:t>
            </w:r>
            <w:bookmarkStart w:id="0" w:name="_GoBack"/>
            <w:bookmarkEnd w:id="0"/>
            <w:r>
              <w:rPr>
                <w:rFonts w:ascii="Times New Roman" w:hAnsi="Times New Roman" w:eastAsia="仿宋_GB2312" w:cs="Times New Roman"/>
                <w:color w:val="auto"/>
                <w:kern w:val="0"/>
                <w:sz w:val="28"/>
                <w:szCs w:val="28"/>
              </w:rPr>
              <w:t>、博晨盛园、怡心园、舒香苑、雁阳御城、紫御城、君悦佳园、鑫益家园;11个精品示范小区：山水缘、后来社区、紫御城、博晨盛园、地中海阳光、雁阳御城、君悦佳园、舒香苑、合盛苑、鑫益家园、上湖御园.</w:t>
            </w:r>
          </w:p>
        </w:tc>
        <w:tc>
          <w:tcPr>
            <w:tcW w:w="840" w:type="pct"/>
            <w:gridSpan w:val="2"/>
            <w:tcBorders>
              <w:top w:val="single" w:color="auto" w:sz="4" w:space="0"/>
              <w:left w:val="single" w:color="auto" w:sz="4" w:space="0"/>
              <w:bottom w:val="single" w:color="auto" w:sz="4" w:space="0"/>
              <w:right w:val="single" w:color="auto" w:sz="4" w:space="0"/>
            </w:tcBorders>
            <w:vAlign w:val="center"/>
          </w:tcPr>
          <w:p w14:paraId="32FBCA3F">
            <w:pPr>
              <w:widowControl/>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rPr>
              <w:t>下一步，以党建为引领，充分发挥基层组织的综合协调作用，深化社区与物业企业的有机融合，加强物业企业与社区双报到、三会制度等，促进社区与物业的相互协调、相互配合。年底前完成11个精品示范小区、9个红色物业示范点创建任务。</w:t>
            </w:r>
          </w:p>
        </w:tc>
        <w:tc>
          <w:tcPr>
            <w:tcW w:w="453" w:type="pct"/>
            <w:gridSpan w:val="2"/>
            <w:tcBorders>
              <w:top w:val="single" w:color="auto" w:sz="4" w:space="0"/>
              <w:left w:val="single" w:color="auto" w:sz="4" w:space="0"/>
              <w:bottom w:val="single" w:color="auto" w:sz="4" w:space="0"/>
              <w:right w:val="single" w:color="auto" w:sz="4" w:space="0"/>
            </w:tcBorders>
            <w:vAlign w:val="center"/>
          </w:tcPr>
          <w:p w14:paraId="0EBE18B7">
            <w:pPr>
              <w:widowControl/>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shd w:val="clear" w:color="auto" w:fill="FFFFFF"/>
              </w:rPr>
              <w:t>区综合行政执法局</w:t>
            </w:r>
          </w:p>
        </w:tc>
        <w:tc>
          <w:tcPr>
            <w:tcW w:w="334" w:type="pct"/>
            <w:gridSpan w:val="2"/>
            <w:tcBorders>
              <w:top w:val="single" w:color="auto" w:sz="4" w:space="0"/>
              <w:left w:val="single" w:color="auto" w:sz="4" w:space="0"/>
              <w:bottom w:val="single" w:color="auto" w:sz="4" w:space="0"/>
              <w:right w:val="single" w:color="auto" w:sz="4" w:space="0"/>
            </w:tcBorders>
            <w:vAlign w:val="center"/>
          </w:tcPr>
          <w:p w14:paraId="53A38770">
            <w:pPr>
              <w:widowControl/>
              <w:jc w:val="center"/>
              <w:rPr>
                <w:rFonts w:ascii="Times New Roman" w:hAnsi="Times New Roman" w:eastAsia="仿宋_GB2312" w:cs="Times New Roman"/>
                <w:color w:val="auto"/>
                <w:kern w:val="0"/>
                <w:sz w:val="28"/>
                <w:szCs w:val="28"/>
                <w:shd w:val="clear" w:color="auto" w:fill="FFFFFF"/>
              </w:rPr>
            </w:pPr>
            <w:r>
              <w:rPr>
                <w:rFonts w:ascii="Times New Roman" w:hAnsi="Times New Roman" w:eastAsia="仿宋_GB2312" w:cs="Times New Roman"/>
                <w:color w:val="auto"/>
                <w:kern w:val="0"/>
                <w:sz w:val="28"/>
                <w:szCs w:val="28"/>
                <w:shd w:val="clear" w:color="auto" w:fill="FFFFFF"/>
              </w:rPr>
              <w:t>0533-</w:t>
            </w:r>
          </w:p>
          <w:p w14:paraId="23F8BBD9">
            <w:pPr>
              <w:widowControl/>
              <w:jc w:val="center"/>
              <w:rPr>
                <w:rFonts w:ascii="Times New Roman" w:hAnsi="Times New Roman" w:eastAsia="仿宋_GB2312" w:cs="Times New Roman"/>
                <w:color w:val="auto"/>
                <w:kern w:val="0"/>
                <w:sz w:val="28"/>
                <w:szCs w:val="28"/>
              </w:rPr>
            </w:pPr>
            <w:r>
              <w:rPr>
                <w:rFonts w:ascii="Times New Roman" w:hAnsi="Times New Roman" w:eastAsia="仿宋_GB2312" w:cs="Times New Roman"/>
                <w:color w:val="auto"/>
                <w:kern w:val="0"/>
                <w:sz w:val="28"/>
                <w:szCs w:val="28"/>
                <w:shd w:val="clear" w:color="auto" w:fill="FFFFFF"/>
              </w:rPr>
              <w:t>2705760</w:t>
            </w:r>
          </w:p>
        </w:tc>
      </w:tr>
    </w:tbl>
    <w:p w14:paraId="3BD4D0EC">
      <w:pPr>
        <w:rPr>
          <w:rFonts w:hint="eastAsia"/>
        </w:rPr>
      </w:pPr>
    </w:p>
    <w:sectPr>
      <w:footerReference r:id="rId3" w:type="default"/>
      <w:pgSz w:w="16838" w:h="11906" w:orient="landscape"/>
      <w:pgMar w:top="2098" w:right="1531" w:bottom="1985"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373687-A3FF-4407-990D-365C03A5AA5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16BAF86-A7F3-462F-B132-9DFE6974504F}"/>
  </w:font>
  <w:font w:name="方正小标宋简体">
    <w:panose1 w:val="03000509000000000000"/>
    <w:charset w:val="86"/>
    <w:family w:val="auto"/>
    <w:pitch w:val="default"/>
    <w:sig w:usb0="00000001" w:usb1="080E0000" w:usb2="00000000" w:usb3="00000000" w:csb0="00040000" w:csb1="00000000"/>
    <w:embedRegular r:id="rId3" w:fontKey="{81B0F1F0-702F-4817-A0D4-4F4ECF595138}"/>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863D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47B56">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C47B56">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201"/>
    <w:rsid w:val="000B6B69"/>
    <w:rsid w:val="00113168"/>
    <w:rsid w:val="00260636"/>
    <w:rsid w:val="003703E3"/>
    <w:rsid w:val="00426F8B"/>
    <w:rsid w:val="004274E5"/>
    <w:rsid w:val="004A3F33"/>
    <w:rsid w:val="00517F96"/>
    <w:rsid w:val="008540B3"/>
    <w:rsid w:val="00947AAC"/>
    <w:rsid w:val="009C14BD"/>
    <w:rsid w:val="00A373CB"/>
    <w:rsid w:val="00B06DB1"/>
    <w:rsid w:val="00B16933"/>
    <w:rsid w:val="00B70999"/>
    <w:rsid w:val="00C83201"/>
    <w:rsid w:val="00D32BF5"/>
    <w:rsid w:val="00D91AF6"/>
    <w:rsid w:val="00D95053"/>
    <w:rsid w:val="00DB6562"/>
    <w:rsid w:val="00E15F00"/>
    <w:rsid w:val="0BA86972"/>
    <w:rsid w:val="1C664D98"/>
    <w:rsid w:val="220A23E4"/>
    <w:rsid w:val="25706A02"/>
    <w:rsid w:val="296E14AB"/>
    <w:rsid w:val="2BD22B08"/>
    <w:rsid w:val="3D446913"/>
    <w:rsid w:val="3E0E4BB3"/>
    <w:rsid w:val="3E3F3205"/>
    <w:rsid w:val="3ED63FDD"/>
    <w:rsid w:val="3F1660D7"/>
    <w:rsid w:val="46691686"/>
    <w:rsid w:val="49940662"/>
    <w:rsid w:val="5C544974"/>
    <w:rsid w:val="5E062D59"/>
    <w:rsid w:val="6960100C"/>
    <w:rsid w:val="6DFD4479"/>
    <w:rsid w:val="7B7D0DA7"/>
    <w:rsid w:val="7C921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2456</Words>
  <Characters>2560</Characters>
  <Lines>18</Lines>
  <Paragraphs>5</Paragraphs>
  <TotalTime>26</TotalTime>
  <ScaleCrop>false</ScaleCrop>
  <LinksUpToDate>false</LinksUpToDate>
  <CharactersWithSpaces>2565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2025-01-04T06:48:00Z</dcterms:created>
  <dc:creator>admin</dc:creator>
  <cp:lastModifiedBy>Administrator</cp:lastModifiedBy>
  <dcterms:modified xsi:type="dcterms:W3CDTF">2025-01-06T01:08:04Z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eyJoZGlkIjoiNDdmYmE2OGVjZDdmZTdmODhlYTE3ZWVlZTBhMmY0YTgifQ==</vt:lpwstr>
  </property>
  <property fmtid="{D5CDD505-2E9C-101B-9397-08002B2CF9AE}" pid="3" name="KSOProductBuildVer">
    <vt:lpwstr>2052-12.1.0.19770</vt:lpwstr>
  </property>
  <property fmtid="{D5CDD505-2E9C-101B-9397-08002B2CF9AE}" pid="4" name="ICV">
    <vt:lpwstr>D654139D10A74265AE5091493F032C23_12</vt:lpwstr>
  </property>
</Properties>
</file>