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A1A04">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淄川区综合行政执法局202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年第</w:t>
      </w:r>
      <w:r>
        <w:rPr>
          <w:rFonts w:hint="eastAsia" w:ascii="Times New Roman" w:hAnsi="Times New Roman" w:eastAsia="方正小标宋简体" w:cs="Times New Roman"/>
          <w:sz w:val="44"/>
          <w:szCs w:val="44"/>
          <w:lang w:eastAsia="zh-CN"/>
        </w:rPr>
        <w:t>一</w:t>
      </w:r>
      <w:r>
        <w:rPr>
          <w:rFonts w:hint="default" w:ascii="Times New Roman" w:hAnsi="Times New Roman" w:eastAsia="方正小标宋简体" w:cs="Times New Roman"/>
          <w:sz w:val="44"/>
          <w:szCs w:val="44"/>
        </w:rPr>
        <w:t>季度政府工作报告重点工作任务落实情况</w:t>
      </w:r>
    </w:p>
    <w:p w14:paraId="0FCFBD54"/>
    <w:tbl>
      <w:tblPr>
        <w:tblStyle w:val="5"/>
        <w:tblW w:w="15778" w:type="dxa"/>
        <w:tblInd w:w="-1003" w:type="dxa"/>
        <w:tblLayout w:type="fixed"/>
        <w:tblCellMar>
          <w:top w:w="0" w:type="dxa"/>
          <w:left w:w="0" w:type="dxa"/>
          <w:bottom w:w="0" w:type="dxa"/>
          <w:right w:w="0" w:type="dxa"/>
        </w:tblCellMar>
      </w:tblPr>
      <w:tblGrid>
        <w:gridCol w:w="5"/>
        <w:gridCol w:w="2354"/>
        <w:gridCol w:w="1"/>
        <w:gridCol w:w="2683"/>
        <w:gridCol w:w="5669"/>
        <w:gridCol w:w="2426"/>
        <w:gridCol w:w="1440"/>
        <w:gridCol w:w="1199"/>
        <w:gridCol w:w="1"/>
      </w:tblGrid>
      <w:tr w14:paraId="728D995B">
        <w:tblPrEx>
          <w:tblCellMar>
            <w:top w:w="0" w:type="dxa"/>
            <w:left w:w="0" w:type="dxa"/>
            <w:bottom w:w="0" w:type="dxa"/>
            <w:right w:w="0" w:type="dxa"/>
          </w:tblCellMar>
        </w:tblPrEx>
        <w:trPr>
          <w:trHeight w:val="624" w:hRule="atLeast"/>
        </w:trPr>
        <w:tc>
          <w:tcPr>
            <w:tcW w:w="747" w:type="pct"/>
            <w:gridSpan w:val="3"/>
            <w:tcBorders>
              <w:top w:val="single" w:color="auto" w:sz="8" w:space="0"/>
              <w:left w:val="single" w:color="auto" w:sz="8" w:space="0"/>
              <w:bottom w:val="single" w:color="auto" w:sz="4" w:space="0"/>
              <w:right w:val="single" w:color="auto" w:sz="8" w:space="0"/>
            </w:tcBorders>
            <w:vAlign w:val="center"/>
          </w:tcPr>
          <w:p w14:paraId="3824AAA2">
            <w:pPr>
              <w:widowControl/>
              <w:jc w:val="center"/>
              <w:rPr>
                <w:rFonts w:hint="eastAsia" w:ascii="黑体" w:hAnsi="黑体" w:eastAsia="黑体" w:cs="宋体"/>
                <w:color w:val="000000"/>
                <w:kern w:val="0"/>
                <w:sz w:val="21"/>
                <w:szCs w:val="21"/>
              </w:rPr>
            </w:pPr>
            <w:r>
              <w:rPr>
                <w:rFonts w:hint="eastAsia" w:ascii="黑体" w:hAnsi="黑体" w:eastAsia="黑体" w:cs="宋体"/>
                <w:bCs/>
                <w:color w:val="000000"/>
                <w:kern w:val="0"/>
                <w:sz w:val="21"/>
                <w:szCs w:val="21"/>
              </w:rPr>
              <w:t>重点工作项目</w:t>
            </w:r>
          </w:p>
        </w:tc>
        <w:tc>
          <w:tcPr>
            <w:tcW w:w="850" w:type="pct"/>
            <w:tcBorders>
              <w:top w:val="single" w:color="auto" w:sz="8" w:space="0"/>
              <w:left w:val="nil"/>
              <w:bottom w:val="single" w:color="auto" w:sz="4" w:space="0"/>
              <w:right w:val="single" w:color="auto" w:sz="8" w:space="0"/>
            </w:tcBorders>
            <w:vAlign w:val="center"/>
          </w:tcPr>
          <w:p w14:paraId="5E9144AA">
            <w:pPr>
              <w:widowControl/>
              <w:jc w:val="center"/>
              <w:rPr>
                <w:rFonts w:hint="eastAsia" w:ascii="黑体" w:hAnsi="黑体" w:eastAsia="黑体" w:cs="宋体"/>
                <w:color w:val="000000"/>
                <w:kern w:val="0"/>
                <w:sz w:val="21"/>
                <w:szCs w:val="21"/>
              </w:rPr>
            </w:pPr>
            <w:r>
              <w:rPr>
                <w:rFonts w:hint="eastAsia" w:ascii="黑体" w:hAnsi="黑体" w:eastAsia="黑体" w:cs="宋体"/>
                <w:bCs/>
                <w:color w:val="000000"/>
                <w:kern w:val="0"/>
                <w:sz w:val="21"/>
                <w:szCs w:val="21"/>
              </w:rPr>
              <w:t>项目内容及目标要求</w:t>
            </w:r>
          </w:p>
        </w:tc>
        <w:tc>
          <w:tcPr>
            <w:tcW w:w="1796" w:type="pct"/>
            <w:tcBorders>
              <w:top w:val="single" w:color="auto" w:sz="8" w:space="0"/>
              <w:left w:val="nil"/>
              <w:bottom w:val="single" w:color="auto" w:sz="4" w:space="0"/>
              <w:right w:val="single" w:color="auto" w:sz="8" w:space="0"/>
            </w:tcBorders>
            <w:vAlign w:val="center"/>
          </w:tcPr>
          <w:p w14:paraId="4222D47C">
            <w:pPr>
              <w:widowControl/>
              <w:jc w:val="center"/>
              <w:rPr>
                <w:rFonts w:hint="eastAsia" w:ascii="黑体" w:hAnsi="黑体" w:eastAsia="黑体" w:cs="宋体"/>
                <w:color w:val="000000"/>
                <w:kern w:val="0"/>
                <w:sz w:val="21"/>
                <w:szCs w:val="21"/>
              </w:rPr>
            </w:pPr>
            <w:r>
              <w:rPr>
                <w:rFonts w:hint="eastAsia" w:ascii="黑体" w:hAnsi="黑体" w:eastAsia="黑体" w:cs="宋体"/>
                <w:bCs/>
                <w:color w:val="000000"/>
                <w:kern w:val="0"/>
                <w:sz w:val="21"/>
                <w:szCs w:val="21"/>
              </w:rPr>
              <w:t>执行措施、工作进展、取得成效</w:t>
            </w:r>
          </w:p>
        </w:tc>
        <w:tc>
          <w:tcPr>
            <w:tcW w:w="768" w:type="pct"/>
            <w:tcBorders>
              <w:top w:val="single" w:color="auto" w:sz="8" w:space="0"/>
              <w:left w:val="nil"/>
              <w:bottom w:val="single" w:color="auto" w:sz="4" w:space="0"/>
              <w:right w:val="single" w:color="auto" w:sz="8" w:space="0"/>
            </w:tcBorders>
            <w:vAlign w:val="center"/>
          </w:tcPr>
          <w:p w14:paraId="26E5C3B4">
            <w:pPr>
              <w:widowControl/>
              <w:jc w:val="center"/>
              <w:rPr>
                <w:rFonts w:hint="eastAsia" w:ascii="黑体" w:hAnsi="黑体" w:eastAsia="黑体" w:cs="宋体"/>
                <w:color w:val="000000"/>
                <w:kern w:val="0"/>
                <w:sz w:val="21"/>
                <w:szCs w:val="21"/>
              </w:rPr>
            </w:pPr>
            <w:r>
              <w:rPr>
                <w:rFonts w:hint="eastAsia" w:ascii="黑体" w:hAnsi="黑体" w:eastAsia="黑体" w:cs="宋体"/>
                <w:bCs/>
                <w:color w:val="000000"/>
                <w:kern w:val="0"/>
                <w:sz w:val="21"/>
                <w:szCs w:val="21"/>
              </w:rPr>
              <w:t>后续举措</w:t>
            </w:r>
          </w:p>
        </w:tc>
        <w:tc>
          <w:tcPr>
            <w:tcW w:w="456" w:type="pct"/>
            <w:tcBorders>
              <w:top w:val="single" w:color="auto" w:sz="8" w:space="0"/>
              <w:left w:val="nil"/>
              <w:bottom w:val="single" w:color="auto" w:sz="4" w:space="0"/>
              <w:right w:val="single" w:color="auto" w:sz="8" w:space="0"/>
            </w:tcBorders>
            <w:vAlign w:val="center"/>
          </w:tcPr>
          <w:p w14:paraId="1FF9974F">
            <w:pPr>
              <w:widowControl/>
              <w:jc w:val="center"/>
              <w:rPr>
                <w:rFonts w:hint="eastAsia" w:ascii="黑体" w:hAnsi="黑体" w:eastAsia="黑体" w:cs="宋体"/>
                <w:color w:val="000000"/>
                <w:kern w:val="0"/>
                <w:sz w:val="21"/>
                <w:szCs w:val="21"/>
              </w:rPr>
            </w:pPr>
            <w:r>
              <w:rPr>
                <w:rFonts w:hint="eastAsia" w:ascii="黑体" w:hAnsi="黑体" w:eastAsia="黑体" w:cs="宋体"/>
                <w:bCs/>
                <w:color w:val="000000"/>
                <w:kern w:val="0"/>
                <w:sz w:val="21"/>
                <w:szCs w:val="21"/>
              </w:rPr>
              <w:t>责任分工</w:t>
            </w:r>
          </w:p>
        </w:tc>
        <w:tc>
          <w:tcPr>
            <w:tcW w:w="380" w:type="pct"/>
            <w:gridSpan w:val="2"/>
            <w:tcBorders>
              <w:top w:val="single" w:color="auto" w:sz="8" w:space="0"/>
              <w:left w:val="nil"/>
              <w:bottom w:val="single" w:color="auto" w:sz="4" w:space="0"/>
              <w:right w:val="single" w:color="auto" w:sz="8" w:space="0"/>
            </w:tcBorders>
            <w:vAlign w:val="center"/>
          </w:tcPr>
          <w:p w14:paraId="3F38FB42">
            <w:pPr>
              <w:widowControl/>
              <w:jc w:val="center"/>
              <w:rPr>
                <w:rFonts w:hint="eastAsia" w:ascii="黑体" w:hAnsi="黑体" w:eastAsia="黑体" w:cs="宋体"/>
                <w:color w:val="000000"/>
                <w:kern w:val="0"/>
                <w:sz w:val="21"/>
                <w:szCs w:val="21"/>
              </w:rPr>
            </w:pPr>
            <w:r>
              <w:rPr>
                <w:rFonts w:hint="eastAsia" w:ascii="黑体" w:hAnsi="黑体" w:eastAsia="黑体" w:cs="宋体"/>
                <w:bCs/>
                <w:color w:val="000000"/>
                <w:kern w:val="0"/>
                <w:sz w:val="21"/>
                <w:szCs w:val="21"/>
              </w:rPr>
              <w:t>监督方式</w:t>
            </w:r>
          </w:p>
        </w:tc>
      </w:tr>
      <w:tr w14:paraId="2FDC966D">
        <w:tblPrEx>
          <w:tblCellMar>
            <w:top w:w="0" w:type="dxa"/>
            <w:left w:w="0" w:type="dxa"/>
            <w:bottom w:w="0" w:type="dxa"/>
            <w:right w:w="0" w:type="dxa"/>
          </w:tblCellMar>
        </w:tblPrEx>
        <w:trPr>
          <w:trHeight w:val="624" w:hRule="atLeast"/>
        </w:trPr>
        <w:tc>
          <w:tcPr>
            <w:tcW w:w="747" w:type="pct"/>
            <w:gridSpan w:val="3"/>
            <w:tcBorders>
              <w:top w:val="single" w:color="auto" w:sz="4" w:space="0"/>
              <w:left w:val="single" w:color="auto" w:sz="4" w:space="0"/>
              <w:bottom w:val="single" w:color="auto" w:sz="4" w:space="0"/>
              <w:right w:val="single" w:color="auto" w:sz="4" w:space="0"/>
            </w:tcBorders>
            <w:vAlign w:val="center"/>
          </w:tcPr>
          <w:p w14:paraId="008585CC">
            <w:pPr>
              <w:widowControl/>
              <w:jc w:val="both"/>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实施总投资1170万元的全域公园项目3个，提升城市绿化品质。</w:t>
            </w:r>
          </w:p>
        </w:tc>
        <w:tc>
          <w:tcPr>
            <w:tcW w:w="850" w:type="pct"/>
            <w:tcBorders>
              <w:top w:val="single" w:color="auto" w:sz="4" w:space="0"/>
              <w:left w:val="single" w:color="auto" w:sz="4" w:space="0"/>
              <w:bottom w:val="single" w:color="auto" w:sz="4" w:space="0"/>
              <w:right w:val="single" w:color="auto" w:sz="4" w:space="0"/>
            </w:tcBorders>
            <w:vAlign w:val="center"/>
          </w:tcPr>
          <w:p w14:paraId="291BE891">
            <w:pPr>
              <w:widowControl/>
              <w:jc w:val="both"/>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完成规划设计等前期准备工作，项目开工。</w:t>
            </w:r>
          </w:p>
        </w:tc>
        <w:tc>
          <w:tcPr>
            <w:tcW w:w="1796" w:type="pct"/>
            <w:tcBorders>
              <w:top w:val="single" w:color="auto" w:sz="4" w:space="0"/>
              <w:left w:val="single" w:color="auto" w:sz="4" w:space="0"/>
              <w:bottom w:val="single" w:color="auto" w:sz="4" w:space="0"/>
              <w:right w:val="single" w:color="auto" w:sz="4" w:space="0"/>
            </w:tcBorders>
            <w:vAlign w:val="center"/>
          </w:tcPr>
          <w:p w14:paraId="5D2C1CEC">
            <w:pPr>
              <w:widowControl/>
              <w:jc w:val="both"/>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兴隆街头游园、淄川一中街头游园已完工。双泉游园、山水文园、翠湖溪岸社区游园，道路绿化项目已完成乔灌木种植，正在完善地被植物种植。项目已全部开工，截至目前已完成投资590万元，完成年度目标任务50.43%。</w:t>
            </w:r>
          </w:p>
        </w:tc>
        <w:tc>
          <w:tcPr>
            <w:tcW w:w="768" w:type="pct"/>
            <w:tcBorders>
              <w:top w:val="single" w:color="auto" w:sz="4" w:space="0"/>
              <w:left w:val="single" w:color="auto" w:sz="4" w:space="0"/>
              <w:bottom w:val="single" w:color="auto" w:sz="4" w:space="0"/>
              <w:right w:val="single" w:color="auto" w:sz="4" w:space="0"/>
            </w:tcBorders>
            <w:vAlign w:val="center"/>
          </w:tcPr>
          <w:p w14:paraId="03337298">
            <w:pPr>
              <w:widowControl/>
              <w:jc w:val="both"/>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加大在确保安全和质量的前提下，抓住现阶段施工黄金期，加快项目整体推进，确保项目建设按时间节点有序推进。</w:t>
            </w:r>
          </w:p>
        </w:tc>
        <w:tc>
          <w:tcPr>
            <w:tcW w:w="456" w:type="pct"/>
            <w:tcBorders>
              <w:top w:val="single" w:color="auto" w:sz="4" w:space="0"/>
              <w:left w:val="single" w:color="auto" w:sz="4" w:space="0"/>
              <w:bottom w:val="single" w:color="auto" w:sz="4" w:space="0"/>
              <w:right w:val="single" w:color="auto" w:sz="4" w:space="0"/>
            </w:tcBorders>
            <w:vAlign w:val="center"/>
          </w:tcPr>
          <w:p w14:paraId="0DE20E68">
            <w:pPr>
              <w:widowControl/>
              <w:jc w:val="center"/>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区综合行政执法局</w:t>
            </w:r>
          </w:p>
        </w:tc>
        <w:tc>
          <w:tcPr>
            <w:tcW w:w="380" w:type="pct"/>
            <w:gridSpan w:val="2"/>
            <w:tcBorders>
              <w:top w:val="single" w:color="auto" w:sz="4" w:space="0"/>
              <w:left w:val="single" w:color="auto" w:sz="4" w:space="0"/>
              <w:bottom w:val="single" w:color="auto" w:sz="4" w:space="0"/>
              <w:right w:val="single" w:color="auto" w:sz="4" w:space="0"/>
            </w:tcBorders>
            <w:vAlign w:val="center"/>
          </w:tcPr>
          <w:p w14:paraId="49B1E65F">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0533-</w:t>
            </w:r>
          </w:p>
          <w:p w14:paraId="253265BD">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2705760</w:t>
            </w:r>
          </w:p>
        </w:tc>
      </w:tr>
      <w:tr w14:paraId="67295A9A">
        <w:tblPrEx>
          <w:tblCellMar>
            <w:top w:w="0" w:type="dxa"/>
            <w:left w:w="0" w:type="dxa"/>
            <w:bottom w:w="0" w:type="dxa"/>
            <w:right w:w="0" w:type="dxa"/>
          </w:tblCellMar>
        </w:tblPrEx>
        <w:trPr>
          <w:trHeight w:val="624" w:hRule="atLeast"/>
        </w:trPr>
        <w:tc>
          <w:tcPr>
            <w:tcW w:w="747" w:type="pct"/>
            <w:gridSpan w:val="3"/>
            <w:tcBorders>
              <w:top w:val="single" w:color="auto" w:sz="4" w:space="0"/>
              <w:left w:val="single" w:color="auto" w:sz="4" w:space="0"/>
              <w:bottom w:val="single" w:color="auto" w:sz="4" w:space="0"/>
              <w:right w:val="single" w:color="auto" w:sz="4" w:space="0"/>
            </w:tcBorders>
            <w:vAlign w:val="center"/>
          </w:tcPr>
          <w:p w14:paraId="79982D8B">
            <w:pPr>
              <w:widowControl/>
              <w:jc w:val="both"/>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持续推进市容市貌专项整治，提升城区56条主次干道及背街小巷卫生水平。</w:t>
            </w:r>
          </w:p>
        </w:tc>
        <w:tc>
          <w:tcPr>
            <w:tcW w:w="850" w:type="pct"/>
            <w:tcBorders>
              <w:top w:val="single" w:color="auto" w:sz="4" w:space="0"/>
              <w:left w:val="single" w:color="auto" w:sz="4" w:space="0"/>
              <w:bottom w:val="single" w:color="auto" w:sz="4" w:space="0"/>
              <w:right w:val="single" w:color="auto" w:sz="4" w:space="0"/>
            </w:tcBorders>
            <w:vAlign w:val="center"/>
          </w:tcPr>
          <w:p w14:paraId="4BD1613B">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1.对作业公司作业进行月度考核，规范作业标准，提高城区道路保洁作业质量。实现精细化作业，达到长效管理。</w:t>
            </w:r>
          </w:p>
          <w:p w14:paraId="0AC949C8">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2.对城区深度保洁路段及环保重点路段根据天气调整洒扫机械作业频次。</w:t>
            </w:r>
          </w:p>
          <w:p w14:paraId="27D09A60">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3.关注天气变化，按清雪除冰预案要求做好今年冬春雪后清理工作，保障城市道路畅通。</w:t>
            </w:r>
          </w:p>
          <w:p w14:paraId="75B66B62">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4.做好春节、元宵等节假日期间城区道路的路面保洁。</w:t>
            </w:r>
          </w:p>
        </w:tc>
        <w:tc>
          <w:tcPr>
            <w:tcW w:w="1796" w:type="pct"/>
            <w:tcBorders>
              <w:top w:val="single" w:color="auto" w:sz="4" w:space="0"/>
              <w:left w:val="single" w:color="auto" w:sz="4" w:space="0"/>
              <w:bottom w:val="single" w:color="auto" w:sz="4" w:space="0"/>
              <w:right w:val="single" w:color="auto" w:sz="4" w:space="0"/>
            </w:tcBorders>
            <w:vAlign w:val="center"/>
          </w:tcPr>
          <w:p w14:paraId="2DFA5035">
            <w:pPr>
              <w:widowControl/>
              <w:jc w:val="both"/>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按照《淄川区城市管家及城乡环卫一体化考核》对作业公司城区道路作业情况进行督导考核，对城区主次干道落实“深度保洁，以克论净”工作要求，主次干道达到每日三扫三洒，环保重点路段及环保站点周边重要道路按照环保部门要求达到每日六扫六洒。加强非机动车道、人行道、花砖、雨水井箅等“人机结合”保洁作业，强化人工普扫和捡拾，及时对环卫设施进行擦洗清理，确保全路段达到“七净一洁一见本色”作业标准。</w:t>
            </w:r>
          </w:p>
        </w:tc>
        <w:tc>
          <w:tcPr>
            <w:tcW w:w="768" w:type="pct"/>
            <w:tcBorders>
              <w:top w:val="single" w:color="auto" w:sz="4" w:space="0"/>
              <w:left w:val="single" w:color="auto" w:sz="4" w:space="0"/>
              <w:bottom w:val="single" w:color="auto" w:sz="4" w:space="0"/>
              <w:right w:val="single" w:color="auto" w:sz="4" w:space="0"/>
            </w:tcBorders>
          </w:tcPr>
          <w:p w14:paraId="2942FE37">
            <w:pPr>
              <w:widowControl/>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继续按照《淄川区城市管家及城乡环卫一体化考核》对作业公司城区道路作业情况进行督导考核，对城区主次干道落实“深度保洁，以克论净”工作要求，主次干道达到每日三扫三洒，环保重点路段及环保站点周边重要道路按照环保部门要求达到每日六扫六洒。加强非机动车道、人行道、花砖、雨水井箅等“人机结合”保洁作业，强化人工普扫和捡拾，及时对环卫设施进行擦洗清理，确保全路段达到“七净一洁一见本色”作业标准。</w:t>
            </w:r>
          </w:p>
        </w:tc>
        <w:tc>
          <w:tcPr>
            <w:tcW w:w="456" w:type="pct"/>
            <w:tcBorders>
              <w:top w:val="single" w:color="auto" w:sz="4" w:space="0"/>
              <w:left w:val="single" w:color="auto" w:sz="4" w:space="0"/>
              <w:bottom w:val="single" w:color="auto" w:sz="4" w:space="0"/>
              <w:right w:val="single" w:color="auto" w:sz="4" w:space="0"/>
            </w:tcBorders>
            <w:vAlign w:val="center"/>
          </w:tcPr>
          <w:p w14:paraId="656C1507">
            <w:pPr>
              <w:widowControl/>
              <w:jc w:val="center"/>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区综合行政执法局</w:t>
            </w:r>
          </w:p>
        </w:tc>
        <w:tc>
          <w:tcPr>
            <w:tcW w:w="380" w:type="pct"/>
            <w:gridSpan w:val="2"/>
            <w:tcBorders>
              <w:top w:val="single" w:color="auto" w:sz="4" w:space="0"/>
              <w:left w:val="single" w:color="auto" w:sz="4" w:space="0"/>
              <w:bottom w:val="single" w:color="auto" w:sz="4" w:space="0"/>
              <w:right w:val="single" w:color="auto" w:sz="4" w:space="0"/>
            </w:tcBorders>
            <w:vAlign w:val="center"/>
          </w:tcPr>
          <w:p w14:paraId="50265BBE">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0533-</w:t>
            </w:r>
          </w:p>
          <w:p w14:paraId="0EC5D36A">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2705760</w:t>
            </w:r>
          </w:p>
        </w:tc>
      </w:tr>
      <w:tr w14:paraId="095EAD5A">
        <w:tblPrEx>
          <w:tblCellMar>
            <w:top w:w="0" w:type="dxa"/>
            <w:left w:w="0" w:type="dxa"/>
            <w:bottom w:w="0" w:type="dxa"/>
            <w:right w:w="0" w:type="dxa"/>
          </w:tblCellMar>
        </w:tblPrEx>
        <w:trPr>
          <w:gridBefore w:val="1"/>
          <w:gridAfter w:val="1"/>
          <w:wBefore w:w="1" w:type="pct"/>
          <w:wAfter w:w="0" w:type="pct"/>
          <w:trHeight w:val="3109" w:hRule="atLeast"/>
        </w:trPr>
        <w:tc>
          <w:tcPr>
            <w:tcW w:w="745" w:type="pct"/>
            <w:tcBorders>
              <w:top w:val="single" w:color="auto" w:sz="4" w:space="0"/>
              <w:left w:val="single" w:color="auto" w:sz="4" w:space="0"/>
              <w:bottom w:val="single" w:color="auto" w:sz="4" w:space="0"/>
              <w:right w:val="single" w:color="auto" w:sz="4" w:space="0"/>
            </w:tcBorders>
            <w:vAlign w:val="center"/>
          </w:tcPr>
          <w:p w14:paraId="63EF276D">
            <w:pPr>
              <w:widowControl/>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提升市政环卫工作标准，扎实做好城市保洁、市政基础设施管养等重点任务。</w:t>
            </w:r>
          </w:p>
        </w:tc>
        <w:tc>
          <w:tcPr>
            <w:tcW w:w="850" w:type="pct"/>
            <w:gridSpan w:val="2"/>
            <w:tcBorders>
              <w:top w:val="single" w:color="auto" w:sz="4" w:space="0"/>
              <w:left w:val="single" w:color="auto" w:sz="4" w:space="0"/>
              <w:bottom w:val="single" w:color="auto" w:sz="4" w:space="0"/>
              <w:right w:val="single" w:color="auto" w:sz="4" w:space="0"/>
            </w:tcBorders>
            <w:vAlign w:val="center"/>
          </w:tcPr>
          <w:p w14:paraId="5814102A">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1.做好公厕设施保温工作，确保设施完好实用。冰冻天气做好路面防滑安全措施。</w:t>
            </w:r>
          </w:p>
          <w:p w14:paraId="0BA88501">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2.加强城区环卫设施管护，实现精细化管理，达到净整洁、完好实用的标准。</w:t>
            </w:r>
          </w:p>
          <w:p w14:paraId="3EC616F8">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3.做好春节、元宵节假日期间环卫设施的卫生清理。</w:t>
            </w:r>
          </w:p>
          <w:p w14:paraId="38F50995">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4.明确市政设施的现代化提升方向与重点，启动设施完好性摸底排查，制定市政设施维护工作年度计划。</w:t>
            </w:r>
          </w:p>
          <w:p w14:paraId="29053C0D">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5.依据《淄川区城市管家特许经营项目检查考评办法（暂行）》初步构建绩效考核机制，明确监督、检查流程与部门、科室责任分工。</w:t>
            </w:r>
          </w:p>
        </w:tc>
        <w:tc>
          <w:tcPr>
            <w:tcW w:w="1796" w:type="pct"/>
            <w:tcBorders>
              <w:top w:val="single" w:color="auto" w:sz="4" w:space="0"/>
              <w:left w:val="single" w:color="auto" w:sz="4" w:space="0"/>
              <w:bottom w:val="single" w:color="auto" w:sz="4" w:space="0"/>
              <w:right w:val="single" w:color="auto" w:sz="4" w:space="0"/>
            </w:tcBorders>
            <w:vAlign w:val="center"/>
          </w:tcPr>
          <w:p w14:paraId="1017D587">
            <w:pPr>
              <w:widowControl/>
              <w:jc w:val="both"/>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1、提前对公厕设施进行保温处理，加大公厕设施检修力度，实行冬季卫生清理方式，确保厕内外卫生干净整洁。</w:t>
            </w:r>
          </w:p>
          <w:p w14:paraId="30DA8408">
            <w:pPr>
              <w:widowControl/>
              <w:jc w:val="both"/>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2、督导作业公司加大人工保洁和人工+小机械联合作业，对市政环卫设施及时擦拭清理，对垃圾容器及时清掏、维修、更换。</w:t>
            </w:r>
          </w:p>
          <w:p w14:paraId="7A9EAFA2">
            <w:pPr>
              <w:widowControl/>
              <w:jc w:val="both"/>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3、节日前对城区及繁华路段集中清理，并增调人员保证节日期间道路及设施干净整洁。</w:t>
            </w:r>
          </w:p>
          <w:p w14:paraId="0E4B53E3">
            <w:pPr>
              <w:widowControl/>
              <w:jc w:val="both"/>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4.目前已启动设施完好性摸底排查工作，每天组织人员对市政设施进行巡查，每周2次对所管辖照明设施进行夜查。沥青道路进行沥青修及沥青灌缝，路灯、变压器进行维修、维护。</w:t>
            </w:r>
          </w:p>
        </w:tc>
        <w:tc>
          <w:tcPr>
            <w:tcW w:w="768" w:type="pct"/>
            <w:tcBorders>
              <w:top w:val="single" w:color="auto" w:sz="4" w:space="0"/>
              <w:left w:val="single" w:color="auto" w:sz="4" w:space="0"/>
              <w:bottom w:val="single" w:color="auto" w:sz="4" w:space="0"/>
              <w:right w:val="single" w:color="auto" w:sz="4" w:space="0"/>
            </w:tcBorders>
            <w:vAlign w:val="center"/>
          </w:tcPr>
          <w:p w14:paraId="38A9B8C7">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1、加强区管公厕管护，加大公厕设施维修维护力度，对公厕内外卫生实行精细化保洁，增加清理频次，确保卫生达标无蚊蝇异味。</w:t>
            </w:r>
          </w:p>
          <w:p w14:paraId="2E718DDB">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2、加强城区环卫设施管护，及时擦洗清理，达到整洁、完好实用的标准。</w:t>
            </w:r>
          </w:p>
          <w:p w14:paraId="58A2EFF1">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3.督导作业公司定期巡查市政道路，对路面病害如坑洼、裂缝、路灯照明等进行及时修复。同时，完善养护管理考核机制。</w:t>
            </w:r>
          </w:p>
        </w:tc>
        <w:tc>
          <w:tcPr>
            <w:tcW w:w="456" w:type="pct"/>
            <w:tcBorders>
              <w:top w:val="single" w:color="auto" w:sz="4" w:space="0"/>
              <w:left w:val="single" w:color="auto" w:sz="4" w:space="0"/>
              <w:bottom w:val="single" w:color="auto" w:sz="4" w:space="0"/>
              <w:right w:val="single" w:color="auto" w:sz="4" w:space="0"/>
            </w:tcBorders>
            <w:vAlign w:val="center"/>
          </w:tcPr>
          <w:p w14:paraId="5C54A135">
            <w:pPr>
              <w:widowControl/>
              <w:jc w:val="center"/>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区综合行政执法局</w:t>
            </w:r>
          </w:p>
        </w:tc>
        <w:tc>
          <w:tcPr>
            <w:tcW w:w="379" w:type="pct"/>
            <w:tcBorders>
              <w:top w:val="single" w:color="auto" w:sz="4" w:space="0"/>
              <w:left w:val="single" w:color="auto" w:sz="4" w:space="0"/>
              <w:bottom w:val="single" w:color="auto" w:sz="4" w:space="0"/>
              <w:right w:val="single" w:color="auto" w:sz="4" w:space="0"/>
            </w:tcBorders>
            <w:vAlign w:val="center"/>
          </w:tcPr>
          <w:p w14:paraId="76261DB8">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0533-</w:t>
            </w:r>
          </w:p>
          <w:p w14:paraId="65C76697">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2705760</w:t>
            </w:r>
          </w:p>
        </w:tc>
      </w:tr>
      <w:tr w14:paraId="5C266502">
        <w:tblPrEx>
          <w:tblCellMar>
            <w:top w:w="0" w:type="dxa"/>
            <w:left w:w="0" w:type="dxa"/>
            <w:bottom w:w="0" w:type="dxa"/>
            <w:right w:w="0" w:type="dxa"/>
          </w:tblCellMar>
        </w:tblPrEx>
        <w:trPr>
          <w:gridBefore w:val="1"/>
          <w:gridAfter w:val="1"/>
          <w:wBefore w:w="1" w:type="pct"/>
          <w:wAfter w:w="0" w:type="pct"/>
          <w:trHeight w:val="2037" w:hRule="atLeast"/>
        </w:trPr>
        <w:tc>
          <w:tcPr>
            <w:tcW w:w="745" w:type="pct"/>
            <w:tcBorders>
              <w:top w:val="single" w:color="auto" w:sz="4" w:space="0"/>
              <w:left w:val="single" w:color="auto" w:sz="4" w:space="0"/>
              <w:bottom w:val="single" w:color="auto" w:sz="4" w:space="0"/>
              <w:right w:val="single" w:color="auto" w:sz="4" w:space="0"/>
            </w:tcBorders>
            <w:vAlign w:val="center"/>
          </w:tcPr>
          <w:p w14:paraId="48689121">
            <w:pPr>
              <w:widowControl/>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推动全域公园城市建设，抓好732万平方米绿化养护任务。</w:t>
            </w:r>
          </w:p>
        </w:tc>
        <w:tc>
          <w:tcPr>
            <w:tcW w:w="850" w:type="pct"/>
            <w:gridSpan w:val="2"/>
            <w:tcBorders>
              <w:top w:val="single" w:color="auto" w:sz="4" w:space="0"/>
              <w:left w:val="single" w:color="auto" w:sz="4" w:space="0"/>
              <w:bottom w:val="single" w:color="auto" w:sz="4" w:space="0"/>
              <w:right w:val="single" w:color="auto" w:sz="4" w:space="0"/>
            </w:tcBorders>
            <w:vAlign w:val="center"/>
          </w:tcPr>
          <w:p w14:paraId="09C86074">
            <w:pPr>
              <w:widowControl/>
              <w:jc w:val="center"/>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完成乔木修剪整形及早春花灌木花后修剪，重点修剪主干道两侧树木；进行春季施肥工作；启动病虫害预防工作；抓住有利季节及时补植苗木。</w:t>
            </w:r>
          </w:p>
        </w:tc>
        <w:tc>
          <w:tcPr>
            <w:tcW w:w="1796" w:type="pct"/>
            <w:tcBorders>
              <w:top w:val="single" w:color="auto" w:sz="4" w:space="0"/>
              <w:left w:val="single" w:color="auto" w:sz="4" w:space="0"/>
              <w:bottom w:val="single" w:color="auto" w:sz="4" w:space="0"/>
              <w:right w:val="single" w:color="auto" w:sz="4" w:space="0"/>
            </w:tcBorders>
            <w:vAlign w:val="center"/>
          </w:tcPr>
          <w:p w14:paraId="7A2F0BA5">
            <w:pPr>
              <w:widowControl/>
              <w:jc w:val="both"/>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目前处理雪后树木倒伏6439株，树木涂白33856株，修剪乔灌木45989株，病虫害防治28.51万平方米，8069株，灌溉浇水37.99万平方米；根据计划，裸露地补植1758平方米。根据病虫害发生规律，目前已对城区行道树及部分绿地苗木采取灌根、喷洒方式进行了药物防治。</w:t>
            </w:r>
          </w:p>
        </w:tc>
        <w:tc>
          <w:tcPr>
            <w:tcW w:w="768" w:type="pct"/>
            <w:tcBorders>
              <w:top w:val="single" w:color="auto" w:sz="4" w:space="0"/>
              <w:left w:val="single" w:color="auto" w:sz="4" w:space="0"/>
              <w:bottom w:val="single" w:color="auto" w:sz="4" w:space="0"/>
              <w:right w:val="single" w:color="auto" w:sz="4" w:space="0"/>
            </w:tcBorders>
            <w:vAlign w:val="center"/>
          </w:tcPr>
          <w:p w14:paraId="6A026CA2">
            <w:pPr>
              <w:widowControl/>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按照季节特点、植物习性、病虫害发生规律等实际情况及年度计划进行养护。</w:t>
            </w:r>
          </w:p>
        </w:tc>
        <w:tc>
          <w:tcPr>
            <w:tcW w:w="456" w:type="pct"/>
            <w:tcBorders>
              <w:top w:val="single" w:color="auto" w:sz="4" w:space="0"/>
              <w:left w:val="single" w:color="auto" w:sz="4" w:space="0"/>
              <w:bottom w:val="single" w:color="auto" w:sz="4" w:space="0"/>
              <w:right w:val="single" w:color="auto" w:sz="4" w:space="0"/>
            </w:tcBorders>
            <w:vAlign w:val="center"/>
          </w:tcPr>
          <w:p w14:paraId="553309FE">
            <w:pPr>
              <w:widowControl/>
              <w:jc w:val="center"/>
              <w:rPr>
                <w:rFonts w:hint="eastAsia"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区综合行政执法局</w:t>
            </w:r>
          </w:p>
        </w:tc>
        <w:tc>
          <w:tcPr>
            <w:tcW w:w="379" w:type="pct"/>
            <w:tcBorders>
              <w:top w:val="single" w:color="auto" w:sz="4" w:space="0"/>
              <w:left w:val="single" w:color="auto" w:sz="4" w:space="0"/>
              <w:bottom w:val="single" w:color="auto" w:sz="4" w:space="0"/>
              <w:right w:val="single" w:color="auto" w:sz="4" w:space="0"/>
            </w:tcBorders>
            <w:vAlign w:val="center"/>
          </w:tcPr>
          <w:p w14:paraId="27E8275A">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0533-</w:t>
            </w:r>
          </w:p>
          <w:p w14:paraId="1B1AE12F">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2705760</w:t>
            </w:r>
          </w:p>
        </w:tc>
      </w:tr>
      <w:tr w14:paraId="494697CF">
        <w:tblPrEx>
          <w:tblCellMar>
            <w:top w:w="0" w:type="dxa"/>
            <w:left w:w="0" w:type="dxa"/>
            <w:bottom w:w="0" w:type="dxa"/>
            <w:right w:w="0" w:type="dxa"/>
          </w:tblCellMar>
        </w:tblPrEx>
        <w:trPr>
          <w:gridBefore w:val="1"/>
          <w:gridAfter w:val="1"/>
          <w:wBefore w:w="1" w:type="pct"/>
          <w:wAfter w:w="0" w:type="pct"/>
          <w:trHeight w:val="1823" w:hRule="atLeast"/>
        </w:trPr>
        <w:tc>
          <w:tcPr>
            <w:tcW w:w="745" w:type="pct"/>
            <w:tcBorders>
              <w:top w:val="single" w:color="auto" w:sz="4" w:space="0"/>
              <w:left w:val="single" w:color="auto" w:sz="4" w:space="0"/>
              <w:bottom w:val="single" w:color="auto" w:sz="4" w:space="0"/>
              <w:right w:val="single" w:color="auto" w:sz="4" w:space="0"/>
            </w:tcBorders>
            <w:shd w:val="clear" w:color="auto" w:fill="FFFFFF"/>
            <w:vAlign w:val="center"/>
          </w:tcPr>
          <w:p w14:paraId="5B2F41F4">
            <w:pPr>
              <w:widowControl/>
              <w:rPr>
                <w:rFonts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加快物业管理体系建设，实施社区班子和物业企业负责人“双向进入、交叉任职”。</w:t>
            </w:r>
          </w:p>
        </w:tc>
        <w:tc>
          <w:tcPr>
            <w:tcW w:w="85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92D8EFD">
            <w:pPr>
              <w:widowControl/>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开展住宅小区物业提升行动，在全区范围内打造精品示范小区1个、红色物业示范点2个。</w:t>
            </w:r>
          </w:p>
        </w:tc>
        <w:tc>
          <w:tcPr>
            <w:tcW w:w="1796" w:type="pct"/>
            <w:tcBorders>
              <w:top w:val="single" w:color="auto" w:sz="4" w:space="0"/>
              <w:left w:val="single" w:color="auto" w:sz="4" w:space="0"/>
              <w:bottom w:val="single" w:color="auto" w:sz="4" w:space="0"/>
              <w:right w:val="single" w:color="auto" w:sz="4" w:space="0"/>
            </w:tcBorders>
            <w:vAlign w:val="center"/>
          </w:tcPr>
          <w:p w14:paraId="061D6B3C">
            <w:pPr>
              <w:widowControl/>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已完成1个精品示范小区：博晨盛园</w:t>
            </w:r>
          </w:p>
          <w:p w14:paraId="7F7C53EF">
            <w:pPr>
              <w:widowControl/>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红色物业示</w:t>
            </w:r>
            <w:bookmarkStart w:id="0" w:name="_GoBack"/>
            <w:bookmarkEnd w:id="0"/>
            <w:r>
              <w:rPr>
                <w:rFonts w:hint="eastAsia" w:ascii="Times New Roman" w:hAnsi="Times New Roman" w:eastAsia="仿宋_GB2312" w:cs="Times New Roman"/>
                <w:color w:val="auto"/>
                <w:kern w:val="0"/>
                <w:sz w:val="21"/>
                <w:szCs w:val="21"/>
                <w:lang w:val="en-US" w:eastAsia="zh-CN"/>
              </w:rPr>
              <w:t>范点2个：后来社区、怡心园小区</w:t>
            </w:r>
          </w:p>
        </w:tc>
        <w:tc>
          <w:tcPr>
            <w:tcW w:w="768" w:type="pct"/>
            <w:tcBorders>
              <w:top w:val="single" w:color="auto" w:sz="4" w:space="0"/>
              <w:left w:val="single" w:color="auto" w:sz="4" w:space="0"/>
              <w:bottom w:val="single" w:color="auto" w:sz="4" w:space="0"/>
              <w:right w:val="single" w:color="auto" w:sz="4" w:space="0"/>
            </w:tcBorders>
            <w:shd w:val="clear" w:color="auto" w:fill="FFFFFF"/>
            <w:vAlign w:val="center"/>
          </w:tcPr>
          <w:p w14:paraId="6E0188E0">
            <w:pPr>
              <w:widowControl/>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以党建为引领，充分发挥基层组织的综合协调作用，深化社区与物业企业的有机融合，加强物业企业与社区双报到、三会制度等，促进社区与物业的相互协调、相互配合。年底前完成7个精品示范小区、11个红色物业示范点创建任务。</w:t>
            </w:r>
          </w:p>
        </w:tc>
        <w:tc>
          <w:tcPr>
            <w:tcW w:w="456" w:type="pct"/>
            <w:tcBorders>
              <w:top w:val="single" w:color="auto" w:sz="4" w:space="0"/>
              <w:left w:val="single" w:color="auto" w:sz="4" w:space="0"/>
              <w:bottom w:val="single" w:color="auto" w:sz="4" w:space="0"/>
              <w:right w:val="single" w:color="auto" w:sz="4" w:space="0"/>
            </w:tcBorders>
            <w:vAlign w:val="center"/>
          </w:tcPr>
          <w:p w14:paraId="4D0D03AE">
            <w:pPr>
              <w:widowControl/>
              <w:jc w:val="center"/>
              <w:rPr>
                <w:rFonts w:hint="eastAsia"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区综合行政执法局</w:t>
            </w:r>
          </w:p>
        </w:tc>
        <w:tc>
          <w:tcPr>
            <w:tcW w:w="379" w:type="pct"/>
            <w:tcBorders>
              <w:top w:val="single" w:color="auto" w:sz="4" w:space="0"/>
              <w:left w:val="single" w:color="auto" w:sz="4" w:space="0"/>
              <w:bottom w:val="single" w:color="auto" w:sz="4" w:space="0"/>
              <w:right w:val="single" w:color="auto" w:sz="4" w:space="0"/>
            </w:tcBorders>
            <w:vAlign w:val="center"/>
          </w:tcPr>
          <w:p w14:paraId="65359B69">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0533-</w:t>
            </w:r>
          </w:p>
          <w:p w14:paraId="10A95CEA">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2705760</w:t>
            </w:r>
          </w:p>
        </w:tc>
      </w:tr>
      <w:tr w14:paraId="61DEC6B7">
        <w:tblPrEx>
          <w:tblCellMar>
            <w:top w:w="0" w:type="dxa"/>
            <w:left w:w="0" w:type="dxa"/>
            <w:bottom w:w="0" w:type="dxa"/>
            <w:right w:w="0" w:type="dxa"/>
          </w:tblCellMar>
        </w:tblPrEx>
        <w:trPr>
          <w:gridBefore w:val="1"/>
          <w:gridAfter w:val="1"/>
          <w:wBefore w:w="1" w:type="pct"/>
          <w:wAfter w:w="0" w:type="pct"/>
          <w:trHeight w:val="1812" w:hRule="atLeast"/>
        </w:trPr>
        <w:tc>
          <w:tcPr>
            <w:tcW w:w="745" w:type="pct"/>
            <w:tcBorders>
              <w:top w:val="single" w:color="auto" w:sz="4" w:space="0"/>
              <w:left w:val="single" w:color="auto" w:sz="4" w:space="0"/>
              <w:bottom w:val="single" w:color="auto" w:sz="4" w:space="0"/>
              <w:right w:val="single" w:color="auto" w:sz="4" w:space="0"/>
            </w:tcBorders>
            <w:vAlign w:val="center"/>
          </w:tcPr>
          <w:p w14:paraId="107B0240">
            <w:pPr>
              <w:widowControl/>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强化柔性执法，打造路畅街净、精管善治的品质城市。</w:t>
            </w:r>
          </w:p>
        </w:tc>
        <w:tc>
          <w:tcPr>
            <w:tcW w:w="850" w:type="pct"/>
            <w:gridSpan w:val="2"/>
            <w:tcBorders>
              <w:top w:val="single" w:color="auto" w:sz="4" w:space="0"/>
              <w:left w:val="single" w:color="auto" w:sz="4" w:space="0"/>
              <w:bottom w:val="single" w:color="auto" w:sz="4" w:space="0"/>
              <w:right w:val="single" w:color="auto" w:sz="4" w:space="0"/>
            </w:tcBorders>
            <w:vAlign w:val="center"/>
          </w:tcPr>
          <w:p w14:paraId="6BA02BF0">
            <w:pPr>
              <w:widowControl/>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推广“服务型执法”模式。推动各部门逐步将柔性执法措施融入日常执法工作中，探索实施首次违法预警提示，全面落实包容审慎柔性执法，树立“服务型”执法理念。</w:t>
            </w:r>
          </w:p>
        </w:tc>
        <w:tc>
          <w:tcPr>
            <w:tcW w:w="1796" w:type="pct"/>
            <w:tcBorders>
              <w:top w:val="single" w:color="auto" w:sz="4" w:space="0"/>
              <w:left w:val="single" w:color="auto" w:sz="4" w:space="0"/>
              <w:bottom w:val="single" w:color="auto" w:sz="4" w:space="0"/>
              <w:right w:val="single" w:color="auto" w:sz="4" w:space="0"/>
            </w:tcBorders>
            <w:vAlign w:val="center"/>
          </w:tcPr>
          <w:p w14:paraId="622D4D18">
            <w:pPr>
              <w:widowControl/>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rPr>
              <w:t>一是以《关于推行“首违不罚+公益减罚”柔性执法制度的实施意见》为依托，执法大队全体人员对全区每个商户积极推行柔性执法，开展“走商户、送服务、促发展”活动，对全区每个商户进行走访，倾听、解决商户诉求，并发放（商户文明经营公约）。二是持续完善“山东省涉企行政执法平台”“山东通-鲁执法”严格规范涉企行政检查，持续优化营商环境，为进一步树立依法行政、包容审慎的执法理念，切实打造一流的法治化营商环境。</w:t>
            </w:r>
          </w:p>
        </w:tc>
        <w:tc>
          <w:tcPr>
            <w:tcW w:w="768" w:type="pct"/>
            <w:tcBorders>
              <w:top w:val="single" w:color="auto" w:sz="4" w:space="0"/>
              <w:left w:val="single" w:color="auto" w:sz="4" w:space="0"/>
              <w:bottom w:val="single" w:color="auto" w:sz="4" w:space="0"/>
              <w:right w:val="single" w:color="auto" w:sz="4" w:space="0"/>
            </w:tcBorders>
            <w:vAlign w:val="center"/>
          </w:tcPr>
          <w:p w14:paraId="32FBCA3F">
            <w:pPr>
              <w:widowControl/>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rPr>
              <w:t>持续开展“走商户、送服务、促发展”活动，严格规范涉企检查，持续优化营伤环境；加强执法监督，坚决杜绝违规进企、扰企行为</w:t>
            </w:r>
            <w:r>
              <w:rPr>
                <w:rFonts w:hint="eastAsia" w:ascii="Times New Roman" w:hAnsi="Times New Roman" w:eastAsia="仿宋_GB2312" w:cs="Times New Roman"/>
                <w:color w:val="auto"/>
                <w:kern w:val="0"/>
                <w:sz w:val="21"/>
                <w:szCs w:val="21"/>
                <w:lang w:eastAsia="zh-CN"/>
              </w:rPr>
              <w:t>。</w:t>
            </w:r>
          </w:p>
        </w:tc>
        <w:tc>
          <w:tcPr>
            <w:tcW w:w="456" w:type="pct"/>
            <w:tcBorders>
              <w:top w:val="single" w:color="auto" w:sz="4" w:space="0"/>
              <w:left w:val="single" w:color="auto" w:sz="4" w:space="0"/>
              <w:bottom w:val="single" w:color="auto" w:sz="4" w:space="0"/>
              <w:right w:val="single" w:color="auto" w:sz="4" w:space="0"/>
            </w:tcBorders>
            <w:vAlign w:val="center"/>
          </w:tcPr>
          <w:p w14:paraId="0EBE18B7">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shd w:val="clear" w:color="auto" w:fill="FFFFFF"/>
              </w:rPr>
              <w:t>区综合行政执法局</w:t>
            </w:r>
          </w:p>
        </w:tc>
        <w:tc>
          <w:tcPr>
            <w:tcW w:w="379" w:type="pct"/>
            <w:tcBorders>
              <w:top w:val="single" w:color="auto" w:sz="4" w:space="0"/>
              <w:left w:val="single" w:color="auto" w:sz="4" w:space="0"/>
              <w:bottom w:val="single" w:color="auto" w:sz="4" w:space="0"/>
              <w:right w:val="single" w:color="auto" w:sz="4" w:space="0"/>
            </w:tcBorders>
            <w:vAlign w:val="center"/>
          </w:tcPr>
          <w:p w14:paraId="53A38770">
            <w:pPr>
              <w:widowControl/>
              <w:jc w:val="center"/>
              <w:rPr>
                <w:rFonts w:ascii="Times New Roman" w:hAnsi="Times New Roman" w:eastAsia="仿宋_GB2312" w:cs="Times New Roman"/>
                <w:color w:val="auto"/>
                <w:kern w:val="0"/>
                <w:sz w:val="21"/>
                <w:szCs w:val="21"/>
                <w:shd w:val="clear" w:color="auto" w:fill="FFFFFF"/>
              </w:rPr>
            </w:pPr>
            <w:r>
              <w:rPr>
                <w:rFonts w:ascii="Times New Roman" w:hAnsi="Times New Roman" w:eastAsia="仿宋_GB2312" w:cs="Times New Roman"/>
                <w:color w:val="auto"/>
                <w:kern w:val="0"/>
                <w:sz w:val="21"/>
                <w:szCs w:val="21"/>
                <w:shd w:val="clear" w:color="auto" w:fill="FFFFFF"/>
              </w:rPr>
              <w:t>0533-</w:t>
            </w:r>
          </w:p>
          <w:p w14:paraId="23F8BBD9">
            <w:pPr>
              <w:widowControl/>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shd w:val="clear" w:color="auto" w:fill="FFFFFF"/>
              </w:rPr>
              <w:t>2705760</w:t>
            </w:r>
          </w:p>
        </w:tc>
      </w:tr>
    </w:tbl>
    <w:p w14:paraId="3BD4D0EC">
      <w:pPr>
        <w:rPr>
          <w:rFonts w:hint="eastAsia"/>
        </w:rPr>
      </w:pPr>
    </w:p>
    <w:sectPr>
      <w:footerReference r:id="rId3" w:type="default"/>
      <w:pgSz w:w="16838" w:h="11906" w:orient="landscape"/>
      <w:pgMar w:top="2098" w:right="1531" w:bottom="1985"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493DDE-E3A6-468D-A10F-715C40402C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678984B-3B37-40CB-8617-463D9E6234C5}"/>
  </w:font>
  <w:font w:name="方正小标宋简体">
    <w:panose1 w:val="03000509000000000000"/>
    <w:charset w:val="86"/>
    <w:family w:val="auto"/>
    <w:pitch w:val="default"/>
    <w:sig w:usb0="00000001" w:usb1="080E0000" w:usb2="00000000" w:usb3="00000000" w:csb0="00040000" w:csb1="00000000"/>
    <w:embedRegular r:id="rId3" w:fontKey="{98DBD086-109D-4CEC-9042-244B4F3872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63D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47B5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C47B5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01"/>
    <w:rsid w:val="000B6B69"/>
    <w:rsid w:val="00113168"/>
    <w:rsid w:val="00260636"/>
    <w:rsid w:val="003703E3"/>
    <w:rsid w:val="00426F8B"/>
    <w:rsid w:val="004274E5"/>
    <w:rsid w:val="004A3F33"/>
    <w:rsid w:val="00517F96"/>
    <w:rsid w:val="008540B3"/>
    <w:rsid w:val="00947AAC"/>
    <w:rsid w:val="009C14BD"/>
    <w:rsid w:val="00A373CB"/>
    <w:rsid w:val="00B06DB1"/>
    <w:rsid w:val="00B16933"/>
    <w:rsid w:val="00B70999"/>
    <w:rsid w:val="00C83201"/>
    <w:rsid w:val="00D32BF5"/>
    <w:rsid w:val="00D91AF6"/>
    <w:rsid w:val="00D95053"/>
    <w:rsid w:val="00DB6562"/>
    <w:rsid w:val="00E15F00"/>
    <w:rsid w:val="0BA86972"/>
    <w:rsid w:val="1C664D98"/>
    <w:rsid w:val="220A23E4"/>
    <w:rsid w:val="25706A02"/>
    <w:rsid w:val="296E14AB"/>
    <w:rsid w:val="2BD22B08"/>
    <w:rsid w:val="3C1C2995"/>
    <w:rsid w:val="3D446913"/>
    <w:rsid w:val="3DB229B7"/>
    <w:rsid w:val="3E0E4BB3"/>
    <w:rsid w:val="3E3F3205"/>
    <w:rsid w:val="3ED63FDD"/>
    <w:rsid w:val="3F1660D7"/>
    <w:rsid w:val="46691686"/>
    <w:rsid w:val="49940662"/>
    <w:rsid w:val="4E2B70BB"/>
    <w:rsid w:val="5C544974"/>
    <w:rsid w:val="5E062D59"/>
    <w:rsid w:val="6960100C"/>
    <w:rsid w:val="6DFD4479"/>
    <w:rsid w:val="7B7D0DA7"/>
    <w:rsid w:val="7C92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2387</Words>
  <Characters>2512</Characters>
  <Lines>18</Lines>
  <Paragraphs>5</Paragraphs>
  <TotalTime>39</TotalTime>
  <ScaleCrop>false</ScaleCrop>
  <LinksUpToDate>false</LinksUpToDate>
  <CharactersWithSpaces>2517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2025-01-04T06:48:00Z</dcterms:created>
  <dc:creator>admin</dc:creator>
  <cp:lastModifiedBy>lucas</cp:lastModifiedBy>
  <dcterms:modified xsi:type="dcterms:W3CDTF">2025-04-03T09:05:40Z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eyJoZGlkIjoiNDdmYmE2OGVjZDdmZTdmODhlYTE3ZWVlZTBhMmY0YTgiLCJ1c2VySWQiOiIyNTk0MjA1NTcifQ==</vt:lpwstr>
  </property>
  <property fmtid="{D5CDD505-2E9C-101B-9397-08002B2CF9AE}" pid="3" name="KSOProductBuildVer">
    <vt:lpwstr>2052-12.1.0.20305</vt:lpwstr>
  </property>
  <property fmtid="{D5CDD505-2E9C-101B-9397-08002B2CF9AE}" pid="4" name="ICV">
    <vt:lpwstr>D654139D10A74265AE5091493F032C23_12</vt:lpwstr>
  </property>
</Properties>
</file>