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A7106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</w:rPr>
      </w:pPr>
    </w:p>
    <w:p w14:paraId="0DBAD1C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</w:rPr>
      </w:pPr>
    </w:p>
    <w:p w14:paraId="28FD58A3"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textAlignment w:val="auto"/>
        <w:rPr>
          <w:rFonts w:hint="eastAsia"/>
        </w:rPr>
      </w:pPr>
    </w:p>
    <w:p w14:paraId="7B13F74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</w:rPr>
        <w:t>淄川区寨里镇土古堆村传统村落</w:t>
      </w:r>
    </w:p>
    <w:p w14:paraId="402650D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</w:rPr>
      </w:pPr>
    </w:p>
    <w:p w14:paraId="10ABC62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</w:rPr>
        <w:t>保护发展方案</w:t>
      </w:r>
    </w:p>
    <w:p w14:paraId="07A94B66"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</w:rPr>
      </w:pPr>
    </w:p>
    <w:p w14:paraId="3B3D65DD"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</w:rPr>
      </w:pPr>
    </w:p>
    <w:p w14:paraId="73133D42"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</w:rPr>
      </w:pPr>
    </w:p>
    <w:p w14:paraId="5B869E1D"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</w:rPr>
      </w:pPr>
    </w:p>
    <w:p w14:paraId="7BA249A8"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</w:rPr>
      </w:pPr>
    </w:p>
    <w:p w14:paraId="343D3550"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</w:rPr>
      </w:pPr>
    </w:p>
    <w:p w14:paraId="603868BB"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</w:rPr>
      </w:pPr>
    </w:p>
    <w:p w14:paraId="4DB7B848"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</w:rPr>
      </w:pPr>
    </w:p>
    <w:p w14:paraId="0C8BC3C2"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</w:rPr>
      </w:pPr>
    </w:p>
    <w:p w14:paraId="2FE341FD"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寨里镇人民政府</w:t>
      </w:r>
    </w:p>
    <w:p w14:paraId="05A3A95C"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2025 年 10 月</w:t>
      </w:r>
    </w:p>
    <w:p w14:paraId="13E6123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 w14:paraId="3C3DDF90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 w14:paraId="2CF6515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 w14:paraId="510CAE4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 w14:paraId="5C4EF56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1440" w:right="1440" w:bottom="1318" w:left="1440" w:header="708" w:footer="708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docGrid w:linePitch="360" w:charSpace="0"/>
        </w:sectPr>
      </w:pPr>
    </w:p>
    <w:p w14:paraId="17FEFD2D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一、村落基本概况</w:t>
      </w:r>
    </w:p>
    <w:p w14:paraId="6AA2047B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（一）概况及区位</w:t>
      </w:r>
    </w:p>
    <w:p w14:paraId="1B703E7D"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淄川区寨里镇土古堆村，位于寨里镇东南山区，淄中路穿村而过，为省级传统村落。村域面积 6 平方公里，村庄占地面积 380 亩，2024 年户籍人口 1081 人，常住人口 940 人。</w:t>
      </w:r>
    </w:p>
    <w:p w14:paraId="0D339EBA"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村落因村西一座高数十米的孤立土丘得名，初名 “土孤崖”，清代各版《淄川县志》均有记载，清末改称 “土孤堆”，后因行政规划定名 “土古堆”。村内核心特色资源显著：</w:t>
      </w:r>
    </w:p>
    <w:p w14:paraId="1888409B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自然标识：村西 “土丘” 有 300 余年历史，地面面积约 1 亩，逢年过节村民在此集会供奉，是村落精神地标；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299"/>
        <w:gridCol w:w="7923"/>
      </w:tblGrid>
      <w:tr w14:paraId="244AC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018" w:hRule="atLeast"/>
        </w:trPr>
        <w:tc>
          <w:tcPr>
            <w:tcW w:w="129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C60B11C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拍摄对象</w:t>
            </w:r>
          </w:p>
        </w:tc>
        <w:tc>
          <w:tcPr>
            <w:tcW w:w="7923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67AB517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31750</wp:posOffset>
                  </wp:positionV>
                  <wp:extent cx="4892040" cy="4118610"/>
                  <wp:effectExtent l="0" t="0" r="3810" b="15240"/>
                  <wp:wrapTopAndBottom/>
                  <wp:docPr id="3" name="图片 2" descr="土古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土古堆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040" cy="411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1907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9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7AFA4A9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拍摄说明</w:t>
            </w:r>
          </w:p>
        </w:tc>
        <w:tc>
          <w:tcPr>
            <w:tcW w:w="7923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D1218B0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  <w:t>土古堆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  <w:lang w:eastAsia="zh-CN"/>
              </w:rPr>
              <w:t>“土丘”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  <w:t>近观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  <w:lang w:eastAsia="zh-CN"/>
              </w:rPr>
              <w:t>，有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  <w:lang w:val="en-US" w:eastAsia="zh-CN"/>
              </w:rPr>
              <w:t>300余年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  <w:lang w:eastAsia="zh-CN"/>
              </w:rPr>
              <w:t>历史，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  <w:t>土古堆村因此而得名。</w:t>
            </w:r>
          </w:p>
        </w:tc>
      </w:tr>
    </w:tbl>
    <w:p w14:paraId="0E82ED3C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建筑特色：全村以石头房屋为主，土石结构、坡屋顶，部分保留草屋顶原貌，现存明代始建的古建筑群面积达 3000 平方米，含四合院门、老石屋等；</w:t>
      </w:r>
    </w:p>
    <w:p w14:paraId="30BB3430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产业基础：传统以农业为主，种植小麦、玉米、柿子、山楂等，上世纪 80 年代发展建筑材料工商业，2024 年村集体年收入 4 万元，村民人均年收入 4850 元；</w:t>
      </w:r>
    </w:p>
    <w:p w14:paraId="6D001A17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交通条件：紧邻淄城至峨庄公路，村内道路部分硬化，2018 年投资 10 余万元建成旅游厕所 1 处，基础设施逐步完善。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299"/>
        <w:gridCol w:w="7923"/>
      </w:tblGrid>
      <w:tr w14:paraId="1B3F9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159" w:hRule="atLeast"/>
        </w:trPr>
        <w:tc>
          <w:tcPr>
            <w:tcW w:w="129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7D293E8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拍摄对象</w:t>
            </w:r>
          </w:p>
        </w:tc>
        <w:tc>
          <w:tcPr>
            <w:tcW w:w="7923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8FCBDB7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both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31750</wp:posOffset>
                  </wp:positionV>
                  <wp:extent cx="4945380" cy="3089275"/>
                  <wp:effectExtent l="0" t="0" r="7620" b="15875"/>
                  <wp:wrapTopAndBottom/>
                  <wp:docPr id="1" name="图片 1" descr="AX7Z8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X7Z80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80" cy="308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23E22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9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AD5B5A3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拍摄说明</w:t>
            </w:r>
          </w:p>
        </w:tc>
        <w:tc>
          <w:tcPr>
            <w:tcW w:w="7923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372A0D6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  <w:t>土古堆村庄风貌（部分）。</w:t>
            </w:r>
          </w:p>
        </w:tc>
      </w:tr>
    </w:tbl>
    <w:p w14:paraId="67ADADBD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（二）历史沿革</w:t>
      </w:r>
    </w:p>
    <w:p w14:paraId="292D6492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建村起源：明代，张氏始祖从本省益都县附郭乡朱崖社迁来淄川县，在现址建村，初名 “土孤崖”；</w:t>
      </w:r>
    </w:p>
    <w:p w14:paraId="4B219616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隶属变迁：清代属淄川县；民国时期沿用县域管理；建国后属寨里镇，1980 年后随镇域规划调整，确定为寨里镇下辖行政村；</w:t>
      </w:r>
    </w:p>
    <w:p w14:paraId="51108767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名称演变：清代县志载 “土孤崖”，清末因口语习惯改称 “土孤堆”，20 世纪后期因行政规范化定名 “土古堆村”；</w:t>
      </w:r>
    </w:p>
    <w:p w14:paraId="1AA0A317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4、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关键节点：上世纪 80 年代，从传统农业向 “农业 + 建筑材料工商业” 转型；2018 年启动传统村落申报，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被认定为第五批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省级传统村落。</w:t>
      </w:r>
    </w:p>
    <w:p w14:paraId="790C66CD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（三）自然地理环境</w:t>
      </w:r>
    </w:p>
    <w:p w14:paraId="3E3781AD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区位地形：地处鲁中丘陵地带，三面环山（东西南），中间夏禹河穿村而过，将村落分为南北两部分，鸟瞰呈 “蒲扇形”，地势西北高、东南低；</w:t>
      </w:r>
    </w:p>
    <w:p w14:paraId="76F4D1D7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地质气候：山体多为土石山，结构稳固，极少发生滑坡；属暖温带季风气候，四季分明，夏季多雨、冬季干燥，山区小气候显著；</w:t>
      </w:r>
    </w:p>
    <w:p w14:paraId="0C2B1583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水资源：夏禹河为主要地表水体，村内有改造池塘 2 处、80 年代修建的挡河坝 1 处，水资源可满足农业灌溉与生活需求；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490"/>
        <w:gridCol w:w="7678"/>
      </w:tblGrid>
      <w:tr w14:paraId="3444E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311" w:hRule="atLeast"/>
        </w:trPr>
        <w:tc>
          <w:tcPr>
            <w:tcW w:w="149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36462C1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拍摄对象</w:t>
            </w:r>
          </w:p>
        </w:tc>
        <w:tc>
          <w:tcPr>
            <w:tcW w:w="767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F283B9B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179705</wp:posOffset>
                  </wp:positionV>
                  <wp:extent cx="4777740" cy="3186430"/>
                  <wp:effectExtent l="0" t="0" r="3810" b="13970"/>
                  <wp:wrapTopAndBottom/>
                  <wp:docPr id="6" name="图片 1" descr="AX7Z7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AX7Z799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740" cy="318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7EBA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49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E427D2C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拍摄说明</w:t>
            </w:r>
          </w:p>
        </w:tc>
        <w:tc>
          <w:tcPr>
            <w:tcW w:w="767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2C94B09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  <w:t>土古堆村改造的池塘</w:t>
            </w:r>
          </w:p>
        </w:tc>
      </w:tr>
      <w:tr w14:paraId="3474E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490" w:type="dxa"/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BFED8AC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拍摄对象</w:t>
            </w:r>
          </w:p>
        </w:tc>
        <w:tc>
          <w:tcPr>
            <w:tcW w:w="767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630384F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ascii="仿宋" w:hAnsi="仿宋" w:eastAsia="仿宋" w:cs="Arial"/>
                <w:color w:val="000000"/>
                <w:kern w:val="0"/>
                <w:szCs w:val="21"/>
                <w:lang w:eastAsia="zh-Han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203200</wp:posOffset>
                  </wp:positionV>
                  <wp:extent cx="4750435" cy="3134360"/>
                  <wp:effectExtent l="0" t="0" r="12065" b="8890"/>
                  <wp:wrapTopAndBottom/>
                  <wp:docPr id="7" name="图片 2" descr="AX7Z7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AX7Z799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435" cy="313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44DF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490" w:type="dxa"/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AF3EBBB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拍摄说明</w:t>
            </w:r>
          </w:p>
        </w:tc>
        <w:tc>
          <w:tcPr>
            <w:tcW w:w="767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894AB01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  <w:t>挡河坝一角</w:t>
            </w:r>
          </w:p>
        </w:tc>
      </w:tr>
    </w:tbl>
    <w:p w14:paraId="605EFDAC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生态植被：山林面积广阔，植被以松柏、刺槐为主，村西土丘有松柏、红叶覆盖，村内古槐树 5 棵，整体植被覆盖率超 60%，生态环境优良。</w:t>
      </w:r>
    </w:p>
    <w:p w14:paraId="71AEC80F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（四）社会经济</w:t>
      </w:r>
    </w:p>
    <w:p w14:paraId="71F8802D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传统产业：</w:t>
      </w:r>
    </w:p>
    <w:p w14:paraId="6FE53004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种植业：以小麦、玉米为主要粮食作物，柿子、山楂为特色经济林果，村民保留 “石碾碾粮食” 的传统加工方式；</w:t>
      </w:r>
    </w:p>
    <w:p w14:paraId="2F506425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传统手工业：村内曾有石匠、木匠群体，老建筑多带特色石雕（如窗口浮雕、墀头砖雕，），现存百年圆筒形土粮囤，至今仍可使用。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490"/>
        <w:gridCol w:w="7678"/>
      </w:tblGrid>
      <w:tr w14:paraId="3FBE2A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02" w:hRule="atLeast"/>
        </w:trPr>
        <w:tc>
          <w:tcPr>
            <w:tcW w:w="149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0C0F10B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拍摄对象</w:t>
            </w:r>
          </w:p>
        </w:tc>
        <w:tc>
          <w:tcPr>
            <w:tcW w:w="767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0907174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31115</wp:posOffset>
                  </wp:positionV>
                  <wp:extent cx="4760595" cy="4180840"/>
                  <wp:effectExtent l="0" t="0" r="1905" b="10160"/>
                  <wp:wrapTopAndBottom/>
                  <wp:docPr id="12" name="图片 4" descr="P1260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 descr="P126004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595" cy="418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7C2D5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49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8EFC054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拍摄说明</w:t>
            </w:r>
          </w:p>
        </w:tc>
        <w:tc>
          <w:tcPr>
            <w:tcW w:w="767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1FB7C35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  <w:t>墀头砖雕</w:t>
            </w:r>
          </w:p>
        </w:tc>
      </w:tr>
      <w:tr w14:paraId="4DE0A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490" w:type="dxa"/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6550A73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拍摄对象</w:t>
            </w:r>
          </w:p>
        </w:tc>
        <w:tc>
          <w:tcPr>
            <w:tcW w:w="767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9D9D3C0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31750</wp:posOffset>
                  </wp:positionV>
                  <wp:extent cx="4725035" cy="5382895"/>
                  <wp:effectExtent l="0" t="0" r="18415" b="8255"/>
                  <wp:wrapTopAndBottom/>
                  <wp:docPr id="11" name="图片 3" descr="IMG_9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IMG_94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035" cy="538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1FA01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490" w:type="dxa"/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4582DD5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拍摄说明</w:t>
            </w:r>
          </w:p>
        </w:tc>
        <w:tc>
          <w:tcPr>
            <w:tcW w:w="767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C9D451F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  <w:t>圆筒形土粮囤</w:t>
            </w:r>
          </w:p>
        </w:tc>
      </w:tr>
    </w:tbl>
    <w:p w14:paraId="13924C8E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现代产业：</w:t>
      </w:r>
    </w:p>
    <w:p w14:paraId="07CFEC73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288" w:leftChars="0" w:firstLine="35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1980 年后发展建筑材料工商业，成为村民增收补充；</w:t>
      </w:r>
    </w:p>
    <w:p w14:paraId="3654007E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近年依托传统村落资源，尝试发展乡村旅游，已建成旅游厕所、改造河道，为产业转型奠定基础；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490"/>
        <w:gridCol w:w="7678"/>
      </w:tblGrid>
      <w:tr w14:paraId="7E547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83" w:hRule="atLeast"/>
        </w:trPr>
        <w:tc>
          <w:tcPr>
            <w:tcW w:w="149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3A070F9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拍摄对象</w:t>
            </w:r>
          </w:p>
        </w:tc>
        <w:tc>
          <w:tcPr>
            <w:tcW w:w="767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E8E513D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/>
                <w:szCs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109855</wp:posOffset>
                  </wp:positionV>
                  <wp:extent cx="4779645" cy="3154680"/>
                  <wp:effectExtent l="0" t="0" r="1905" b="7620"/>
                  <wp:wrapTopAndBottom/>
                  <wp:docPr id="14" name="图片 5" descr="F257F95B@D1F3EE69.0E1F06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F257F95B@D1F3EE69.0E1F065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645" cy="315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84D9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5" w:hRule="atLeast"/>
        </w:trPr>
        <w:tc>
          <w:tcPr>
            <w:tcW w:w="149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BC8B874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拍摄说明</w:t>
            </w:r>
          </w:p>
        </w:tc>
        <w:tc>
          <w:tcPr>
            <w:tcW w:w="767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7C25836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  <w:lang w:val="en-US" w:eastAsia="zh-CN"/>
              </w:rPr>
              <w:t>村内公厕和广场</w:t>
            </w:r>
          </w:p>
        </w:tc>
      </w:tr>
      <w:tr w14:paraId="275A3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49" w:hRule="atLeast"/>
        </w:trPr>
        <w:tc>
          <w:tcPr>
            <w:tcW w:w="1490" w:type="dxa"/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E19B1CB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拍摄对象</w:t>
            </w:r>
          </w:p>
        </w:tc>
        <w:tc>
          <w:tcPr>
            <w:tcW w:w="767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26031F4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cs="Arial"/>
                <w:color w:val="000000"/>
                <w:kern w:val="0"/>
                <w:szCs w:val="21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88900</wp:posOffset>
                  </wp:positionV>
                  <wp:extent cx="4779010" cy="3004185"/>
                  <wp:effectExtent l="0" t="0" r="2540" b="5715"/>
                  <wp:wrapTopAndBottom/>
                  <wp:docPr id="15" name="图片 6" descr="638654621489163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63865462148916323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010" cy="300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136D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49" w:hRule="atLeast"/>
        </w:trPr>
        <w:tc>
          <w:tcPr>
            <w:tcW w:w="1490" w:type="dxa"/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97D99AA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拍摄说明</w:t>
            </w:r>
          </w:p>
        </w:tc>
        <w:tc>
          <w:tcPr>
            <w:tcW w:w="767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7B9420D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  <w:lang w:val="en-US" w:eastAsia="zh-CN"/>
              </w:rPr>
              <w:t>村内重要的河道</w:t>
            </w:r>
          </w:p>
        </w:tc>
      </w:tr>
    </w:tbl>
    <w:p w14:paraId="3F1B43E3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民生保障：村内有标准化卫生室、公交站点，实现入户自来水、垃圾集中清运（送往镇县处理）、电网改造，20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19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 xml:space="preserve"> 年完成旱厕分户改造，村民生活便利性提升。</w:t>
      </w:r>
    </w:p>
    <w:p w14:paraId="747BB61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二、村落现状调查</w:t>
      </w:r>
    </w:p>
    <w:p w14:paraId="21B03CDE">
      <w:pPr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核心特色资源汇总表</w:t>
      </w:r>
    </w:p>
    <w:p w14:paraId="23827844">
      <w:pPr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253"/>
        <w:gridCol w:w="2361"/>
        <w:gridCol w:w="2302"/>
        <w:gridCol w:w="2350"/>
      </w:tblGrid>
      <w:tr w14:paraId="4155EF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shd w:val="clear" w:color="auto" w:fill="BEBEBE" w:themeFill="background1" w:themeFillShade="B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ECC2E54">
            <w:pPr>
              <w:pStyle w:val="1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资源类型</w:t>
            </w:r>
          </w:p>
        </w:tc>
        <w:tc>
          <w:tcPr>
            <w:tcW w:w="2760" w:type="dxa"/>
            <w:shd w:val="clear" w:color="auto" w:fill="BEBEBE" w:themeFill="background1" w:themeFillShade="B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1C0D390">
            <w:pPr>
              <w:pStyle w:val="1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具体内容</w:t>
            </w:r>
          </w:p>
        </w:tc>
        <w:tc>
          <w:tcPr>
            <w:tcW w:w="2760" w:type="dxa"/>
            <w:shd w:val="clear" w:color="auto" w:fill="BEBEBE" w:themeFill="background1" w:themeFillShade="B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05D3CA9D">
            <w:pPr>
              <w:pStyle w:val="1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价值等级</w:t>
            </w:r>
          </w:p>
        </w:tc>
        <w:tc>
          <w:tcPr>
            <w:tcW w:w="2760" w:type="dxa"/>
            <w:shd w:val="clear" w:color="auto" w:fill="BEBEBE" w:themeFill="background1" w:themeFillShade="B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3C982A3">
            <w:pPr>
              <w:pStyle w:val="1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现状概况</w:t>
            </w:r>
          </w:p>
        </w:tc>
      </w:tr>
      <w:tr w14:paraId="7CC783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15A856B">
            <w:pPr>
              <w:pStyle w:val="18"/>
              <w:jc w:val="center"/>
            </w:pPr>
            <w:r>
              <w:t>自然标识</w:t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8F3E9E0">
            <w:pPr>
              <w:pStyle w:val="18"/>
              <w:jc w:val="both"/>
            </w:pPr>
            <w:r>
              <w:t>村西 300 余年历史土丘（地面面积 1 亩）</w:t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9D16A94">
            <w:pPr>
              <w:pStyle w:val="18"/>
              <w:jc w:val="both"/>
            </w:pPr>
            <w:r>
              <w:t>一级（核心地标）</w:t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AB7127C">
            <w:pPr>
              <w:pStyle w:val="18"/>
              <w:jc w:val="both"/>
            </w:pPr>
            <w:r>
              <w:t>有简易围栏，村民逢年过节集会供奉</w:t>
            </w:r>
          </w:p>
        </w:tc>
      </w:tr>
      <w:tr w14:paraId="3A3A10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CD47B36">
            <w:pPr>
              <w:pStyle w:val="18"/>
              <w:jc w:val="center"/>
            </w:pPr>
            <w:r>
              <w:t>历史建筑</w:t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811D591">
            <w:pPr>
              <w:pStyle w:val="18"/>
              <w:jc w:val="both"/>
            </w:pPr>
            <w:r>
              <w:t>明代始建古建筑群（3000㎡）、12 处明清 - 民国建筑（关帝庙、四合院门等）</w:t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EDE1ECB">
            <w:pPr>
              <w:pStyle w:val="18"/>
              <w:jc w:val="both"/>
            </w:pPr>
            <w:r>
              <w:t>一级（重点保护）</w:t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27B1169">
            <w:pPr>
              <w:pStyle w:val="18"/>
              <w:jc w:val="both"/>
            </w:pPr>
            <w:r>
              <w:t>8 处存在墙体开裂、屋顶漏雨，关帝庙彩绘脱落</w:t>
            </w:r>
          </w:p>
        </w:tc>
      </w:tr>
      <w:tr w14:paraId="6EC639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3E0A656">
            <w:pPr>
              <w:pStyle w:val="18"/>
              <w:jc w:val="center"/>
            </w:pPr>
            <w:r>
              <w:t>传统风貌建筑</w:t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0918F47">
            <w:pPr>
              <w:pStyle w:val="18"/>
              <w:jc w:val="both"/>
            </w:pPr>
            <w:r>
              <w:t>35 处建国至 1980 年石头房屋</w:t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5B7BA2C">
            <w:pPr>
              <w:pStyle w:val="18"/>
              <w:jc w:val="both"/>
            </w:pPr>
            <w:r>
              <w:t>二级（协调保护）</w:t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CAB30B4">
            <w:pPr>
              <w:pStyle w:val="18"/>
              <w:jc w:val="both"/>
            </w:pPr>
            <w:r>
              <w:t>屋顶多为红瓦，墙体保留青石砌筑，风格协调</w:t>
            </w:r>
          </w:p>
        </w:tc>
      </w:tr>
      <w:tr w14:paraId="03DBC8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23562C6">
            <w:pPr>
              <w:pStyle w:val="18"/>
              <w:jc w:val="center"/>
            </w:pPr>
            <w:r>
              <w:t>自然景观</w:t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5B445DE">
            <w:pPr>
              <w:pStyle w:val="18"/>
              <w:jc w:val="both"/>
            </w:pPr>
            <w:r>
              <w:t>三山一丘一河（翠屏山、大寨顶、围子山 + 土丘 + 夏禹河）、5 棵百年古槐树</w:t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FF68E19">
            <w:pPr>
              <w:pStyle w:val="18"/>
              <w:jc w:val="both"/>
            </w:pPr>
            <w:r>
              <w:t>一级（核心生态）</w:t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51EBB02">
            <w:pPr>
              <w:pStyle w:val="18"/>
              <w:jc w:val="both"/>
            </w:pPr>
            <w:r>
              <w:t>植被覆盖率超 60%，古槐树长势良好，夏禹河部分淤积</w:t>
            </w:r>
          </w:p>
        </w:tc>
      </w:tr>
      <w:tr w14:paraId="3EB194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1F724C2">
            <w:pPr>
              <w:pStyle w:val="18"/>
              <w:jc w:val="center"/>
            </w:pPr>
            <w:r>
              <w:t>非遗资源</w:t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6936F20">
            <w:pPr>
              <w:pStyle w:val="18"/>
              <w:jc w:val="both"/>
            </w:pPr>
            <w:r>
              <w:t>棋盘顶传说、王母娘娘挂铁环传说</w:t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7AE902D">
            <w:pPr>
              <w:pStyle w:val="18"/>
              <w:jc w:val="both"/>
            </w:pPr>
            <w:r>
              <w:t>一级（核心文化）</w:t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7028125">
            <w:pPr>
              <w:pStyle w:val="18"/>
              <w:jc w:val="both"/>
            </w:pPr>
            <w:r>
              <w:t>口头传承为主，无系统文字 / 视频记录</w:t>
            </w:r>
          </w:p>
        </w:tc>
      </w:tr>
      <w:tr w14:paraId="0033C6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916FA8E">
            <w:pPr>
              <w:pStyle w:val="18"/>
              <w:jc w:val="center"/>
            </w:pPr>
            <w:r>
              <w:t>传统技艺</w:t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69AB145">
            <w:pPr>
              <w:pStyle w:val="18"/>
              <w:jc w:val="both"/>
            </w:pPr>
            <w:r>
              <w:t>石匠技艺、木匠技艺、纺线、马鞍制作</w:t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B021DBC">
            <w:pPr>
              <w:pStyle w:val="18"/>
              <w:jc w:val="both"/>
            </w:pPr>
            <w:r>
              <w:t>二级（特色传承）</w:t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3C4C45F">
            <w:pPr>
              <w:pStyle w:val="18"/>
              <w:jc w:val="both"/>
            </w:pPr>
            <w:r>
              <w:t>仅老年村民掌握，工具保存完好但使用频率低</w:t>
            </w:r>
          </w:p>
        </w:tc>
      </w:tr>
      <w:tr w14:paraId="24367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4C86844">
            <w:pPr>
              <w:pStyle w:val="18"/>
              <w:jc w:val="center"/>
            </w:pPr>
            <w:r>
              <w:t>民俗活动</w:t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631AE8C">
            <w:pPr>
              <w:pStyle w:val="18"/>
              <w:jc w:val="both"/>
            </w:pPr>
            <w:r>
              <w:t>请家堂、石碾加工、元宵秧歌 / 踩高跷</w:t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AB33A35">
            <w:pPr>
              <w:pStyle w:val="18"/>
              <w:jc w:val="both"/>
            </w:pPr>
            <w:r>
              <w:t>二级（活态民俗）</w:t>
            </w:r>
          </w:p>
        </w:tc>
        <w:tc>
          <w:tcPr>
            <w:tcW w:w="276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8F51C95">
            <w:pPr>
              <w:pStyle w:val="18"/>
              <w:jc w:val="both"/>
            </w:pPr>
            <w:r>
              <w:t>参与主体以老年人为主，30 岁以下参与率不足 10%</w:t>
            </w:r>
          </w:p>
        </w:tc>
      </w:tr>
    </w:tbl>
    <w:p w14:paraId="3F472DD0"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 w14:paraId="2A1407E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（一）村落周边区域情况分析</w:t>
      </w:r>
    </w:p>
    <w:p w14:paraId="79C975B5"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土古堆村位于寨里镇东南山区，东至槲坡村，西邻孤山村，南接西崖村，北与皇姑顶相连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，村域面积 6 平方公里，其中耕地面积约占 30%，山林面积占 60%。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299"/>
        <w:gridCol w:w="7923"/>
      </w:tblGrid>
      <w:tr w14:paraId="1657D4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12" w:hRule="atLeast"/>
        </w:trPr>
        <w:tc>
          <w:tcPr>
            <w:tcW w:w="129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3C8E46F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拍摄对象</w:t>
            </w:r>
          </w:p>
        </w:tc>
        <w:tc>
          <w:tcPr>
            <w:tcW w:w="7923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241A470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108585</wp:posOffset>
                  </wp:positionV>
                  <wp:extent cx="4946650" cy="2680970"/>
                  <wp:effectExtent l="0" t="0" r="6350" b="5080"/>
                  <wp:wrapTopAndBottom/>
                  <wp:docPr id="5" name="图片 3" descr="DSC01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DSC011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0" cy="268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53C55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9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84F99C9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拍摄说明</w:t>
            </w:r>
          </w:p>
        </w:tc>
        <w:tc>
          <w:tcPr>
            <w:tcW w:w="7923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E139C6F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  <w:lang w:val="en-US" w:eastAsia="zh-CN"/>
              </w:rPr>
              <w:t>村庄风貌</w:t>
            </w:r>
          </w:p>
        </w:tc>
      </w:tr>
    </w:tbl>
    <w:p w14:paraId="108D4C23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自然关联：周边山脉属沂蒙山脉余脉，夏禹河向东汇入镇域水系，村西土丘与翠屏山、大寨顶形成 “三山一丘一河” 的自然格局，是村落传统选址的核心依据；</w:t>
      </w:r>
    </w:p>
    <w:p w14:paraId="1A48D046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资源分布：村周边山林有野兔、山鸡等常见野生动物，柿子、山楂林成片分布，可作为乡村旅游的生态资源；</w:t>
      </w:r>
    </w:p>
    <w:p w14:paraId="6EEE2825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交通联动：淄城至峨庄公路连接村域与外部，村内连村道路可直达周边七里寺、桃花峪等村，形成 “外通内连” 的交通网络。</w:t>
      </w:r>
    </w:p>
    <w:p w14:paraId="01B5975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（二）村落空间格局与整体风貌</w:t>
      </w:r>
    </w:p>
    <w:p w14:paraId="1E5FDA28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聚落形态：村落沿夏禹河呈 “蒲扇形” 分布，房屋依山傍水而建，因地势走向不同，建筑方向、形式略有差异，体现 “因地制宜” 的传统营造智慧；</w:t>
      </w:r>
    </w:p>
    <w:p w14:paraId="279732A2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街巷格局：核心街巷为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混凝土路面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，总长约 800 米，连接村内主要公共空间（土丘、关帝庙、老粮仓），其他街巷以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中心路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为核心向两侧延伸，呈 “树枝状” 网络；</w:t>
      </w:r>
    </w:p>
    <w:p w14:paraId="5E2D60B1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风貌特征：</w:t>
      </w:r>
    </w:p>
    <w:p w14:paraId="0908587A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自然风貌：三面环山、一河穿村，古槐树、松柏点缀其间，春季山花遍野、秋季红叶满坡，生态景观层次丰富；</w:t>
      </w:r>
    </w:p>
    <w:p w14:paraId="082CB59F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建筑风貌：以土石结构为主，屋顶多为红瓦（部分保留草屋顶），墙体用本地青石砌筑，门窗多为木质，部分老建筑有石雕装饰（墀头、窗口），体现鲁中山区传统民居特色；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299"/>
        <w:gridCol w:w="7923"/>
      </w:tblGrid>
      <w:tr w14:paraId="54F6F6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13" w:hRule="atLeast"/>
        </w:trPr>
        <w:tc>
          <w:tcPr>
            <w:tcW w:w="129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65EB92E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拍摄对象</w:t>
            </w:r>
          </w:p>
        </w:tc>
        <w:tc>
          <w:tcPr>
            <w:tcW w:w="7923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85E1B3A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cs="Arial"/>
                <w:color w:val="000000"/>
                <w:kern w:val="0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41910</wp:posOffset>
                  </wp:positionV>
                  <wp:extent cx="4927600" cy="3705860"/>
                  <wp:effectExtent l="0" t="0" r="0" b="0"/>
                  <wp:wrapTopAndBottom/>
                  <wp:docPr id="9" name="图片 5" descr="921757921374062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9217579213740628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0" cy="370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763E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9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5BAD534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拍摄说明</w:t>
            </w:r>
          </w:p>
        </w:tc>
        <w:tc>
          <w:tcPr>
            <w:tcW w:w="7923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5C9985D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  <w:lang w:eastAsia="zh-CN"/>
              </w:rPr>
              <w:t>村内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  <w:t>老房子</w:t>
            </w:r>
          </w:p>
        </w:tc>
      </w:tr>
    </w:tbl>
    <w:p w14:paraId="5621A53B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人文风貌：村民保留 “请家堂”“石碾加工” 等传统习俗，春节期间自发组织民俗活动，街巷内可见老石磨、土粮囤等传统生活设施，生活气息浓厚。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299"/>
        <w:gridCol w:w="7923"/>
      </w:tblGrid>
      <w:tr w14:paraId="27F3E0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13" w:hRule="atLeast"/>
        </w:trPr>
        <w:tc>
          <w:tcPr>
            <w:tcW w:w="129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A0ECA7B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拍摄对象</w:t>
            </w:r>
          </w:p>
        </w:tc>
        <w:tc>
          <w:tcPr>
            <w:tcW w:w="7923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3E0F5AA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19685</wp:posOffset>
                  </wp:positionV>
                  <wp:extent cx="4937125" cy="3214370"/>
                  <wp:effectExtent l="0" t="0" r="15875" b="5080"/>
                  <wp:wrapTopAndBottom/>
                  <wp:docPr id="10" name="图片 6" descr="DSC07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DSC0795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125" cy="321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AECD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9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0C32991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拍摄说明</w:t>
            </w:r>
          </w:p>
        </w:tc>
        <w:tc>
          <w:tcPr>
            <w:tcW w:w="7923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500C67F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  <w:t>当地村居仍沿用石碾碾碎粮食旧俗</w:t>
            </w:r>
          </w:p>
        </w:tc>
      </w:tr>
    </w:tbl>
    <w:p w14:paraId="4105D14C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（三）传统建筑</w:t>
      </w:r>
    </w:p>
    <w:p w14:paraId="28E74575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建筑分类与特征：</w:t>
      </w:r>
    </w:p>
    <w:p w14:paraId="115C7C42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历史建筑（明代至民国）：共 12 处，含四合院门、老石屋、关帝庙，建筑结构为 “土石墙 + 木梁 + 坡屋顶”，部分有 “人字形屋架、麦秸苫盖”，关帝庙墙体有明清时期的彩绘痕迹；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490"/>
        <w:gridCol w:w="7678"/>
      </w:tblGrid>
      <w:tr w14:paraId="570B4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98" w:hRule="atLeast"/>
        </w:trPr>
        <w:tc>
          <w:tcPr>
            <w:tcW w:w="149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6C83E1B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拍摄对象</w:t>
            </w:r>
          </w:p>
        </w:tc>
        <w:tc>
          <w:tcPr>
            <w:tcW w:w="767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11901EF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cs="Arial"/>
                <w:color w:val="000000"/>
                <w:kern w:val="0"/>
                <w:szCs w:val="21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31750</wp:posOffset>
                  </wp:positionV>
                  <wp:extent cx="4763135" cy="3581400"/>
                  <wp:effectExtent l="0" t="0" r="18415" b="0"/>
                  <wp:wrapTopAndBottom/>
                  <wp:docPr id="18" name="图片 8" descr="921757921374062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 descr="9217579213740628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35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72F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49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22B4DB5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拍摄说明</w:t>
            </w:r>
          </w:p>
        </w:tc>
        <w:tc>
          <w:tcPr>
            <w:tcW w:w="767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BF66758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  <w:lang w:val="en-US" w:eastAsia="zh-CN"/>
              </w:rPr>
              <w:t>村内老房子</w:t>
            </w:r>
          </w:p>
        </w:tc>
      </w:tr>
      <w:tr w14:paraId="36D7C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490" w:type="dxa"/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8752A8D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拍摄对象</w:t>
            </w:r>
          </w:p>
        </w:tc>
        <w:tc>
          <w:tcPr>
            <w:tcW w:w="767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E0AE0B8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/>
                <w:szCs w:val="21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32385</wp:posOffset>
                  </wp:positionV>
                  <wp:extent cx="4733925" cy="3319780"/>
                  <wp:effectExtent l="0" t="0" r="9525" b="13970"/>
                  <wp:wrapTopAndBottom/>
                  <wp:docPr id="1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925" cy="331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C721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490" w:type="dxa"/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AAB4ACD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拍摄说明</w:t>
            </w:r>
          </w:p>
        </w:tc>
        <w:tc>
          <w:tcPr>
            <w:tcW w:w="767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1955C07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  <w:lang w:val="en-US" w:eastAsia="zh-CN"/>
              </w:rPr>
              <w:t>老石屋</w:t>
            </w:r>
          </w:p>
        </w:tc>
      </w:tr>
    </w:tbl>
    <w:p w14:paraId="41C4090F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传统风貌建筑（建国至 1980 年）：共 35 处，以石头房屋为主，屋顶多改为红瓦，墙体保留青石砌筑，部分保留木质门窗，与历史建筑风格协调；</w:t>
      </w:r>
    </w:p>
    <w:p w14:paraId="06993A9D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/>
        <w:autoSpaceDE/>
        <w:autoSpaceDN/>
        <w:bidi w:val="0"/>
        <w:adjustRightInd/>
        <w:snapToGrid/>
        <w:spacing w:before="0" w:after="0" w:line="560" w:lineRule="exact"/>
        <w:ind w:left="6" w:leftChars="0" w:firstLine="629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一般建筑（1980 年后）：共 58 处，多为砖石结构平房，外观简洁，无过多装饰，与传统风貌无明显冲突；</w:t>
      </w:r>
    </w:p>
    <w:p w14:paraId="16595990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障碍建筑（现代搭建）：共 8 处，为二层水泥楼房或彩钢瓦棚屋，使用瓷砖、彩钢等材料，与传统土石建筑风格脱节，破坏整体风貌。</w:t>
      </w:r>
    </w:p>
    <w:p w14:paraId="73491806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文化内涵：</w:t>
      </w:r>
    </w:p>
    <w:p w14:paraId="298F660E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营造智慧：建筑依山就势、就地取材，土石墙抵御山区寒冷气候，坡屋顶适应多雨天气，体现 “天人合一” 的理念；</w:t>
      </w:r>
    </w:p>
    <w:p w14:paraId="779D1AA1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精神寄托：关帝庙是村民祈福、议事的公共空间，每逢初一、十五村民前往烧香，祈求平安；土丘周边的老建筑多为族内长者居住，体现传统宗族伦理；</w:t>
      </w:r>
    </w:p>
    <w:p w14:paraId="262FEC2F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历史见证：炮楼遗址为 1948 年解放军攻破的国民党炮楼，见证村落近代历史；百年土粮囤、古石桥反映传统生产生活方式。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490"/>
        <w:gridCol w:w="7678"/>
      </w:tblGrid>
      <w:tr w14:paraId="194351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916" w:hRule="atLeast"/>
        </w:trPr>
        <w:tc>
          <w:tcPr>
            <w:tcW w:w="149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8ADAF7F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拍摄对象</w:t>
            </w:r>
          </w:p>
        </w:tc>
        <w:tc>
          <w:tcPr>
            <w:tcW w:w="767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D97BD4D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ascii="仿宋" w:hAnsi="仿宋" w:eastAsia="仿宋" w:cs="Arial"/>
                <w:color w:val="000000"/>
                <w:kern w:val="0"/>
                <w:szCs w:val="21"/>
                <w:lang w:eastAsia="zh-Han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-63500</wp:posOffset>
                  </wp:positionV>
                  <wp:extent cx="4695190" cy="5554345"/>
                  <wp:effectExtent l="0" t="0" r="10160" b="8255"/>
                  <wp:wrapTopAndBottom/>
                  <wp:docPr id="21" name="图片 10" descr="311965289431733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0" descr="31196528943173339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190" cy="555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6F46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49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D082247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拍摄说明</w:t>
            </w:r>
          </w:p>
        </w:tc>
        <w:tc>
          <w:tcPr>
            <w:tcW w:w="767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7F6C5E9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  <w:lang w:val="en-US" w:eastAsia="zh-CN"/>
              </w:rPr>
              <w:t>炮楼遗址</w:t>
            </w:r>
          </w:p>
        </w:tc>
      </w:tr>
      <w:tr w14:paraId="29302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490" w:type="dxa"/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DD81C8E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拍摄对象</w:t>
            </w:r>
          </w:p>
        </w:tc>
        <w:tc>
          <w:tcPr>
            <w:tcW w:w="767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872F62C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cs="Arial"/>
                <w:color w:val="000000"/>
                <w:kern w:val="0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15240</wp:posOffset>
                  </wp:positionV>
                  <wp:extent cx="4785995" cy="3191510"/>
                  <wp:effectExtent l="0" t="0" r="14605" b="8890"/>
                  <wp:wrapTopAndBottom/>
                  <wp:docPr id="22" name="图片 11" descr="AX7Z7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1" descr="AX7Z799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995" cy="319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F726C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490" w:type="dxa"/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B5C8AFF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拍摄说明</w:t>
            </w:r>
          </w:p>
        </w:tc>
        <w:tc>
          <w:tcPr>
            <w:tcW w:w="767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69E15F8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  <w:lang w:val="en-US" w:eastAsia="zh-CN"/>
              </w:rPr>
              <w:t>村内古石桥</w:t>
            </w:r>
          </w:p>
        </w:tc>
      </w:tr>
    </w:tbl>
    <w:p w14:paraId="17A91A1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（四）历史环境要素</w:t>
      </w:r>
    </w:p>
    <w:p w14:paraId="7F3549B3"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土古堆村历史环境要素类型丰富，涵盖自然与人文两类，具体如下：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482"/>
        <w:gridCol w:w="3451"/>
        <w:gridCol w:w="2249"/>
        <w:gridCol w:w="2084"/>
      </w:tblGrid>
      <w:tr w14:paraId="120C5B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482" w:type="dxa"/>
            <w:shd w:val="solid" w:color="D7D7D7" w:themeColor="background1" w:themeShade="D8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2F2D9BB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要素类型</w:t>
            </w:r>
          </w:p>
        </w:tc>
        <w:tc>
          <w:tcPr>
            <w:tcW w:w="3451" w:type="dxa"/>
            <w:shd w:val="solid" w:color="D7D7D7" w:themeColor="background1" w:themeShade="D8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387268D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具体内容</w:t>
            </w:r>
          </w:p>
        </w:tc>
        <w:tc>
          <w:tcPr>
            <w:tcW w:w="2249" w:type="dxa"/>
            <w:shd w:val="solid" w:color="D7D7D7" w:themeColor="background1" w:themeShade="D8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AF5B238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保护现状</w:t>
            </w:r>
          </w:p>
        </w:tc>
        <w:tc>
          <w:tcPr>
            <w:tcW w:w="2084" w:type="dxa"/>
            <w:shd w:val="solid" w:color="D7D7D7" w:themeColor="background1" w:themeShade="D8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C0EF6F2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图片参考</w:t>
            </w:r>
          </w:p>
        </w:tc>
      </w:tr>
      <w:tr w14:paraId="47DF2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48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94F5CE8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自然要素</w:t>
            </w:r>
          </w:p>
        </w:tc>
        <w:tc>
          <w:tcPr>
            <w:tcW w:w="345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4BB3674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5 棵大槐树（树龄超 100 年）、2 处古井、2 处古河道（夏禹河支流）</w:t>
            </w:r>
          </w:p>
        </w:tc>
        <w:tc>
          <w:tcPr>
            <w:tcW w:w="224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9FC475C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大槐树长势良好，古井部分干涸，古河道部分段落淤积</w:t>
            </w:r>
          </w:p>
        </w:tc>
        <w:tc>
          <w:tcPr>
            <w:tcW w:w="2084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FE7D815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古槐树（村内中心街）</w:t>
            </w:r>
          </w:p>
        </w:tc>
      </w:tr>
      <w:tr w14:paraId="0CCE79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48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517B0A8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人文要素</w:t>
            </w:r>
          </w:p>
        </w:tc>
        <w:tc>
          <w:tcPr>
            <w:tcW w:w="345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B08CB95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1 处关帝庙、1 处寨墙遗址、1 处炮楼遗址、1 座古石桥（清末）、3 处石磨、2 处石碾、1 处土粮囤</w:t>
            </w:r>
          </w:p>
        </w:tc>
        <w:tc>
          <w:tcPr>
            <w:tcW w:w="224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E000F4D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关帝庙墙体开裂，寨墙仅存残段，石磨、石碾仍使用</w:t>
            </w:r>
          </w:p>
        </w:tc>
        <w:tc>
          <w:tcPr>
            <w:tcW w:w="2084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087C92C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关帝庙（村东）、古石桥</w:t>
            </w:r>
          </w:p>
        </w:tc>
      </w:tr>
      <w:tr w14:paraId="549BA2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48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45D17E2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传说关联要素</w:t>
            </w:r>
          </w:p>
        </w:tc>
        <w:tc>
          <w:tcPr>
            <w:tcW w:w="345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A46FFC0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村西土丘（“王母娘娘挂铁环” 传说）、棋盘顶（“刘半仙对弈” 传说）</w:t>
            </w:r>
          </w:p>
        </w:tc>
        <w:tc>
          <w:tcPr>
            <w:tcW w:w="224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C05CD61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土丘有简易围栏，棋盘顶无标识</w:t>
            </w:r>
          </w:p>
        </w:tc>
        <w:tc>
          <w:tcPr>
            <w:tcW w:w="2084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4D00921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土丘近观</w:t>
            </w:r>
          </w:p>
        </w:tc>
      </w:tr>
    </w:tbl>
    <w:p w14:paraId="07B4838B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（五）道路交通情况</w:t>
      </w:r>
    </w:p>
    <w:p w14:paraId="1C2ACC33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对外交通：</w:t>
      </w:r>
    </w:p>
    <w:p w14:paraId="5F7A9D75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干线公路：淄城至峨庄公路穿村南侧，为双向两车道，可直达淄川城区（约 20 公里）、峨庄景区（约 15 公里），是村落对外联系的主通道；</w:t>
      </w:r>
    </w:p>
    <w:p w14:paraId="5D41BC92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连村道路：有土古堆至梨峪口、土古堆至寨里镇驻地两条连村道路，均为水泥路面，宽 4-5 米，方便与周边村落及镇域联动。</w:t>
      </w:r>
    </w:p>
    <w:p w14:paraId="748FFA25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村内交通：</w:t>
      </w:r>
    </w:p>
    <w:p w14:paraId="65F05950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6" w:leftChars="0" w:firstLine="629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核心街巷：石板路（宽 2-3 米），总长约 800 米，连接村东关帝庙、村西土丘、村北老粮仓，是村内步行主通道；</w:t>
      </w:r>
    </w:p>
    <w:p w14:paraId="0B2CBAFB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6" w:leftChars="0" w:firstLine="629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其他街巷：水泥路面街巷 12 条，总长约 2000 米，宽 3-4 米，连接各家各户，2019 年新增路灯 20 盏，主要街巷实现夜间照明；</w:t>
      </w:r>
    </w:p>
    <w:p w14:paraId="2FA3F927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配套设施：2018 年建成停车场 2 处（位于村入口），可容纳 15 辆小型汽车，解决旅游停车需求；2020 年对石板路破损段落进行修补，提升通行安全性。</w:t>
      </w:r>
    </w:p>
    <w:p w14:paraId="5B41C8A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（六）公共服务设施情况</w:t>
      </w:r>
    </w:p>
    <w:p w14:paraId="6672F587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基础保障设施：</w:t>
      </w:r>
    </w:p>
    <w:p w14:paraId="348E7446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供水：实现入户自来水，2015 年安装净化水设备 1 套，设立免费取水点 2 处，24 小时供水；</w:t>
      </w:r>
    </w:p>
    <w:p w14:paraId="095908A9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排水：采用 “分户分散处理” 模式，村内主要街巷铺设排水渠，夏禹河承担部分雨水排放功能；</w:t>
      </w:r>
    </w:p>
    <w:p w14:paraId="298C09F4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能源通信：2017 年完成电网改造，实现稳定供电；有线电视、宽带全覆盖，村民通信需求满足；</w:t>
      </w:r>
    </w:p>
    <w:p w14:paraId="71F1F4FA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环卫：配备垃圾收集箱 15 个，专人每日清运，垃圾送往镇县处理站，村内无垃圾堆积现象。</w:t>
      </w:r>
    </w:p>
    <w:p w14:paraId="4711859B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公共服务设施：</w:t>
      </w:r>
    </w:p>
    <w:p w14:paraId="6C2B9D7E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医疗卫生：村内有标准化卫生室 1 处，配备医护人员 2 名，可提供常见病诊疗、疫苗接种服务；</w:t>
      </w:r>
    </w:p>
    <w:p w14:paraId="2735E4A9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文化体育：2020 年建成文化广场 1 处（位于村中心，面积约 300 平方米），安装健身器材 4 件，为村民提供文娱活动空间；</w:t>
      </w:r>
    </w:p>
    <w:p w14:paraId="2FC900E7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旅游配套：2018 年建成旅游厕所 1 处，2021 年在村入口设置传统村落导览牌 1 块，标注核心景点位置。</w:t>
      </w:r>
    </w:p>
    <w:p w14:paraId="5340120D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（七）村落承载的非物质文化遗产</w:t>
      </w:r>
    </w:p>
    <w:p w14:paraId="5C8F032F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288" w:leftChars="0" w:firstLine="35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名称：棋盘顶传说、王母娘娘挂铁环传说；</w:t>
      </w:r>
    </w:p>
    <w:p w14:paraId="49840F3D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文化内涵：棋盘顶传说讲述 “刘半仙目睹星宿对弈” 的故事，体现村落与自然的关联；王母娘娘挂铁环传说追溯土丘的 “神性”，承载村民对美好生活的向往。</w:t>
      </w:r>
    </w:p>
    <w:p w14:paraId="635D5F77">
      <w:pPr>
        <w:pStyle w:val="4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相关的民俗项目</w:t>
      </w:r>
    </w:p>
    <w:p w14:paraId="202545FE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传统生活习俗：</w:t>
      </w:r>
    </w:p>
    <w:p w14:paraId="28528DA3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石碾加工：村民保留 “用石碾碾小麦、玉米” 的传统，每逢秋收后，邻里互助使用石碾，延续 “共享劳动” 的乡村伦理；</w:t>
      </w:r>
    </w:p>
    <w:p w14:paraId="21F6832E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手工技艺：部分老年村民会传统纺线、马鞍制作，纺车、马鞍等工具仍保存完好，是村落传统手工业的见证。</w:t>
      </w:r>
    </w:p>
    <w:p w14:paraId="64B08F53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490"/>
        <w:gridCol w:w="7678"/>
      </w:tblGrid>
      <w:tr w14:paraId="5F2FD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66" w:hRule="atLeast"/>
        </w:trPr>
        <w:tc>
          <w:tcPr>
            <w:tcW w:w="149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E675849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拍摄对象</w:t>
            </w:r>
          </w:p>
        </w:tc>
        <w:tc>
          <w:tcPr>
            <w:tcW w:w="767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4CAFFAD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ascii="仿宋" w:hAnsi="仿宋" w:eastAsia="仿宋" w:cs="Arial"/>
                <w:color w:val="000000"/>
                <w:kern w:val="0"/>
                <w:szCs w:val="21"/>
                <w:lang w:eastAsia="zh-Han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50800</wp:posOffset>
                  </wp:positionV>
                  <wp:extent cx="4777740" cy="3185795"/>
                  <wp:effectExtent l="0" t="0" r="3810" b="14605"/>
                  <wp:wrapTopAndBottom/>
                  <wp:docPr id="24" name="图片 12" descr="IMG_9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2" descr="IMG_956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740" cy="318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4293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49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8C5ACEB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拍摄说明</w:t>
            </w:r>
          </w:p>
        </w:tc>
        <w:tc>
          <w:tcPr>
            <w:tcW w:w="767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480EC50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  <w:lang w:val="en-US" w:eastAsia="zh-CN"/>
              </w:rPr>
              <w:t>旧纺车</w:t>
            </w:r>
          </w:p>
        </w:tc>
      </w:tr>
      <w:tr w14:paraId="0C07A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490" w:type="dxa"/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CCB160D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60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拍摄对象</w:t>
            </w:r>
          </w:p>
        </w:tc>
        <w:tc>
          <w:tcPr>
            <w:tcW w:w="767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A301A79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13970</wp:posOffset>
                  </wp:positionV>
                  <wp:extent cx="4787265" cy="3192145"/>
                  <wp:effectExtent l="0" t="0" r="13335" b="8255"/>
                  <wp:wrapTopAndBottom/>
                  <wp:docPr id="4" name="图片 13" descr="IMG_9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IMG_956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265" cy="319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7385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490" w:type="dxa"/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581B01C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拍摄说明</w:t>
            </w:r>
          </w:p>
        </w:tc>
        <w:tc>
          <w:tcPr>
            <w:tcW w:w="767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6A2B2BB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1"/>
                <w:szCs w:val="21"/>
              </w:rPr>
              <w:t>村民自制马鞍</w:t>
            </w:r>
          </w:p>
        </w:tc>
      </w:tr>
    </w:tbl>
    <w:p w14:paraId="7BD4EF00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节庆民俗：</w:t>
      </w:r>
    </w:p>
    <w:p w14:paraId="19953A20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春节 “请家堂”：除夕上午，族中长者主持 “请家堂” 仪式，挂家堂轴子、摆供品，祈求祖先保佑，仪式后全家团聚吃年夜饭；</w:t>
      </w:r>
    </w:p>
    <w:p w14:paraId="50D21B69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元宵节 “闹元宵”：正月十五组织扭秧歌、踩高跷活动，村民自发参与，在村内街巷巡演，吸引周边村民观看。</w:t>
      </w:r>
    </w:p>
    <w:p w14:paraId="1FE8DEF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（九）现状存在的问题</w:t>
      </w:r>
    </w:p>
    <w:p w14:paraId="41618A4A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传统建筑损坏严重，保护力度不足：</w:t>
      </w:r>
    </w:p>
    <w:p w14:paraId="40B095F8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12 处历史建筑中，8 处存在墙体开裂、屋顶漏雨问题，关帝庙彩绘脱落、木梁腐朽，因缺乏专业修复资金与工艺指导，未得到有效修缮；</w:t>
      </w:r>
    </w:p>
    <w:p w14:paraId="75C8FB39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8 处障碍建筑（现代水泥楼房、彩钢棚）穿插在传统建筑之间，如村中心的二层瓷砖楼房，高度、材质与周边土石建筑冲突，破坏整体风貌。</w:t>
      </w:r>
    </w:p>
    <w:p w14:paraId="359CB053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历史环境要素失管，功能逐步消失：</w:t>
      </w:r>
    </w:p>
    <w:p w14:paraId="16435C14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古井、寨墙遗址无保护措施，2 处古井因长期干涸被村民堆放杂物，寨墙残段面临风化侵蚀；</w:t>
      </w:r>
    </w:p>
    <w:p w14:paraId="1D1DF829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石磨、石碾虽仍使用，但缺乏维护，部分磨盘破损；土丘周边无标识牌，外地游客难以了解其文化内涵。</w:t>
      </w:r>
    </w:p>
    <w:p w14:paraId="3D7A734F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非遗传承面临断层，活态性不足：</w:t>
      </w:r>
    </w:p>
    <w:p w14:paraId="3F832F7F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年轻一代因外出务工、认为 “传承无收益”，不愿学习传说讲述、传统纺线等技艺，面临 “后继无人” 风险；</w:t>
      </w:r>
    </w:p>
    <w:p w14:paraId="760370DF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非遗展示空间缺失，传说故事仅靠 “口头传承”，无文字、视频记录，部分细节已出现偏差；民俗活动参与人数以老年人为主，30 岁以下村民参与率不足 10%。</w:t>
      </w:r>
    </w:p>
    <w:p w14:paraId="5E4D0E2C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4、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基础设施不完善，与传统风貌适配性差：</w:t>
      </w:r>
    </w:p>
    <w:p w14:paraId="737FCD2C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消防设施缺失，村内无消防栓、灭火器，传统土石建筑耐火性差，存在消防安全隐患；</w:t>
      </w:r>
    </w:p>
    <w:p w14:paraId="4E9C9C76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现代设施与风貌不协调，如村内塑料垃圾桶、金属宣传栏样式新颖，与传统石砌建筑风格不符；太阳能路灯灯杆设计现代，与石板路、古槐树搭配生硬。</w:t>
      </w:r>
    </w:p>
    <w:p w14:paraId="48DDE863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5、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保护管理机制不健全，村民参与度低：</w:t>
      </w:r>
    </w:p>
    <w:p w14:paraId="1B1D67EB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未成立专门的保护管理队伍，村 “两委” 兼职负责保护工作，缺乏专业知识，日常巡查流于形式，对破坏传统建筑的行为未能及时制止；</w:t>
      </w:r>
    </w:p>
    <w:p w14:paraId="10B93D3A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村民保护意识淡薄，部分村民认为 “老房子不实用”，存在擅自拆除老木门、石窗棂用于新建房屋的情况；无 “保护奖励” 机制，村民参与保护的积极性低。</w:t>
      </w:r>
    </w:p>
    <w:p w14:paraId="4B7A788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三、保护总则</w:t>
      </w:r>
    </w:p>
    <w:p w14:paraId="11CC01E3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（一）保护背景</w:t>
      </w:r>
    </w:p>
    <w:p w14:paraId="7944B92A"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 xml:space="preserve">土古堆村作为省级传统村落，拥有 “明代古建筑群、非遗传说”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核心资源，在鲁中山区传统村落选址、营造技艺、民俗传承研究中具有重要价值。目前，村落面临传统建筑损坏、非遗传承断层、基础设施适配性差等问题，为系统保护历史文化遗产、释放村落发展潜力，依据《山东省传统村落保护办法》《关于加强传统村落保护和发展的实施意见》等文件，制定本方案，实现 “保护与发展” 协同推进。</w:t>
      </w:r>
    </w:p>
    <w:p w14:paraId="66141486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（二）保护范围及要求</w:t>
      </w:r>
    </w:p>
    <w:p w14:paraId="609AF0C3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核心保护区：</w:t>
      </w:r>
    </w:p>
    <w:p w14:paraId="7A8D3C9B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范围：北至老粮仓，南至夏禹河，东至关帝庙，西至土丘，面积约 5 公顷；</w:t>
      </w:r>
    </w:p>
    <w:p w14:paraId="2F24396E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要求：禁止新建、扩建与传统风貌不符的建筑；传统建筑修缮需采用 “同材质、同工艺”（如青石砌筑、木梁修缮），不得改变原有格局；石板路、古井、古槐树等历史环境要素严禁破坏，需设立保护标识。</w:t>
      </w:r>
    </w:p>
    <w:p w14:paraId="42B051A4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建设控制地带：</w:t>
      </w:r>
    </w:p>
    <w:p w14:paraId="604C16EF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288" w:leftChars="0" w:firstLine="35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范围：核心保护区外 100 米范围内，面积约 8 公顷；</w:t>
      </w:r>
    </w:p>
    <w:p w14:paraId="238EE29D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要求：新建建筑层数控制为 1 层，檐口高度＜4 米；建筑材质需使用青石、红砖，屋顶采用红瓦，禁止使用瓷砖、彩钢瓦；新建建筑需退让核心保护区边界 5 米，避免遮挡传统景观视线。</w:t>
      </w:r>
    </w:p>
    <w:p w14:paraId="6C220E8C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环境协调区：</w:t>
      </w:r>
    </w:p>
    <w:p w14:paraId="240A8C2F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范围：建设控制地带外的村域范围，含周边山林、农田、夏禹河上下游；</w:t>
      </w:r>
    </w:p>
    <w:p w14:paraId="70FFC7F1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要求：严禁大面积开荒、建设养殖场；夏禹河沿岸禁止倾倒垃圾，需种植本地水生植物（如芦苇）改善水质；山林区域禁止乱砍滥伐，需补种侧柏、柿子树等乡土树种，恢复 “村 - 田 - 山 - 河” 的生态格局。</w:t>
      </w:r>
    </w:p>
    <w:p w14:paraId="3F7F84E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（三）保护目标</w:t>
      </w:r>
    </w:p>
    <w:p w14:paraId="0D806A99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近期目标（2025-2026 年）：</w:t>
      </w:r>
    </w:p>
    <w:p w14:paraId="13EA9182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完成传统村落档案建档（含建筑、非遗、历史环境要素），每年更新 1 次；</w:t>
      </w:r>
    </w:p>
    <w:p w14:paraId="1F9A0C38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划定核心保护区、建设控制地带、环境协调区，设立界桩与标识牌；</w:t>
      </w:r>
    </w:p>
    <w:p w14:paraId="7460F5C4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完成 5 处濒危历史建筑（关帝庙、2 处老石屋）的抢险修复，清理核心区内 3 处障碍建筑。</w:t>
      </w:r>
    </w:p>
    <w:p w14:paraId="40BFFEBC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中期目标（2027-2029 年）：</w:t>
      </w:r>
    </w:p>
    <w:p w14:paraId="074C39F6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实现核心区风貌统一管控，新建建筑 100% 符合风貌要求；</w:t>
      </w:r>
    </w:p>
    <w:p w14:paraId="037303A9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建立非遗传习所 1 处，培养年轻传承人 5 名，非遗活动参与率提升至 50%；</w:t>
      </w:r>
    </w:p>
    <w:p w14:paraId="6228902D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完善基础设施，新增消防栓 3 处、传统风格垃圾桶 20 个，完成石板路全段修复。</w:t>
      </w:r>
    </w:p>
    <w:p w14:paraId="0AD3F3D2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远期目标（2030-2034 年）：</w:t>
      </w:r>
    </w:p>
    <w:p w14:paraId="2D4279DA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构建 “保护 - 传承 - 利用” 良性循环体系，打造 “鲁中石头村落 + 非遗传说” 特色品牌；</w:t>
      </w:r>
    </w:p>
    <w:p w14:paraId="11FFD8D2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发展乡村旅游，实现年接待游客 5 万人次，村民人均年收入提升至 1.5 万元；</w:t>
      </w:r>
    </w:p>
    <w:p w14:paraId="1FA0FDA1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成为 “齐鲁山地传统村落活态样本”，助力淄博市乡村文化振兴与全域旅游发展。</w:t>
      </w:r>
    </w:p>
    <w:p w14:paraId="2FE6C88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（四）保护原则</w:t>
      </w:r>
    </w:p>
    <w:p w14:paraId="1EEB84DB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真实性与整体性原则：</w:t>
      </w:r>
    </w:p>
    <w:p w14:paraId="02267453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-12" w:leftChars="0" w:firstLine="65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保护传统建筑的原始结构、材质与工艺，如关帝庙木梁修复需保留原有榫卯结构，石板路修补需选用本地青石；</w:t>
      </w:r>
    </w:p>
    <w:p w14:paraId="06A894C3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将建筑、街巷、历史环境要素、非遗视为有机整体，避免碎片化保护，如非遗传说传承需结合土丘、棋盘顶等空间载体，增强关联性。</w:t>
      </w:r>
    </w:p>
    <w:p w14:paraId="0C8BB11D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活态传承原则：</w:t>
      </w:r>
    </w:p>
    <w:p w14:paraId="4AF51A7D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保留村落原有生活场景，如延续 “石碾加工”“请家堂” 等习俗，避免将村落改造为 “静态博物馆”；</w:t>
      </w:r>
    </w:p>
    <w:p w14:paraId="0DD33EF3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激活非遗活力，通过 “传说故事会”“纺线体验” 等活动，让非遗融入村民日常与旅游体验，而非仅存于档案。</w:t>
      </w:r>
    </w:p>
    <w:p w14:paraId="196D9BF8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以人为中心原则：</w:t>
      </w:r>
    </w:p>
    <w:p w14:paraId="4AE5582E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优先保障村民生活需求，在修复传统建筑时，同步改善内部采光、保温设施，提升居住舒适度；</w:t>
      </w:r>
    </w:p>
    <w:p w14:paraId="6BA8D87A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引入 “保护奖励” 机制，对参与建筑修缮、非遗传承的村民给予资金补贴，让村民成为保护的 “受益者与主动参与者”。</w:t>
      </w:r>
    </w:p>
    <w:p w14:paraId="352ABD7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（五）保护内容</w:t>
      </w:r>
    </w:p>
    <w:p w14:paraId="049CB324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宏观层面（村域整体保护）：</w:t>
      </w:r>
    </w:p>
    <w:p w14:paraId="729C9574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生态修复：清理夏禹河淤积段，种植水生植物；在环境协调区补种乡土树种，恢复山林植被；</w:t>
      </w:r>
    </w:p>
    <w:p w14:paraId="7D966C3B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格局保护：保护 “蒲扇形” 聚落形态与 “三山一丘一河” 的自然格局，禁止改变村落整体空间走向。</w:t>
      </w:r>
    </w:p>
    <w:p w14:paraId="1723A760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中观层面（村落内部空间保护）：</w:t>
      </w:r>
    </w:p>
    <w:p w14:paraId="1FF2E9FC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街巷修复：修复石板路破损段落，清理街巷两侧现代线缆，采用 “地下敷设” 方式隐藏；拆除沿街临时棚屋，开辟小型绿化空间；</w:t>
      </w:r>
    </w:p>
    <w:p w14:paraId="3F6111C7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公共空间活化：将村中心闲置老校舍改造为 “传统村落文化展示馆”，展示老照片、传统工具；在土丘周边设置休憩石凳，打造村民议事、游客停留的公共空间。</w:t>
      </w:r>
    </w:p>
    <w:p w14:paraId="1F9B30C1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微观层面（具体要素保护）：</w:t>
      </w:r>
    </w:p>
    <w:p w14:paraId="52AACEB6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建筑修缮：对历史建筑采用 “修旧如故”，传统风貌建筑维护外观协调，一般建筑保留，障碍建筑拆除；</w:t>
      </w:r>
    </w:p>
    <w:p w14:paraId="34349BFC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历史环境要素保护：为古井、古槐树设立保护护栏与标识牌，修复古石桥、炮楼遗址；</w:t>
      </w:r>
    </w:p>
    <w:p w14:paraId="1D89B4A0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非遗传承：记录非遗传说文字与视频，建立数字化档案；设立非遗传习所，邀请传承人定期授课；</w:t>
      </w:r>
    </w:p>
    <w:p w14:paraId="01A57A92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基础设施改善：新增消防设施，更换与传统风貌协调的垃圾桶、路灯，提升村内排水能力。</w:t>
      </w:r>
    </w:p>
    <w:p w14:paraId="27B7CC7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四、保护对象及措施</w:t>
      </w:r>
    </w:p>
    <w:p w14:paraId="1B97A25C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（一）村落空间格局和历史风貌的保护</w:t>
      </w:r>
    </w:p>
    <w:p w14:paraId="7F80ADCE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640" w:left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1. 整体格局刚性管控</w:t>
      </w:r>
    </w:p>
    <w:p w14:paraId="6AE1D807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严格保护村落 “三山一丘一河、蒲扇形分布” 的核心格局，禁止改变夏禹河河道走向、土丘空间位置及 “树枝状” 街巷骨架。核心保护区建筑密度控制在 30% 以内，建设控制地带不超过 25%，预留充足公共空间与绿化用地。保护 “村 - 田 - 山 - 河” 生态廊道，禁止在夏禹河沿岸开垦种植、填埋河道，维护山水与村落的视线通廊，环境协调区内不得建设高大建筑遮挡山体景观。</w:t>
      </w:r>
    </w:p>
    <w:p w14:paraId="2ABCAA94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2. 生态风貌系统修复</w:t>
      </w:r>
    </w:p>
    <w:p w14:paraId="6EEBAE91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河道治理：清理夏禹河淤积段 1200 米，采用本地青石砌筑生态驳岸，保留自然岸线形态；在河道沿岸种植芦苇、菖蒲等水生植物净化水质，投放本地鱼类改善水体生态；设置石质护栏（高度 0.8 米），防止游客与村民落水，在关键节点建设小型亲水平台。</w:t>
      </w:r>
    </w:p>
    <w:p w14:paraId="57258C93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山体与植被养护：在环境协调区补种侧柏、柿子树、山楂树等乡土树种，提升山林植被覆盖率；对村西土丘周边植被进行专项养护，保留松柏、红叶等特色植物，修复土丘坡面水土流失区域；建立山林巡护制度，禁止乱砍滥伐、开山采石等破坏行为。</w:t>
      </w:r>
    </w:p>
    <w:p w14:paraId="4BA9EBF2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风貌协调整治：核心区内 8 处障碍建筑（现代水泥楼房、彩钢棚屋）分阶段拆除或改造，2026 年底前完成 3 处核心节点障碍建筑拆除，原址改建为传统风格绿化空间或民俗体验点；建设控制地带内 58 处一般建筑，统一进行立面改造，更换为青石墙面、红瓦屋顶，拆除现代风格门窗，更换为木质格栅窗；规范村内户外设施，塑料垃圾桶、金属宣传栏全部更换为石质或木质传统样式，太阳能路灯采用木质灯杆（高度 2.2 米），与传统风貌协调。</w:t>
      </w:r>
    </w:p>
    <w:p w14:paraId="543F0DBE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640" w:left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3. 环境秩序长效管理</w:t>
      </w:r>
    </w:p>
    <w:p w14:paraId="1DA839ED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建立 “户分类、村收集、镇转运” 垃圾处理机制，增设石质垃圾分类收集点 3 处，配备专职保洁员 1 名，实现日产日清。整治街巷两侧 “乱堆乱放”，划定专门杂物堆放区，采用石砌围挡遮挡；禁止在村内饲养家禽家畜，确需养殖的集中设置养殖区（远离核心保护区）。规范户外广告与招牌，全部采用木质或石质材料，字体与样式贴合传统风貌，禁止使用霓虹灯、大型喷绘广告。</w:t>
      </w:r>
    </w:p>
    <w:p w14:paraId="7006C35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（二）传统街巷空间保护</w:t>
      </w:r>
    </w:p>
    <w:p w14:paraId="7619A4A3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 街巷分类精准保护</w:t>
      </w:r>
    </w:p>
    <w:p w14:paraId="5DD0C6DF">
      <w:pPr>
        <w:pStyle w:val="18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重点保护类街巷（石板路，总长 800 米）：严格保留原有走向、宽度与石板肌理，破损石板选用本地青石 “同材质、同工艺” 补砌，禁止使用水泥勾缝。清理街巷两侧架空线缆，全部地下敷设；拆除违规搭建的简易棚屋，开辟 2 处小型绿化节点与休憩空间，配备石质座椅、石桌。完善排水设施，修建石砌明沟（宽 0.3 米、深 0.4 米），清理现有堵塞沟渠，确保排水通畅。</w:t>
      </w:r>
    </w:p>
    <w:p w14:paraId="55BDA49E">
      <w:pPr>
        <w:pStyle w:val="18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整治改造类街巷（水泥路面街巷，12 条总长 2000 米）：在路面两侧铺设青石路缘石，墙面刷白后绘制 “棋盘顶传说”“王母娘娘挂铁环” 等传统民俗图案；更换现代风格门窗为木质样式，商铺招牌统一改为石质或木质传统招牌。安装仿古木质路灯 20 盏，间距 30 米，采用暖光光源，避免强光污染；在街巷节点设置消防栓、灭火器等消防设施，采用隐蔽式安装。</w:t>
      </w:r>
    </w:p>
    <w:p w14:paraId="4ECED245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 街巷节点特色营造</w:t>
      </w:r>
    </w:p>
    <w:p w14:paraId="7B587118">
      <w:pPr>
        <w:pStyle w:val="18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关帝庙节点：修复庙前石台阶，采用 “干砌石” 工艺补砌破损部分；设置石质香炉与祈福牌，打造非遗传说展示小广场；在周边民居墙面绘制传说故事壁画，配套设置木质解说牌，介绍关帝庙历史与传说内涵。</w:t>
      </w:r>
    </w:p>
    <w:p w14:paraId="5FA6F617">
      <w:pPr>
        <w:pStyle w:val="18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土丘节点：修建青石围栏（半径 3 米），设立传说故事标识牌（石质底座、木质面板）；在周边种植松柏、红叶植物，还原 “神圣地标” 氛围；增设石质休憩座椅，打造村民议事与游客打卡的核心节点。</w:t>
      </w:r>
    </w:p>
    <w:p w14:paraId="3E0129EB">
      <w:pPr>
        <w:pStyle w:val="18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石板路转角节点：保留原有石磨、石碾等传统器具，打造 “民俗体验节点”，供游客参与粮食加工体验；在节点周边种植山楂树、花椒树等乡土树种，设置木质导览标识牌，标注景点名称、距离与方向。</w:t>
      </w:r>
    </w:p>
    <w:p w14:paraId="7851D316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3. 配套设施优化提升</w:t>
      </w:r>
    </w:p>
    <w:p w14:paraId="71857C91">
      <w:pPr>
        <w:pStyle w:val="18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街巷照明：核心街巷全部采用仿古木质灯杆，高度 2.2-2.5 米，与街巷尺度协调；次要街巷采用太阳能仿古灯，确保夜间照明全覆盖，无照明死角。</w:t>
      </w:r>
    </w:p>
    <w:p w14:paraId="7ADF17A4">
      <w:pPr>
        <w:pStyle w:val="18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导览系统：在核心街巷设置 3 处石质导览地图，标注核心景点、非遗体验点、公共服务设施位置；在重要建筑、历史环境要素旁设置解说牌，采用木质或石质材料，介绍其历史背景、文化内涵。</w:t>
      </w:r>
    </w:p>
    <w:p w14:paraId="359C47BC">
      <w:pPr>
        <w:pStyle w:val="18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无障碍设施：在主街巷平缓路段设置简易无障碍坡道（坡度≤1:12），在休憩节点配备无障碍座椅，方便老年游客与特殊群体出行。</w:t>
      </w:r>
    </w:p>
    <w:p w14:paraId="67DC2D9D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（三）村落传统建筑保护</w:t>
      </w:r>
    </w:p>
    <w:p w14:paraId="104424D0">
      <w:pPr>
        <w:pStyle w:val="18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建筑分类保护措施：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123"/>
        <w:gridCol w:w="1815"/>
        <w:gridCol w:w="4620"/>
        <w:gridCol w:w="1708"/>
      </w:tblGrid>
      <w:tr w14:paraId="7BA457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23" w:type="dxa"/>
            <w:shd w:val="clear" w:color="auto" w:fill="BEBEBE" w:themeFill="background1" w:themeFillShade="BF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BEAFAF3">
            <w:pPr>
              <w:pStyle w:val="18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建筑类别</w:t>
            </w:r>
          </w:p>
        </w:tc>
        <w:tc>
          <w:tcPr>
            <w:tcW w:w="1815" w:type="dxa"/>
            <w:shd w:val="clear" w:color="auto" w:fill="BEBEBE" w:themeFill="background1" w:themeFillShade="BF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6476E2E">
            <w:pPr>
              <w:pStyle w:val="18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保护对象</w:t>
            </w:r>
          </w:p>
        </w:tc>
        <w:tc>
          <w:tcPr>
            <w:tcW w:w="4620" w:type="dxa"/>
            <w:shd w:val="clear" w:color="auto" w:fill="BEBEBE" w:themeFill="background1" w:themeFillShade="BF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2A7181A">
            <w:pPr>
              <w:pStyle w:val="18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保护措施</w:t>
            </w:r>
          </w:p>
        </w:tc>
        <w:tc>
          <w:tcPr>
            <w:tcW w:w="1708" w:type="dxa"/>
            <w:shd w:val="clear" w:color="auto" w:fill="BEBEBE" w:themeFill="background1" w:themeFillShade="BF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FF83452">
            <w:pPr>
              <w:pStyle w:val="18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实施时间</w:t>
            </w:r>
          </w:p>
        </w:tc>
      </w:tr>
      <w:tr w14:paraId="6D97C2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23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61BAE0C">
            <w:pPr>
              <w:pStyle w:val="18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保护建筑</w:t>
            </w:r>
          </w:p>
        </w:tc>
        <w:tc>
          <w:tcPr>
            <w:tcW w:w="1815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99FD7E0">
            <w:pPr>
              <w:pStyle w:val="18"/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明代古建筑群（3000㎡）、关帝庙、古石桥、炮楼遗址</w:t>
            </w:r>
          </w:p>
        </w:tc>
        <w:tc>
          <w:tcPr>
            <w:tcW w:w="462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38DC149">
            <w:pPr>
              <w:pStyle w:val="18"/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委托文物修复专业团队修缮，严格遵循 “修旧如旧” 原则，使用传统材料（青石、糯米灰浆、木材、红瓦）与工艺；关帝庙重点修复腐朽木梁、补绘彩绘、加固墙体，保留祭祀功能，内部增设非遗传说展示墙；古石桥采用传统工艺修补桥身裂缝，禁止重型车辆通行，设立保护标识；炮楼遗址清理周边杂草，用青石勾勒遗址轮廓，设置历史介绍牌；建立定期巡查制度，每年维护 1 次。</w:t>
            </w:r>
          </w:p>
        </w:tc>
        <w:tc>
          <w:tcPr>
            <w:tcW w:w="170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E8FB870">
            <w:pPr>
              <w:pStyle w:val="18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2025-2026 年</w:t>
            </w:r>
          </w:p>
        </w:tc>
      </w:tr>
      <w:tr w14:paraId="5BE3A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23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546E3C3">
            <w:pPr>
              <w:pStyle w:val="18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历史建筑</w:t>
            </w:r>
          </w:p>
        </w:tc>
        <w:tc>
          <w:tcPr>
            <w:tcW w:w="1815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FF508EA">
            <w:pPr>
              <w:pStyle w:val="18"/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12 处明清 - 民国建筑（四合院门、老石屋等）</w:t>
            </w:r>
          </w:p>
        </w:tc>
        <w:tc>
          <w:tcPr>
            <w:tcW w:w="462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FA47AAF">
            <w:pPr>
              <w:pStyle w:val="18"/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坚持 “只修不建，修旧如故”，修复墙体、屋顶时使用传统石砌工艺与材料；保留建筑内部特色装饰（石质门枕、木质窗棂、墀头砖雕）；允许内部增设厨卫、改善采光，但需经村保护专班审核，不得破坏建筑结构与外立面；对破损严重的民居优先抢险修缮，防止坍塌；建立建筑保护档案，记录修缮情况与现状。</w:t>
            </w:r>
          </w:p>
        </w:tc>
        <w:tc>
          <w:tcPr>
            <w:tcW w:w="170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5FF78AE">
            <w:pPr>
              <w:pStyle w:val="18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2026-2027 年</w:t>
            </w:r>
          </w:p>
        </w:tc>
      </w:tr>
      <w:tr w14:paraId="148D0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23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5DF2045">
            <w:pPr>
              <w:pStyle w:val="18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传统风貌建筑</w:t>
            </w:r>
          </w:p>
        </w:tc>
        <w:tc>
          <w:tcPr>
            <w:tcW w:w="1815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F04CAF4">
            <w:pPr>
              <w:pStyle w:val="18"/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35 处建国至 1980 年石头房屋</w:t>
            </w:r>
          </w:p>
        </w:tc>
        <w:tc>
          <w:tcPr>
            <w:tcW w:w="462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17D4AEC">
            <w:pPr>
              <w:pStyle w:val="18"/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保持外立面传统特征（青石墙体、红瓦坡屋顶），修复破损门窗与墙体；允许内部改造以改善居住条件（如铺设地砖、安装现代供暖设备），但不得破坏建筑主体结构；禁止改变建筑高度与体量，与周边风貌协调。</w:t>
            </w:r>
          </w:p>
        </w:tc>
        <w:tc>
          <w:tcPr>
            <w:tcW w:w="170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B900E04">
            <w:pPr>
              <w:pStyle w:val="18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2027-2028 年</w:t>
            </w:r>
          </w:p>
        </w:tc>
      </w:tr>
      <w:tr w14:paraId="5C748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23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1C2AC07">
            <w:pPr>
              <w:pStyle w:val="18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障碍建筑</w:t>
            </w:r>
          </w:p>
        </w:tc>
        <w:tc>
          <w:tcPr>
            <w:tcW w:w="1815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2278BDF">
            <w:pPr>
              <w:pStyle w:val="18"/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8 处现代水泥楼房、彩钢瓦棚屋</w:t>
            </w:r>
          </w:p>
        </w:tc>
        <w:tc>
          <w:tcPr>
            <w:tcW w:w="462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6481674">
            <w:pPr>
              <w:pStyle w:val="18"/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2 处二层水泥楼房予以拆除，原址恢复为绿地或建设传统风格公共设施；6 处彩钢瓦棚屋改造为青石墙体、红瓦屋顶的储物间或民俗体验点；拆除产生的建筑废料回收利用，用于街巷铺装或景观小品建设。</w:t>
            </w:r>
          </w:p>
        </w:tc>
        <w:tc>
          <w:tcPr>
            <w:tcW w:w="170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6377FD2">
            <w:pPr>
              <w:pStyle w:val="18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2025-2026 年</w:t>
            </w:r>
          </w:p>
        </w:tc>
      </w:tr>
    </w:tbl>
    <w:p w14:paraId="52BF4848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 具体修缮技术要求</w:t>
      </w:r>
    </w:p>
    <w:p w14:paraId="435C8B4B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墙体修缮：干砌石墙体开裂、松动部位，采用 “勾角压缝” 工艺重新砌筑，选用与原有石块尺寸、颜色相近的青石；砂浆砌筑墙体修复时，去除现代砂浆，改用传统糯米灰浆（糯米 + 石灰 + 细沙）；墙体修复后涂刷传统桐油增强防水性与耐久性；坍塌墙体重建严格按原有形制施工，不得改变建筑格局。</w:t>
      </w:r>
    </w:p>
    <w:p w14:paraId="03C24DB1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屋顶修缮：红瓦屋顶破损瓦片更换为同规格旧瓦，屋脊装饰恢复传统样式；木质梁、柱腐朽部分，更换为同材质（松木、榆木）旧木料，保留原有榫卯结构，必要时采用碳纤维加固（经文物部门审批）；部分保留草屋顶的建筑，更换为当年新采本地茅草，铺设厚度不小于 15 厘米，每隔 3 年维护 1 次。</w:t>
      </w:r>
    </w:p>
    <w:p w14:paraId="24F09A37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门窗修缮：木质门窗腐朽、破损部分更换为同材质木料，保留原有样式与工艺；窗棂缺失的，按传统纹样复原；门窗涂刷传统桐油或清漆，保持木质本色，禁止使用现代油漆；现有现代门窗逐步更换为木质格栅窗，确保风貌协调。</w:t>
      </w:r>
    </w:p>
    <w:p w14:paraId="05393765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内部改造：传统建筑内部增设厨卫设施时，集中设置在建筑一侧，避免破坏主体结构；卫生间采用节水洁具，污水接入村内污水处理管网；厨房安装抽油烟机，烟囱采用传统砖雕样式，隐藏于墙体或屋顶侧面，不破坏建筑外立面；内部地面可铺设青石板或仿古地砖，与传统风格协调。</w:t>
      </w:r>
    </w:p>
    <w:p w14:paraId="5C3AE007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保护资金保障：申请省级传统村落保护专项资金，用于历史建筑抢险修复；</w:t>
      </w:r>
    </w:p>
    <w:p w14:paraId="446B9116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（四）高度控制规划</w:t>
      </w:r>
    </w:p>
    <w:p w14:paraId="262C94A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 核心保护区</w:t>
      </w:r>
    </w:p>
    <w:p w14:paraId="0078AD5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建筑高度严格保持现状，最高不超过 4 米（一层），檐口高度不超过 3.5 米；禁止建设二层及以上建筑，现有二层建筑（共 3 处）需降层处理或拆除上层保留底层；宗教建筑、公共建筑按原有形制控制高度，不得擅自加高；建筑屋顶坡度控制在 25-30 度，与传统民居屋顶坡度协调。</w:t>
      </w:r>
    </w:p>
    <w:p w14:paraId="2E1E6CE9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 建设控制地带</w:t>
      </w:r>
    </w:p>
    <w:p w14:paraId="74E5B28F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新建建筑层数≤1 层，檐口高度不超过 5.5 米，建筑高度不超过 6 米；现有不符合高度要求的建筑，2028 年底前完成降层或立面改造；公共建筑（如民俗体验点、配套服务设施）建筑面积控制在 100 平方米以内，体量小巧，避免遮挡核心区景观；建筑间距不小于 1.2 倍建筑高度，确保通风采光与景观通透性。</w:t>
      </w:r>
    </w:p>
    <w:p w14:paraId="7B5B5A9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3. 环境协调区</w:t>
      </w:r>
    </w:p>
    <w:p w14:paraId="63FBE8EB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建筑高度不超过 8 米，层数不超过 2 层；农业生产辅助设施高度不超过 5 米，旅游服务设施高度不超过 6 米；村西土丘、关帝庙周边建筑高度不超过 4 米，避免遮挡核心景观；建筑布局分散，不得形成集中连片建筑组团，破坏山体与村落的空间关系。</w:t>
      </w:r>
    </w:p>
    <w:p w14:paraId="5102A10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（五）历史环境要素保护</w:t>
      </w:r>
    </w:p>
    <w:p w14:paraId="6FBB78C3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 自然要素保护</w:t>
      </w:r>
    </w:p>
    <w:p w14:paraId="7741D861">
      <w:pPr>
        <w:pStyle w:val="18"/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古槐树（5 棵，树龄超 100 年）：建立电子档案，记录树龄、生长状况、养护记录；聘请林业专家每年开展 1 次全面体检，定期进行病虫害防治、修剪、施肥；设置青石保护栏（距离树干不小于 2.5 米），禁止在护栏内堆放杂物、倾倒污水、焚烧纸钱；在古树旁设置保护说明牌，介绍树龄、历史背景及相关传说。</w:t>
      </w:r>
    </w:p>
    <w:p w14:paraId="6BCF6E50">
      <w:pPr>
        <w:pStyle w:val="18"/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古井（2 处）：对古井进行清淤整治，清除井底淤泥与杂物，修复石质井台，更换破损井栏（采用本地青石制作）；每季度检测水质，确保符合安全标准；在井口设置木质井盖（带通风孔），防止杂物落入；划定古井保护范围（泉周 10 米内），禁止建设污染设施；将 1 处古井改造为 “景观井”，周边铺设青石板、种植苔藓，增设石质取水设施与休憩座椅，供游客体验传统取水方式。</w:t>
      </w:r>
    </w:p>
    <w:p w14:paraId="3F3C4798">
      <w:pPr>
        <w:pStyle w:val="18"/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古河道（夏禹河支流，2 处）：清理淤积泥沙与垃圾，修复坍塌堤岸，采用本地青石砌筑；在河道内设置生态跌水，提升水体流动性；沿岸种植垂柳、芦苇等乡土植物，打造 “绿树映河” 景观；禁止向河道排放生活污水、倾倒垃圾，确保水质清洁。</w:t>
      </w:r>
    </w:p>
    <w:p w14:paraId="0005D8CA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 人文要素保护</w:t>
      </w:r>
    </w:p>
    <w:p w14:paraId="7E5E220F">
      <w:pPr>
        <w:pStyle w:val="18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关帝庙：修复墙体开裂部位、补绘彩绘、更换腐朽木梁，采用传统糯米灰浆进行墙体加固；保留祭祀功能，在庙内设置 “非遗传说展示墙”，展示 “王母娘娘挂铁环” 传说故事与相关民俗；建立定期巡查维护制度，每年开展 1 次全面维护。</w:t>
      </w:r>
    </w:p>
    <w:p w14:paraId="0385B5BD">
      <w:pPr>
        <w:pStyle w:val="18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古石桥（清末）：采用传统石砌工艺修补桥身裂缝，加固桥体结构；禁止重型车辆通行，在桥头设立标识牌，标注建造年代、历史背景及保护要求；清理桥周边杂草与杂物，在桥两侧种植紫藤等攀援植物，打造 “古桥映景” 节点。</w:t>
      </w:r>
    </w:p>
    <w:p w14:paraId="7D8BB448">
      <w:pPr>
        <w:pStyle w:val="18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炮楼遗址：清理遗址内垃圾、杂草，用青石勾勒遗址轮廓，设置保护栏（高度 1.2 米）与说明牌，介绍其近代历史价值与相关事件；在遗址周边建设小型休憩平台，配备石质座椅，供游客了解历史、远眺村落风貌，禁止破坏性开发与攀爬。</w:t>
      </w:r>
    </w:p>
    <w:p w14:paraId="4BEA23B5">
      <w:pPr>
        <w:pStyle w:val="18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石磨、石碾（5 处）：对石磨、石碾进行清理修复，去除表面污垢、青苔，修复破损部位（采用青石补砌）；定期涂抹润滑油，确保可正常使用；在周边设置 “传统加工体验” 标识牌，组织村民定期使用石碾加工粮食（如春节前加工小米、玉米），举办 “石碾体验活动”，让游客参与传统农耕生活；在石磨、石碾周边建设小型休憩空间（面积 15 平方米 / 处），配备石桌、石凳，种植月季、金银花等乡土花卉。</w:t>
      </w:r>
    </w:p>
    <w:p w14:paraId="6FA3652A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3. 传说关联要素保护</w:t>
      </w:r>
    </w:p>
    <w:p w14:paraId="41DF3E4E">
      <w:pPr>
        <w:pStyle w:val="18"/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村西土丘（“王母娘娘挂铁环” 传说载体）：对土丘坡面进行水土流失治理，种植乡土植被加固坡面；完善青石围栏，设立文化展示牌，详细介绍传说故事、历史渊源及村民供奉习俗；在土丘周边设置祈福平台，配备石质供桌、香炉，保留村民逢年过节集会供奉的传统功能；结合非遗传说传承，组织 “土丘传说故事会”，增强文化氛围。</w:t>
      </w:r>
    </w:p>
    <w:p w14:paraId="629475FE">
      <w:pPr>
        <w:pStyle w:val="18"/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棋盘顶（“刘半仙对弈” 传说载体）：清理场地内杂草、乱石，采用青石铺设简易步道；设立传说故事标识牌，搭配插画展示传说场景；在周边设置观景座椅，供游客休憩、聆听传说，禁止大规模建设旅游设施，保持原生态风貌。</w:t>
      </w:r>
    </w:p>
    <w:p w14:paraId="148BB5D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（六）非物质文化遗产的保护</w:t>
      </w:r>
    </w:p>
    <w:p w14:paraId="4F3379DD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 传承人培养与保障</w:t>
      </w:r>
    </w:p>
    <w:p w14:paraId="50EE3BA3">
      <w:pPr>
        <w:pStyle w:val="18"/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普查建档：对现有非遗传说持有者、传统技艺从业者（纺线、马鞍制作）进行普查登记，建立个人档案，记录技艺流程、传承谱系、代表作品等；对 “棋盘顶传说”“王母娘娘挂铁环传说” 进行文字、音频、视频记录，编辑整理成《土古堆村民间故事集》。</w:t>
      </w:r>
    </w:p>
    <w:p w14:paraId="7BEB9B4D">
      <w:pPr>
        <w:pStyle w:val="18"/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传习保障：将村内闲置民国民居（约 100 平方米）改造为 “土古堆村非遗传习所”，分为传说展示区、传统技艺体验区 2 个功能区，配备必要的工具、材料（如纺车、马鞍制作工具、红纸、剪刀）；为传承人提供每月 500 元传承补贴，鼓励其开展传习活动；组织传承人参加省、市非遗展演活动（如 “淄博非遗博览会”），提升技艺水平与知名度。</w:t>
      </w:r>
    </w:p>
    <w:p w14:paraId="773B28F6">
      <w:pPr>
        <w:pStyle w:val="18"/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人才培养：选拔 10 名 30-50 岁村民作为非遗传承人，与老艺人签订 “师徒协议”，每月开展 2 次培训，确保技艺传承；在村内中小学开展非遗进校园活动，邀请传承人授课，培养青少年保护与传承意识；鼓励年轻传承人创新，将传统技艺与现代设计结合，开发文创产品。</w:t>
      </w:r>
    </w:p>
    <w:p w14:paraId="0BD7788E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 非遗活态展示与体验</w:t>
      </w:r>
    </w:p>
    <w:p w14:paraId="0338691B">
      <w:pPr>
        <w:pStyle w:val="18"/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传习所运营：非遗传习所每周六、周日开放，由传承人现场演示传说讲述、纺线、马鞍制作基础工艺，游客可参与剪纸创作、传统技艺体验等活动，收取合理体验费用；在传习所设置展示柜，展示非遗作品、制作工具、历史照片等，增强游客对非遗的了解。</w:t>
      </w:r>
    </w:p>
    <w:p w14:paraId="6A60A60A">
      <w:pPr>
        <w:pStyle w:val="18"/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民俗活动提升：每年春节期间举办 “非遗传说故事会”，邀请传承人讲述传说故事，组织村民编排传说情景剧；元宵节 “闹元宵” 活动中增加非遗展示、传统技艺表演、民俗体验环节，扩大活动规模与影响力；结合 “请家堂” 习俗，开发 “传统民俗体验套餐”，让游客参与挂家堂轴子、摆供品等仪式，感受传统宗族文化。</w:t>
      </w:r>
    </w:p>
    <w:p w14:paraId="734C1FA9">
      <w:pPr>
        <w:pStyle w:val="18"/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媒体传播：拍摄非遗纪录片（如《土古堆村的传说》《传统纺线技艺》），在村内文化展馆、旅游平台（抖音、小红书）播放；邀请媒体到村采访报道，提升非遗文化知名度与影响力。</w:t>
      </w:r>
    </w:p>
    <w:p w14:paraId="2EA2B269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3. 非遗产品开发与推广</w:t>
      </w:r>
    </w:p>
    <w:p w14:paraId="54EC5CEA">
      <w:pPr>
        <w:pStyle w:val="18"/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文创产品开发：以 “棋盘顶传说”“王母娘娘挂铁环传说” 为主题，开发书签、装饰画、明信片、手机挂件等剪纸类产品；将传统纺线技艺与现代设计结合，开发手工布艺制品（如钱包、香囊）；设计 “土丘”“古桥”“古槐树” 等主题旅游纪念品，融入村落特色元素。</w:t>
      </w:r>
    </w:p>
    <w:p w14:paraId="7CF5CFC8">
      <w:pPr>
        <w:pStyle w:val="18"/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销售渠道拓展：在村内设置非遗产品销售点 2 处（非遗传习所、村入口游客服务点），统一管理、统一定价；与周边景区、乡村旅游点合作，设立销售专柜；通过电商平台（淘宝、拼多多、抖音小店）销售非遗文创产品，拍摄产品制作视频，进行线上推广；鼓励村民成立 “土古堆村非遗产业合作社”，统一组织生产、包装、销售，保障传承人收益。</w:t>
      </w:r>
    </w:p>
    <w:p w14:paraId="537B0EC7">
      <w:pPr>
        <w:pStyle w:val="18"/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品牌建设：申请 “土古堆传说”“土古堆传统纺线” 等商标，提升产品知名度与附加值；参加各类旅游商品博览会、非遗展销会，展示推广非遗产品；通过网红打卡、直播带货等方式，打造非遗品牌，扩大市场影响力。</w:t>
      </w:r>
    </w:p>
    <w:p w14:paraId="34DA0AA1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4. 民间文学与民俗活动传承</w:t>
      </w:r>
    </w:p>
    <w:p w14:paraId="019B8DC9">
      <w:pPr>
        <w:pStyle w:val="18"/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民间文学保护：组织专人对非遗传说进行系统整理，形成文字、音频、视频多维度档案，存入淄川区档案馆；编辑出版《土古堆村民间故事集》，在村内文化展馆、非遗传习所设置专门展示区；将传说故事融入旅游解说，在相关景点设置解说牌，由导游或村民讲解员现场讲述，增强旅游文化内涵。</w:t>
      </w:r>
    </w:p>
    <w:p w14:paraId="5D49BA68">
      <w:pPr>
        <w:pStyle w:val="18"/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8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民俗活动创新：在 “请家堂”“闹元宵” 等传统民俗活动中融入现代元素，增加摄影比赛、短视频创作等环节，吸引年轻人参与；结合乡村旅游，设计 “非遗体验游” 线路，串联非遗传习所、土丘、关帝庙等节点，让游客深度体验传说讲述、传统技艺、民俗活动，延长停留时间；定期组织民俗活动培训，让年轻村民掌握活动组织与表演技巧，确保民俗活动持续传承。</w:t>
      </w:r>
    </w:p>
    <w:p w14:paraId="4F15EA78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五、保障机制</w:t>
      </w:r>
    </w:p>
    <w:p w14:paraId="7E4EC2F2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（一）强化组织领导</w:t>
      </w:r>
    </w:p>
    <w:p w14:paraId="32ACCB57"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成立 “寨里镇土古堆村传统村落保护工作专班”，由镇长任组长，分管文旅、住建的副镇长任副组长，镇文旅站、住建所、财政所、自然资源所及土古堆村党支部书记为成员。专班职责包括：</w:t>
      </w:r>
    </w:p>
    <w:p w14:paraId="5BC6892C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288" w:leftChars="0" w:firstLine="35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制定年度保护工作计划，协调解决保护中的问题；</w:t>
      </w:r>
    </w:p>
    <w:p w14:paraId="18B56B6E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288" w:leftChars="0" w:firstLine="35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监督保护项目实施，确保工程质量与风貌符合要求；</w:t>
      </w:r>
    </w:p>
    <w:p w14:paraId="74669468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（二）完善工作机制</w:t>
      </w:r>
    </w:p>
    <w:p w14:paraId="56C3F5F7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巡查制度：村 “两委” 成员组成 “日常巡查队”，每周巡查 2 次，重点检查历史建筑、历史环境要素是否被破坏，发现问题及时上报专班；</w:t>
      </w:r>
    </w:p>
    <w:p w14:paraId="67AB7F55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审批制度：核心区与建设控制地带内的建筑修缮、新建项目，需先提交方案至专班，经专家审核通过后方可实施；</w:t>
      </w:r>
    </w:p>
    <w:p w14:paraId="51EC0E5D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档案管理制度：安排专人负责传统村落档案管理，及时更新建筑、非遗、环境要素变化情况，确保档案真实性、完整性。</w:t>
      </w:r>
    </w:p>
    <w:p w14:paraId="0C4553B3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（三）加强资金保障</w:t>
      </w:r>
    </w:p>
    <w:p w14:paraId="2672E4E4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上级资金争取：由镇文旅站牵头，每年梳理保护需求（如濒危建筑修复、非遗活动开展），申报省级、市级传统村落保护专项资金，力争每年获得资金支持；</w:t>
      </w:r>
    </w:p>
    <w:p w14:paraId="1077B729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社会资金引入：通过 “政府 + 企业 + 村民” 模式，吸引文旅企业投资乡村旅游项目（如非遗体验园、传统民宿），企业需承担部分传统建筑修缮费用；</w:t>
      </w:r>
    </w:p>
    <w:p w14:paraId="14C0C5D0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村民自筹：鼓励村民自主修缮传统建筑，除政府补贴外，可通过 “村民众筹” 解决部分资金，如修缮关帝庙时，村民自愿捐款，捐款名单在庙内公示。</w:t>
      </w:r>
    </w:p>
    <w:p w14:paraId="099CEF92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32"/>
          <w:szCs w:val="32"/>
        </w:rPr>
        <w:t>（四）做好宣传引导</w:t>
      </w:r>
    </w:p>
    <w:p w14:paraId="2C1AE24C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村内宣传：</w:t>
      </w:r>
    </w:p>
    <w:p w14:paraId="791B5A50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利用村内广播、微信群，每周宣传 1 次传统村落保护知识、相关法律法规；</w:t>
      </w:r>
    </w:p>
    <w:p w14:paraId="29E395FD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在村入口、文化广场设立 “保护展示区”，摆放村落老照片、传统建筑模型，张贴保护规划图，让村民了解保护意义；</w:t>
      </w:r>
    </w:p>
    <w:p w14:paraId="0F06A505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外部推广：</w:t>
      </w:r>
    </w:p>
    <w:p w14:paraId="041A731F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每年举办 “土古堆村传统村落摄影大赛”，鼓励村民、游客拍摄村落美景与保护成果，获奖作品在淄博市文旅局公众号展示；</w:t>
      </w:r>
    </w:p>
    <w:p w14:paraId="7E809D8C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与淄博本地媒体合作，拍摄传统村落宣传短片，在电视台、短视频平台播放，提升土古堆村的知名度与影响力；</w:t>
      </w:r>
    </w:p>
    <w:p w14:paraId="225B4513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村民教育：</w:t>
      </w:r>
    </w:p>
    <w:p w14:paraId="5A1A7A99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每半年组织 1 次 “保护知识讲座”，邀请专家讲解传统建筑价值、非遗传承意义，提升村民保护意识；</w:t>
      </w:r>
    </w:p>
    <w:p w14:paraId="69D44E33"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8" w:leftChars="0" w:firstLine="632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设立 “保护之星” 评选，每年评选 5 名积极参与保护的村民，给予物质奖励（如生活用品）与荣誉证书，激发村民参与热情。</w:t>
      </w:r>
    </w:p>
    <w:sectPr>
      <w:footerReference r:id="rId5" w:type="default"/>
      <w:pgSz w:w="11906" w:h="16838"/>
      <w:pgMar w:top="1440" w:right="1440" w:bottom="1318" w:left="1440" w:header="708" w:footer="708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8DC554B9-4B39-41DD-A981-0C8F1969D54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312B8FD4-0CA3-4147-BFF0-DE9655FA869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4D6E75AA-9DD1-4179-936A-005A92FFCA11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CBAC28F6-26CA-4406-B5B0-8FF3EFD8F60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622455A6-8870-4DC4-B6A5-96CBFEC9DC0B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8D9182D0-D839-45BA-A40F-EBA5ACABF1FA}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  <w:embedRegular r:id="rId7" w:fontKey="{B5297F3B-CDF2-471C-B16C-82E97EF129D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840FB6"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278C5C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D5695C">
                          <w:pPr>
                            <w:pStyle w:val="8"/>
                            <w:rPr>
                              <w:rFonts w:hint="eastAsia" w:eastAsiaTheme="min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uMeuo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m4x66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9D5695C">
                    <w:pPr>
                      <w:pStyle w:val="8"/>
                      <w:rPr>
                        <w:rFonts w:hint="eastAsia" w:eastAsiaTheme="min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C9E00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28B865"/>
    <w:multiLevelType w:val="singleLevel"/>
    <w:tmpl w:val="8228B86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28159BA"/>
    <w:multiLevelType w:val="singleLevel"/>
    <w:tmpl w:val="B28159BA"/>
    <w:lvl w:ilvl="0" w:tentative="0">
      <w:start w:val="1"/>
      <w:numFmt w:val="bullet"/>
      <w:lvlText w:val=""/>
      <w:lvlJc w:val="left"/>
      <w:pPr>
        <w:ind w:left="0" w:leftChars="0" w:firstLine="680" w:firstLineChars="0"/>
      </w:pPr>
      <w:rPr>
        <w:rFonts w:hint="default" w:ascii="Wingdings" w:hAnsi="Wingdings"/>
        <w:color w:val="0000FF"/>
      </w:rPr>
    </w:lvl>
  </w:abstractNum>
  <w:abstractNum w:abstractNumId="2">
    <w:nsid w:val="DDEC30B2"/>
    <w:multiLevelType w:val="singleLevel"/>
    <w:tmpl w:val="DDEC30B2"/>
    <w:lvl w:ilvl="0" w:tentative="0">
      <w:start w:val="1"/>
      <w:numFmt w:val="bullet"/>
      <w:lvlText w:val=""/>
      <w:lvlJc w:val="left"/>
      <w:pPr>
        <w:ind w:left="0" w:leftChars="0" w:firstLine="680" w:firstLineChars="0"/>
      </w:pPr>
      <w:rPr>
        <w:rFonts w:hint="default" w:ascii="Wingdings" w:hAnsi="Wingdings"/>
        <w:color w:val="0000FF"/>
      </w:rPr>
    </w:lvl>
  </w:abstractNum>
  <w:abstractNum w:abstractNumId="3">
    <w:nsid w:val="EA959309"/>
    <w:multiLevelType w:val="singleLevel"/>
    <w:tmpl w:val="EA959309"/>
    <w:lvl w:ilvl="0" w:tentative="0">
      <w:start w:val="1"/>
      <w:numFmt w:val="bullet"/>
      <w:lvlText w:val=""/>
      <w:lvlJc w:val="left"/>
      <w:pPr>
        <w:ind w:left="0" w:leftChars="0" w:firstLine="680" w:firstLineChars="0"/>
      </w:pPr>
      <w:rPr>
        <w:rFonts w:hint="default" w:ascii="Wingdings" w:hAnsi="Wingdings"/>
        <w:color w:val="0000FF"/>
      </w:rPr>
    </w:lvl>
  </w:abstractNum>
  <w:abstractNum w:abstractNumId="4">
    <w:nsid w:val="F1B60080"/>
    <w:multiLevelType w:val="singleLevel"/>
    <w:tmpl w:val="F1B60080"/>
    <w:lvl w:ilvl="0" w:tentative="0">
      <w:start w:val="1"/>
      <w:numFmt w:val="bullet"/>
      <w:lvlText w:val=""/>
      <w:lvlJc w:val="left"/>
      <w:pPr>
        <w:ind w:left="0" w:leftChars="0" w:firstLine="680" w:firstLineChars="0"/>
      </w:pPr>
      <w:rPr>
        <w:rFonts w:hint="default" w:ascii="Wingdings" w:hAnsi="Wingdings"/>
        <w:color w:val="0000FF"/>
      </w:rPr>
    </w:lvl>
  </w:abstractNum>
  <w:abstractNum w:abstractNumId="5">
    <w:nsid w:val="0053208E"/>
    <w:multiLevelType w:val="multilevel"/>
    <w:tmpl w:val="0053208E"/>
    <w:lvl w:ilvl="0" w:tentative="0">
      <w:start w:val="1"/>
      <w:numFmt w:val="bullet"/>
      <w:lvlText w:val="•"/>
      <w:lvlJc w:val="left"/>
      <w:pPr>
        <w:ind w:left="288" w:hanging="288"/>
      </w:pPr>
      <w:rPr>
        <w:rFonts w:hint="default"/>
        <w:color w:val="3370FF"/>
        <w:sz w:val="52"/>
        <w:szCs w:val="52"/>
      </w:rPr>
    </w:lvl>
    <w:lvl w:ilvl="1" w:tentative="0">
      <w:start w:val="1"/>
      <w:numFmt w:val="bullet"/>
      <w:lvlText w:val="◦"/>
      <w:lvlJc w:val="left"/>
      <w:pPr>
        <w:ind w:left="720" w:hanging="288"/>
      </w:pPr>
      <w:rPr>
        <w:color w:val="3370FF"/>
        <w:sz w:val="22"/>
        <w:szCs w:val="22"/>
      </w:rPr>
    </w:lvl>
    <w:lvl w:ilvl="2" w:tentative="0">
      <w:start w:val="1"/>
      <w:numFmt w:val="bullet"/>
      <w:lvlText w:val="▪"/>
      <w:lvlJc w:val="left"/>
      <w:pPr>
        <w:ind w:left="1152" w:hanging="288"/>
      </w:pPr>
      <w:rPr>
        <w:color w:val="3370FF"/>
        <w:sz w:val="22"/>
        <w:szCs w:val="22"/>
      </w:rPr>
    </w:lvl>
    <w:lvl w:ilvl="3" w:tentative="0">
      <w:start w:val="1"/>
      <w:numFmt w:val="bullet"/>
      <w:lvlText w:val="•"/>
      <w:lvlJc w:val="left"/>
      <w:pPr>
        <w:ind w:left="1583" w:hanging="288"/>
      </w:pPr>
      <w:rPr>
        <w:color w:val="3370FF"/>
        <w:sz w:val="22"/>
        <w:szCs w:val="22"/>
      </w:rPr>
    </w:lvl>
    <w:lvl w:ilvl="4" w:tentative="0">
      <w:start w:val="1"/>
      <w:numFmt w:val="bullet"/>
      <w:lvlText w:val="◦"/>
      <w:lvlJc w:val="left"/>
      <w:pPr>
        <w:ind w:left="2015" w:hanging="288"/>
      </w:pPr>
      <w:rPr>
        <w:color w:val="3370FF"/>
        <w:sz w:val="22"/>
        <w:szCs w:val="22"/>
      </w:rPr>
    </w:lvl>
    <w:lvl w:ilvl="5" w:tentative="0">
      <w:start w:val="1"/>
      <w:numFmt w:val="bullet"/>
      <w:lvlText w:val="▪"/>
      <w:lvlJc w:val="left"/>
      <w:pPr>
        <w:ind w:left="2448" w:hanging="288"/>
      </w:pPr>
      <w:rPr>
        <w:color w:val="3370FF"/>
        <w:sz w:val="22"/>
        <w:szCs w:val="22"/>
      </w:rPr>
    </w:lvl>
    <w:lvl w:ilvl="6" w:tentative="0">
      <w:start w:val="1"/>
      <w:numFmt w:val="bullet"/>
      <w:lvlText w:val="•"/>
      <w:lvlJc w:val="left"/>
      <w:pPr>
        <w:ind w:left="2879" w:hanging="288"/>
      </w:pPr>
      <w:rPr>
        <w:color w:val="3370FF"/>
        <w:sz w:val="22"/>
        <w:szCs w:val="22"/>
      </w:rPr>
    </w:lvl>
    <w:lvl w:ilvl="7" w:tentative="0">
      <w:start w:val="1"/>
      <w:numFmt w:val="bullet"/>
      <w:lvlText w:val="◦"/>
      <w:lvlJc w:val="left"/>
      <w:pPr>
        <w:ind w:left="3312" w:hanging="288"/>
      </w:pPr>
      <w:rPr>
        <w:color w:val="3370FF"/>
        <w:sz w:val="22"/>
        <w:szCs w:val="22"/>
      </w:rPr>
    </w:lvl>
    <w:lvl w:ilvl="8" w:tentative="0">
      <w:start w:val="1"/>
      <w:numFmt w:val="bullet"/>
      <w:lvlText w:val="▪"/>
      <w:lvlJc w:val="left"/>
      <w:pPr>
        <w:ind w:left="3744" w:hanging="288"/>
      </w:pPr>
      <w:rPr>
        <w:color w:val="3370FF"/>
        <w:sz w:val="22"/>
        <w:szCs w:val="22"/>
      </w:rPr>
    </w:lvl>
  </w:abstractNum>
  <w:abstractNum w:abstractNumId="6">
    <w:nsid w:val="21018DD9"/>
    <w:multiLevelType w:val="singleLevel"/>
    <w:tmpl w:val="21018DD9"/>
    <w:lvl w:ilvl="0" w:tentative="0">
      <w:start w:val="1"/>
      <w:numFmt w:val="bullet"/>
      <w:lvlText w:val=""/>
      <w:lvlJc w:val="left"/>
      <w:pPr>
        <w:ind w:left="0" w:leftChars="0" w:firstLine="680" w:firstLineChars="0"/>
      </w:pPr>
      <w:rPr>
        <w:rFonts w:hint="default" w:ascii="Wingdings" w:hAnsi="Wingdings"/>
        <w:color w:val="0000FF"/>
      </w:rPr>
    </w:lvl>
  </w:abstractNum>
  <w:abstractNum w:abstractNumId="7">
    <w:nsid w:val="25F15427"/>
    <w:multiLevelType w:val="singleLevel"/>
    <w:tmpl w:val="25F15427"/>
    <w:lvl w:ilvl="0" w:tentative="0">
      <w:start w:val="8"/>
      <w:numFmt w:val="chineseCounting"/>
      <w:suff w:val="nothing"/>
      <w:lvlText w:val="（%1）"/>
      <w:lvlJc w:val="left"/>
      <w:rPr>
        <w:rFonts w:hint="eastAsia"/>
      </w:rPr>
    </w:lvl>
  </w:abstractNum>
  <w:abstractNum w:abstractNumId="8">
    <w:nsid w:val="44A8C3D6"/>
    <w:multiLevelType w:val="singleLevel"/>
    <w:tmpl w:val="44A8C3D6"/>
    <w:lvl w:ilvl="0" w:tentative="0">
      <w:start w:val="1"/>
      <w:numFmt w:val="bullet"/>
      <w:lvlText w:val=""/>
      <w:lvlJc w:val="left"/>
      <w:pPr>
        <w:ind w:left="0" w:leftChars="0" w:firstLine="680" w:firstLineChars="0"/>
      </w:pPr>
      <w:rPr>
        <w:rFonts w:hint="default" w:ascii="Wingdings" w:hAnsi="Wingdings"/>
        <w:color w:val="0000FF"/>
      </w:rPr>
    </w:lvl>
  </w:abstractNum>
  <w:abstractNum w:abstractNumId="9">
    <w:nsid w:val="44E712C5"/>
    <w:multiLevelType w:val="singleLevel"/>
    <w:tmpl w:val="44E712C5"/>
    <w:lvl w:ilvl="0" w:tentative="0">
      <w:start w:val="1"/>
      <w:numFmt w:val="bullet"/>
      <w:lvlText w:val=""/>
      <w:lvlJc w:val="left"/>
      <w:pPr>
        <w:ind w:left="0" w:leftChars="0" w:firstLine="680" w:firstLineChars="0"/>
      </w:pPr>
      <w:rPr>
        <w:rFonts w:hint="default" w:ascii="Wingdings" w:hAnsi="Wingdings"/>
        <w:color w:val="0000FF"/>
      </w:rPr>
    </w:lvl>
  </w:abstractNum>
  <w:abstractNum w:abstractNumId="10">
    <w:nsid w:val="46E07EFE"/>
    <w:multiLevelType w:val="singleLevel"/>
    <w:tmpl w:val="46E07EFE"/>
    <w:lvl w:ilvl="0" w:tentative="0">
      <w:start w:val="1"/>
      <w:numFmt w:val="bullet"/>
      <w:lvlText w:val=""/>
      <w:lvlJc w:val="left"/>
      <w:pPr>
        <w:ind w:left="0" w:leftChars="0" w:firstLine="680" w:firstLineChars="0"/>
      </w:pPr>
      <w:rPr>
        <w:rFonts w:hint="default" w:ascii="Wingdings" w:hAnsi="Wingdings"/>
        <w:color w:val="0000FF"/>
      </w:rPr>
    </w:lvl>
  </w:abstractNum>
  <w:abstractNum w:abstractNumId="11">
    <w:nsid w:val="5605B5E2"/>
    <w:multiLevelType w:val="singleLevel"/>
    <w:tmpl w:val="5605B5E2"/>
    <w:lvl w:ilvl="0" w:tentative="0">
      <w:start w:val="1"/>
      <w:numFmt w:val="bullet"/>
      <w:lvlText w:val=""/>
      <w:lvlJc w:val="left"/>
      <w:pPr>
        <w:ind w:left="0" w:leftChars="0" w:firstLine="680" w:firstLineChars="0"/>
      </w:pPr>
      <w:rPr>
        <w:rFonts w:hint="default" w:ascii="Wingdings" w:hAnsi="Wingdings"/>
        <w:color w:val="0000FF"/>
      </w:rPr>
    </w:lvl>
  </w:abstractNum>
  <w:abstractNum w:abstractNumId="12">
    <w:nsid w:val="729B6325"/>
    <w:multiLevelType w:val="singleLevel"/>
    <w:tmpl w:val="729B6325"/>
    <w:lvl w:ilvl="0" w:tentative="0">
      <w:start w:val="1"/>
      <w:numFmt w:val="bullet"/>
      <w:lvlText w:val=""/>
      <w:lvlJc w:val="left"/>
      <w:pPr>
        <w:ind w:left="0" w:leftChars="0" w:firstLine="680" w:firstLineChars="0"/>
      </w:pPr>
      <w:rPr>
        <w:rFonts w:hint="default" w:ascii="Wingdings" w:hAnsi="Wingdings"/>
        <w:color w:val="0000FF"/>
      </w:rPr>
    </w:lvl>
  </w:abstractNum>
  <w:num w:numId="1">
    <w:abstractNumId w:val="5"/>
    <w:lvlOverride w:ilvl="0">
      <w:startOverride w:val="1"/>
    </w:lvlOverride>
  </w:num>
  <w:num w:numId="2">
    <w:abstractNumId w:val="7"/>
  </w:num>
  <w:num w:numId="3">
    <w:abstractNumId w:val="2"/>
  </w:num>
  <w:num w:numId="4">
    <w:abstractNumId w:val="11"/>
  </w:num>
  <w:num w:numId="5">
    <w:abstractNumId w:val="3"/>
  </w:num>
  <w:num w:numId="6">
    <w:abstractNumId w:val="0"/>
  </w:num>
  <w:num w:numId="7">
    <w:abstractNumId w:val="9"/>
  </w:num>
  <w:num w:numId="8">
    <w:abstractNumId w:val="6"/>
  </w:num>
  <w:num w:numId="9">
    <w:abstractNumId w:val="10"/>
  </w:num>
  <w:num w:numId="10">
    <w:abstractNumId w:val="4"/>
  </w:num>
  <w:num w:numId="11">
    <w:abstractNumId w:val="1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documentProtection w:enforcement="0"/>
  <w:compat>
    <w:useFELayout/>
    <w:compatSetting w:name="compatibilityMode" w:uri="http://schemas.microsoft.com/office/word" w:val="15"/>
  </w:compat>
  <w:rsids>
    <w:rsidRoot w:val="00000000"/>
    <w:rsid w:val="0A6C3057"/>
    <w:rsid w:val="0FAB49D7"/>
    <w:rsid w:val="1E856DB3"/>
    <w:rsid w:val="238B19E3"/>
    <w:rsid w:val="23C45F55"/>
    <w:rsid w:val="45055E7D"/>
    <w:rsid w:val="541F5B13"/>
    <w:rsid w:val="55A03897"/>
    <w:rsid w:val="5DC2539D"/>
    <w:rsid w:val="6342005A"/>
    <w:rsid w:val="6DC70B3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99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heading 1"/>
    <w:next w:val="1"/>
    <w:qFormat/>
    <w:uiPriority w:val="0"/>
    <w:pPr>
      <w:spacing w:before="380" w:after="140" w:line="288" w:lineRule="auto"/>
      <w:ind w:left="0"/>
      <w:jc w:val="left"/>
      <w:outlineLvl w:val="0"/>
    </w:pPr>
    <w:rPr>
      <w:rFonts w:ascii="Arial" w:hAnsi="Arial" w:eastAsia="等线" w:cs="Arial"/>
      <w:b/>
      <w:bCs/>
      <w:sz w:val="36"/>
      <w:szCs w:val="36"/>
    </w:rPr>
  </w:style>
  <w:style w:type="paragraph" w:styleId="3">
    <w:name w:val="heading 2"/>
    <w:next w:val="1"/>
    <w:qFormat/>
    <w:uiPriority w:val="0"/>
    <w:pPr>
      <w:spacing w:before="320" w:after="120" w:line="288" w:lineRule="auto"/>
      <w:ind w:left="0"/>
      <w:jc w:val="left"/>
      <w:outlineLvl w:val="1"/>
    </w:pPr>
    <w:rPr>
      <w:rFonts w:ascii="Arial" w:hAnsi="Arial" w:eastAsia="等线" w:cs="Arial"/>
      <w:b/>
      <w:bCs/>
      <w:sz w:val="32"/>
      <w:szCs w:val="32"/>
    </w:rPr>
  </w:style>
  <w:style w:type="paragraph" w:styleId="4">
    <w:name w:val="heading 3"/>
    <w:next w:val="1"/>
    <w:qFormat/>
    <w:uiPriority w:val="0"/>
    <w:pPr>
      <w:spacing w:before="300" w:after="120" w:line="288" w:lineRule="auto"/>
      <w:ind w:left="0"/>
      <w:jc w:val="left"/>
      <w:outlineLvl w:val="2"/>
    </w:pPr>
    <w:rPr>
      <w:rFonts w:ascii="Arial" w:hAnsi="Arial" w:eastAsia="等线" w:cs="Arial"/>
      <w:b/>
      <w:bCs/>
      <w:sz w:val="30"/>
      <w:szCs w:val="30"/>
    </w:rPr>
  </w:style>
  <w:style w:type="paragraph" w:styleId="5">
    <w:name w:val="heading 4"/>
    <w:next w:val="1"/>
    <w:qFormat/>
    <w:uiPriority w:val="0"/>
    <w:pPr>
      <w:spacing w:before="260" w:after="120" w:line="288" w:lineRule="auto"/>
      <w:ind w:left="0"/>
      <w:jc w:val="left"/>
      <w:outlineLvl w:val="3"/>
    </w:pPr>
    <w:rPr>
      <w:rFonts w:ascii="Arial" w:hAnsi="Arial" w:eastAsia="等线" w:cs="Arial"/>
      <w:b/>
      <w:bCs/>
      <w:sz w:val="28"/>
      <w:szCs w:val="28"/>
    </w:rPr>
  </w:style>
  <w:style w:type="paragraph" w:styleId="6">
    <w:name w:val="heading 5"/>
    <w:next w:val="1"/>
    <w:qFormat/>
    <w:uiPriority w:val="0"/>
    <w:pPr>
      <w:spacing w:before="240" w:after="120" w:line="288" w:lineRule="auto"/>
      <w:ind w:left="0"/>
      <w:jc w:val="left"/>
      <w:outlineLvl w:val="4"/>
    </w:pPr>
    <w:rPr>
      <w:rFonts w:ascii="Arial" w:hAnsi="Arial" w:eastAsia="等线" w:cs="Arial"/>
      <w:b/>
      <w:bCs/>
      <w:sz w:val="24"/>
      <w:szCs w:val="24"/>
    </w:rPr>
  </w:style>
  <w:style w:type="paragraph" w:styleId="7">
    <w:name w:val="heading 6"/>
    <w:next w:val="1"/>
    <w:qFormat/>
    <w:uiPriority w:val="0"/>
    <w:pPr>
      <w:spacing w:before="240" w:after="120" w:line="288" w:lineRule="auto"/>
      <w:ind w:left="0"/>
      <w:jc w:val="left"/>
      <w:outlineLvl w:val="5"/>
    </w:pPr>
    <w:rPr>
      <w:rFonts w:ascii="Arial" w:hAnsi="Arial" w:eastAsia="等线" w:cs="Arial"/>
      <w:b/>
      <w:bCs/>
      <w:sz w:val="24"/>
      <w:szCs w:val="24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footnote text"/>
    <w:link w:val="17"/>
    <w:semiHidden/>
    <w:unhideWhenUsed/>
    <w:qFormat/>
    <w:uiPriority w:val="99"/>
    <w:pPr>
      <w:spacing w:after="0" w:line="240" w:lineRule="auto"/>
    </w:pPr>
    <w:rPr>
      <w:rFonts w:asciiTheme="minorHAnsi" w:hAnsiTheme="minorHAnsi" w:eastAsiaTheme="minorEastAsia" w:cstheme="minorBidi"/>
      <w:sz w:val="20"/>
      <w:szCs w:val="20"/>
    </w:rPr>
  </w:style>
  <w:style w:type="paragraph" w:styleId="11">
    <w:name w:val="Title"/>
    <w:qFormat/>
    <w:uiPriority w:val="0"/>
    <w:pPr>
      <w:spacing w:before="480" w:after="480" w:line="288" w:lineRule="auto"/>
      <w:ind w:left="0"/>
    </w:pPr>
    <w:rPr>
      <w:rFonts w:ascii="Arial" w:hAnsi="Arial" w:eastAsia="等线" w:cs="Arial"/>
      <w:b/>
      <w:bCs/>
      <w:sz w:val="52"/>
      <w:szCs w:val="52"/>
    </w:rPr>
  </w:style>
  <w:style w:type="character" w:styleId="14">
    <w:name w:val="Hyperlink"/>
    <w:unhideWhenUsed/>
    <w:qFormat/>
    <w:uiPriority w:val="99"/>
    <w:rPr>
      <w:color w:val="0563C1"/>
      <w:u w:val="single"/>
    </w:rPr>
  </w:style>
  <w:style w:type="character" w:styleId="15">
    <w:name w:val="footnote reference"/>
    <w:semiHidden/>
    <w:unhideWhenUsed/>
    <w:qFormat/>
    <w:uiPriority w:val="99"/>
    <w:rPr>
      <w:vertAlign w:val="superscript"/>
    </w:rPr>
  </w:style>
  <w:style w:type="paragraph" w:styleId="16">
    <w:name w:val="List Paragraph"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character" w:customStyle="1" w:styleId="17">
    <w:name w:val="Footnote Text Char"/>
    <w:link w:val="10"/>
    <w:semiHidden/>
    <w:unhideWhenUsed/>
    <w:qFormat/>
    <w:uiPriority w:val="99"/>
    <w:rPr>
      <w:sz w:val="20"/>
      <w:szCs w:val="20"/>
    </w:rPr>
  </w:style>
  <w:style w:type="paragraph" w:customStyle="1" w:styleId="18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  <w:style w:type="paragraph" w:customStyle="1" w:styleId="19">
    <w:name w:val="_Style 14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color w:val="8F959E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36</Pages>
  <Words>1376</Words>
  <Characters>1427</Characters>
  <TotalTime>21</TotalTime>
  <ScaleCrop>false</ScaleCrop>
  <LinksUpToDate>false</LinksUpToDate>
  <CharactersWithSpaces>1492</CharactersWithSpaces>
  <Application>WPS Office_12.1.0.21171_F1E327BC-269C-435d-A152-05C5408002CA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2025-10-22T08:11:00Z</dcterms:created>
  <dc:creator>Un-named</dc:creator>
  <cp:lastModifiedBy>于志强</cp:lastModifiedBy>
  <cp:lastPrinted>2025-11-17T08:22:00Z</cp:lastPrinted>
  <dcterms:modified xsi:type="dcterms:W3CDTF">2025-11-25T02:20:38Z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eyJoZGlkIjoiYTg0Zjc0NDg4YzcyZTRiYmVkNWZmNDUwMDc5YTA2MDUiLCJ1c2VySWQiOiIzMDM3NDMzODYifQ==</vt:lpwstr>
  </property>
  <property fmtid="{D5CDD505-2E9C-101B-9397-08002B2CF9AE}" pid="3" name="KSOProductBuildVer">
    <vt:lpwstr>2052-12.1.0.21171</vt:lpwstr>
  </property>
  <property fmtid="{D5CDD505-2E9C-101B-9397-08002B2CF9AE}" pid="4" name="ICV">
    <vt:lpwstr>090A76AD177D4EB087ADB7D970B183F5_12</vt:lpwstr>
  </property>
</Properties>
</file>