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关于淄川区房屋产权确权颁证历史遗留问题已化解项目公告</w:t>
      </w:r>
    </w:p>
    <w:p>
      <w:pPr>
        <w:pStyle w:val="3"/>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根据省、市房屋产权确权颁证历史遗留问题专项整治工作领导小组有关要求，淄川区房屋产权确权颁证历史遗留问题专项整治工作领导小组办公室现将已化解项目进行公示。</w:t>
      </w:r>
    </w:p>
    <w:p>
      <w:pPr>
        <w:pageBreakBefore w:val="0"/>
        <w:widowControl w:val="0"/>
        <w:kinsoku/>
        <w:wordWrap/>
        <w:overflowPunct/>
        <w:topLinePunct w:val="0"/>
        <w:autoSpaceDE/>
        <w:autoSpaceDN/>
        <w:bidi w:val="0"/>
        <w:adjustRightInd/>
        <w:snapToGrid/>
        <w:spacing w:line="360" w:lineRule="atLeast"/>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已化解项目名单为：</w:t>
      </w:r>
    </w:p>
    <w:p>
      <w:pPr>
        <w:pageBreakBefore w:val="0"/>
        <w:widowControl w:val="0"/>
        <w:numPr>
          <w:ilvl w:val="0"/>
          <w:numId w:val="0"/>
        </w:numPr>
        <w:tabs>
          <w:tab w:val="left" w:pos="253"/>
        </w:tabs>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1.卫生防疫站宿舍</w:t>
      </w:r>
    </w:p>
    <w:p>
      <w:pPr>
        <w:pageBreakBefore w:val="0"/>
        <w:widowControl w:val="0"/>
        <w:numPr>
          <w:ilvl w:val="0"/>
          <w:numId w:val="0"/>
        </w:numPr>
        <w:tabs>
          <w:tab w:val="left" w:pos="253"/>
        </w:tabs>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2.圣水泉小区</w:t>
      </w:r>
    </w:p>
    <w:p>
      <w:pPr>
        <w:pageBreakBefore w:val="0"/>
        <w:widowControl w:val="0"/>
        <w:numPr>
          <w:ilvl w:val="0"/>
          <w:numId w:val="0"/>
        </w:numPr>
        <w:tabs>
          <w:tab w:val="left" w:pos="253"/>
        </w:tabs>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3.南山硒苑</w:t>
      </w:r>
    </w:p>
    <w:p>
      <w:pPr>
        <w:pageBreakBefore w:val="0"/>
        <w:widowControl w:val="0"/>
        <w:numPr>
          <w:ilvl w:val="0"/>
          <w:numId w:val="0"/>
        </w:numPr>
        <w:tabs>
          <w:tab w:val="left" w:pos="253"/>
        </w:tabs>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4.北工村海云台</w:t>
      </w:r>
    </w:p>
    <w:p>
      <w:pPr>
        <w:pageBreakBefore w:val="0"/>
        <w:widowControl w:val="0"/>
        <w:numPr>
          <w:ilvl w:val="0"/>
          <w:numId w:val="0"/>
        </w:numPr>
        <w:tabs>
          <w:tab w:val="left" w:pos="253"/>
        </w:tabs>
        <w:kinsoku/>
        <w:wordWrap/>
        <w:overflowPunct/>
        <w:topLinePunct w:val="0"/>
        <w:autoSpaceDE/>
        <w:autoSpaceDN/>
        <w:bidi w:val="0"/>
        <w:adjustRightInd/>
        <w:snapToGrid/>
        <w:spacing w:line="240" w:lineRule="auto"/>
        <w:textAlignment w:val="auto"/>
        <w:rPr>
          <w:rFonts w:hint="default"/>
          <w:lang w:val="en-US" w:eastAsia="zh-CN"/>
        </w:rPr>
      </w:pPr>
      <w:r>
        <w:rPr>
          <w:rFonts w:hint="eastAsia" w:ascii="Times New Roman" w:hAnsi="Times New Roman" w:eastAsia="仿宋_GB2312" w:cs="仿宋_GB2312"/>
          <w:b w:val="0"/>
          <w:bCs w:val="0"/>
          <w:kern w:val="2"/>
          <w:sz w:val="34"/>
          <w:szCs w:val="32"/>
          <w:lang w:val="en-US" w:eastAsia="zh-CN" w:bidi="ar-SA"/>
        </w:rPr>
        <w:t>5.东苑小区4-8号楼</w:t>
      </w:r>
    </w:p>
    <w:p>
      <w:pPr>
        <w:pageBreakBefore w:val="0"/>
        <w:widowControl w:val="0"/>
        <w:numPr>
          <w:ilvl w:val="0"/>
          <w:numId w:val="0"/>
        </w:numPr>
        <w:tabs>
          <w:tab w:val="left" w:pos="253"/>
        </w:tabs>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6.财富广场一期</w:t>
      </w:r>
    </w:p>
    <w:p>
      <w:pPr>
        <w:pageBreakBefore w:val="0"/>
        <w:widowControl w:val="0"/>
        <w:numPr>
          <w:ilvl w:val="0"/>
          <w:numId w:val="0"/>
        </w:numPr>
        <w:tabs>
          <w:tab w:val="left" w:pos="253"/>
        </w:tabs>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7.东城家园</w:t>
      </w:r>
    </w:p>
    <w:p>
      <w:pPr>
        <w:pageBreakBefore w:val="0"/>
        <w:widowControl w:val="0"/>
        <w:numPr>
          <w:ilvl w:val="0"/>
          <w:numId w:val="0"/>
        </w:numPr>
        <w:tabs>
          <w:tab w:val="left" w:pos="253"/>
        </w:tabs>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8.双凤生活区</w:t>
      </w:r>
    </w:p>
    <w:p>
      <w:pPr>
        <w:pageBreakBefore w:val="0"/>
        <w:widowControl w:val="0"/>
        <w:numPr>
          <w:ilvl w:val="0"/>
          <w:numId w:val="0"/>
        </w:numPr>
        <w:tabs>
          <w:tab w:val="left" w:pos="253"/>
        </w:tabs>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9.天鹭佳园</w:t>
      </w:r>
    </w:p>
    <w:p>
      <w:pPr>
        <w:pageBreakBefore w:val="0"/>
        <w:widowControl w:val="0"/>
        <w:numPr>
          <w:ilvl w:val="0"/>
          <w:numId w:val="0"/>
        </w:numPr>
        <w:tabs>
          <w:tab w:val="left" w:pos="253"/>
        </w:tabs>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10.东苑小区9号楼</w:t>
      </w:r>
    </w:p>
    <w:p>
      <w:pPr>
        <w:pageBreakBefore w:val="0"/>
        <w:widowControl w:val="0"/>
        <w:numPr>
          <w:ilvl w:val="0"/>
          <w:numId w:val="0"/>
        </w:numPr>
        <w:tabs>
          <w:tab w:val="left" w:pos="253"/>
        </w:tabs>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b w:val="0"/>
          <w:bCs w:val="0"/>
          <w:kern w:val="2"/>
          <w:sz w:val="34"/>
          <w:szCs w:val="32"/>
          <w:lang w:val="en-US" w:eastAsia="zh-CN" w:bidi="ar-SA"/>
        </w:rPr>
      </w:pPr>
    </w:p>
    <w:p>
      <w:pPr>
        <w:pStyle w:val="3"/>
        <w:keepNext/>
        <w:keepLines/>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现予以公告，接受社会公众监督。</w:t>
      </w:r>
    </w:p>
    <w:p>
      <w:pPr>
        <w:pStyle w:val="3"/>
        <w:keepNext/>
        <w:keepLines/>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特此公告</w:t>
      </w:r>
    </w:p>
    <w:p>
      <w:pPr>
        <w:rPr>
          <w:rFonts w:hint="eastAsia" w:ascii="Times New Roman" w:hAnsi="Times New Roman" w:eastAsia="仿宋_GB2312" w:cs="仿宋_GB2312"/>
          <w:b w:val="0"/>
          <w:bCs w:val="0"/>
          <w:kern w:val="2"/>
          <w:sz w:val="34"/>
          <w:szCs w:val="32"/>
          <w:lang w:val="en-US" w:eastAsia="zh-CN" w:bidi="ar-SA"/>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kern w:val="2"/>
          <w:sz w:val="34"/>
          <w:szCs w:val="32"/>
          <w:lang w:val="en-US" w:eastAsia="zh-CN" w:bidi="ar-SA"/>
        </w:rPr>
      </w:pPr>
      <w:r>
        <w:rPr>
          <w:rFonts w:hint="eastAsia" w:ascii="仿宋" w:hAnsi="仿宋" w:eastAsia="仿宋" w:cs="仿宋"/>
          <w:sz w:val="32"/>
          <w:szCs w:val="32"/>
          <w:lang w:val="en-US" w:eastAsia="zh-CN"/>
        </w:rPr>
        <w:t xml:space="preserve">                 </w:t>
      </w:r>
      <w:r>
        <w:rPr>
          <w:rFonts w:hint="eastAsia" w:ascii="Times New Roman" w:hAnsi="Times New Roman" w:eastAsia="仿宋_GB2312" w:cs="仿宋_GB2312"/>
          <w:b w:val="0"/>
          <w:bCs w:val="0"/>
          <w:kern w:val="2"/>
          <w:sz w:val="34"/>
          <w:szCs w:val="32"/>
          <w:lang w:val="en-US" w:eastAsia="zh-CN" w:bidi="ar-SA"/>
        </w:rPr>
        <w:t>淄川区开展房屋产权确权颁证历史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 xml:space="preserve">                遗留问题专项整治工作小组办公室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kern w:val="2"/>
          <w:sz w:val="34"/>
          <w:szCs w:val="32"/>
          <w:lang w:val="en-US" w:eastAsia="zh-CN" w:bidi="ar-SA"/>
        </w:rPr>
      </w:pPr>
      <w:r>
        <w:rPr>
          <w:rFonts w:hint="eastAsia" w:ascii="Times New Roman" w:hAnsi="Times New Roman" w:eastAsia="仿宋_GB2312" w:cs="仿宋_GB2312"/>
          <w:b w:val="0"/>
          <w:bCs w:val="0"/>
          <w:kern w:val="2"/>
          <w:sz w:val="34"/>
          <w:szCs w:val="32"/>
          <w:lang w:val="en-US" w:eastAsia="zh-CN" w:bidi="ar-SA"/>
        </w:rPr>
        <w:t xml:space="preserve">                  2023年9月28日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DdhMzQ0ZDFkMTdjYmVkYjFhNmEwNTU4NTUyODIifQ=="/>
  </w:docVars>
  <w:rsids>
    <w:rsidRoot w:val="00000000"/>
    <w:rsid w:val="0A811072"/>
    <w:rsid w:val="26F23993"/>
    <w:rsid w:val="46260A46"/>
    <w:rsid w:val="49A657D9"/>
    <w:rsid w:val="4C1418BF"/>
    <w:rsid w:val="4CF76C5A"/>
    <w:rsid w:val="4FD14BFF"/>
    <w:rsid w:val="62E80B44"/>
    <w:rsid w:val="6A30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paragraph" w:styleId="3">
    <w:name w:val="heading 3"/>
    <w:basedOn w:val="1"/>
    <w:next w:val="1"/>
    <w:unhideWhenUsed/>
    <w:qFormat/>
    <w:uiPriority w:val="0"/>
    <w:pPr>
      <w:keepNext/>
      <w:keepLines/>
      <w:widowControl w:val="0"/>
      <w:spacing w:before="260" w:after="260" w:line="416" w:lineRule="atLeast"/>
      <w:jc w:val="both"/>
      <w:outlineLvl w:val="2"/>
    </w:pPr>
    <w:rPr>
      <w:rFonts w:ascii="Calibri" w:hAnsi="Calibri" w:eastAsia="宋体" w:cs="Times New Roman"/>
      <w:b/>
      <w:bCs/>
      <w:kern w:val="2"/>
      <w:sz w:val="21"/>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hour_pm"/>
    <w:basedOn w:val="5"/>
    <w:qFormat/>
    <w:uiPriority w:val="0"/>
  </w:style>
  <w:style w:type="character" w:customStyle="1" w:styleId="14">
    <w:name w:val="hover6"/>
    <w:basedOn w:val="5"/>
    <w:qFormat/>
    <w:uiPriority w:val="0"/>
    <w:rPr>
      <w:shd w:val="clear" w:fill="EEEEEE"/>
    </w:rPr>
  </w:style>
  <w:style w:type="character" w:customStyle="1" w:styleId="15">
    <w:name w:val="old"/>
    <w:basedOn w:val="5"/>
    <w:qFormat/>
    <w:uiPriority w:val="0"/>
    <w:rPr>
      <w:color w:val="999999"/>
    </w:rPr>
  </w:style>
  <w:style w:type="character" w:customStyle="1" w:styleId="16">
    <w:name w:val="glyphicon2"/>
    <w:basedOn w:val="5"/>
    <w:qFormat/>
    <w:uiPriority w:val="0"/>
  </w:style>
  <w:style w:type="character" w:customStyle="1" w:styleId="17">
    <w:name w:val="hour_am"/>
    <w:basedOn w:val="5"/>
    <w:qFormat/>
    <w:uiPriority w:val="0"/>
  </w:style>
  <w:style w:type="character" w:customStyle="1" w:styleId="18">
    <w:name w:val="hover4"/>
    <w:basedOn w:val="5"/>
    <w:qFormat/>
    <w:uiPriority w:val="0"/>
    <w:rPr>
      <w:shd w:val="clear" w:fill="EEEEE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2023-08-28T07:46:00Z</dcterms:created>
  <dc:creator>Administrator</dc:creator>
  <cp:lastModifiedBy>Administrator</cp:lastModifiedBy>
  <cp:lastPrinted>2023-08-29T02:24:00Z</cp:lastPrinted>
  <dcterms:modified xsi:type="dcterms:W3CDTF">2023-10-16T06:27:07Z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FD7CFD216ACF45659AA8EBFF6B7B0521_13</vt:lpwstr>
  </property>
</Properties>
</file>