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淄川区自然保护地整合优化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重大调入调出情况的公示</w:t>
      </w:r>
    </w:p>
    <w:p>
      <w:pPr>
        <w:jc w:val="center"/>
        <w:rPr>
          <w:rFonts w:hint="default" w:ascii="Times New Roman" w:hAnsi="Times New Roman" w:eastAsia="黑体" w:cs="Times New Roman"/>
          <w:b/>
          <w:sz w:val="40"/>
          <w:szCs w:val="28"/>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中央办公厅、国务院办公厅《关于建立以国家公园为主体的自然保护地体系的指导意见》(中办发〔2019〕42号)精神和《自然资源部国家林业和草原局关于做好自然保护区范围及功能分区优化调整前期有关工作的函》(自然资函〔2020〕71号)等文件要求，我区开展自然保护地整合优化工作，现将工作过程中自然保护地的范围调入和调出情况予以公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公示期：</w:t>
      </w:r>
      <w:r>
        <w:rPr>
          <w:rFonts w:hint="default" w:ascii="Times New Roman" w:hAnsi="Times New Roman" w:eastAsia="仿宋_GB2312" w:cs="Times New Roman"/>
          <w:sz w:val="32"/>
          <w:szCs w:val="32"/>
          <w:lang w:val="en-US" w:eastAsia="zh-CN"/>
        </w:rPr>
        <w:t>2023年3月15日-3月21日</w:t>
      </w:r>
      <w:r>
        <w:rPr>
          <w:rFonts w:hint="eastAsia" w:ascii="Times New Roman" w:hAnsi="Times New Roman" w:eastAsia="仿宋_GB2312" w:cs="Times New Roman"/>
          <w:sz w:val="32"/>
          <w:szCs w:val="32"/>
          <w:lang w:val="en-US" w:eastAsia="zh-CN"/>
        </w:rPr>
        <w:t>。</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公示期满后，如无异议，将按程序上报。如有异议，可向区自然资源局反映。</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联系电话：0533-5281151</w:t>
      </w:r>
    </w:p>
    <w:p>
      <w:pPr>
        <w:ind w:firstLine="640" w:firstLineChars="200"/>
        <w:rPr>
          <w:rFonts w:hint="eastAsia" w:ascii="Times New Roman" w:hAnsi="Times New Roman" w:eastAsia="仿宋_GB2312" w:cs="Times New Roman"/>
          <w:sz w:val="32"/>
          <w:szCs w:val="32"/>
          <w:lang w:val="en-US" w:eastAsia="zh-CN"/>
        </w:rPr>
      </w:pPr>
    </w:p>
    <w:p>
      <w:pPr>
        <w:wordWrap w:val="0"/>
        <w:ind w:firstLine="640" w:firstLineChars="200"/>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淄川区自然资源局    </w:t>
      </w:r>
    </w:p>
    <w:p>
      <w:pPr>
        <w:wordWrap w:val="0"/>
        <w:ind w:firstLine="640" w:firstLineChars="2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2023年3月15日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淄川区自然保护地整合优化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44"/>
          <w:szCs w:val="44"/>
          <w:lang w:val="en-US" w:eastAsia="zh-CN"/>
        </w:rPr>
      </w:pPr>
      <w:bookmarkStart w:id="0" w:name="_GoBack"/>
      <w:bookmarkEnd w:id="0"/>
      <w:r>
        <w:rPr>
          <w:rFonts w:hint="default" w:ascii="Times New Roman" w:hAnsi="Times New Roman" w:eastAsia="方正小标宋简体" w:cs="Times New Roman"/>
          <w:b/>
          <w:sz w:val="44"/>
          <w:szCs w:val="44"/>
        </w:rPr>
        <w:t>重大调入调出情况</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本次自然保护地整合调入面积共3578.07公顷，调入理由包括生态保护红线范围、重点公益林区以及其他，具体情况如下：</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spacing w:before="156" w:beforeLines="50" w:after="156" w:afterLines="5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表1 淄川区自然保护地调入情况表</w:t>
      </w:r>
    </w:p>
    <w:p>
      <w:pPr>
        <w:jc w:val="righ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单位：公顷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5"/>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调入理由</w:t>
            </w:r>
          </w:p>
        </w:tc>
        <w:tc>
          <w:tcPr>
            <w:tcW w:w="2410"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调入面积</w:t>
            </w:r>
          </w:p>
        </w:tc>
        <w:tc>
          <w:tcPr>
            <w:tcW w:w="3481"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生态保护红线范围</w:t>
            </w:r>
          </w:p>
        </w:tc>
        <w:tc>
          <w:tcPr>
            <w:tcW w:w="2410" w:type="dxa"/>
            <w:vAlign w:val="center"/>
          </w:tcPr>
          <w:p>
            <w:pPr>
              <w:widowControl/>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0.06</w:t>
            </w:r>
          </w:p>
        </w:tc>
        <w:tc>
          <w:tcPr>
            <w:tcW w:w="3481" w:type="dxa"/>
            <w:vAlign w:val="center"/>
          </w:tcPr>
          <w:p>
            <w:pPr>
              <w:jc w:val="center"/>
              <w:rPr>
                <w:rFonts w:hint="default"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重点公益林区</w:t>
            </w:r>
          </w:p>
        </w:tc>
        <w:tc>
          <w:tcPr>
            <w:tcW w:w="2410"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3577.7</w:t>
            </w:r>
          </w:p>
        </w:tc>
        <w:tc>
          <w:tcPr>
            <w:tcW w:w="3481" w:type="dxa"/>
            <w:vAlign w:val="center"/>
          </w:tcPr>
          <w:p>
            <w:pPr>
              <w:jc w:val="center"/>
              <w:rPr>
                <w:rFonts w:hint="default"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其他</w:t>
            </w:r>
          </w:p>
        </w:tc>
        <w:tc>
          <w:tcPr>
            <w:tcW w:w="2410"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0.31</w:t>
            </w:r>
          </w:p>
        </w:tc>
        <w:tc>
          <w:tcPr>
            <w:tcW w:w="3481"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保持森林生态系统完整性调入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合计</w:t>
            </w:r>
          </w:p>
        </w:tc>
        <w:tc>
          <w:tcPr>
            <w:tcW w:w="2410"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3578.07</w:t>
            </w:r>
          </w:p>
        </w:tc>
        <w:tc>
          <w:tcPr>
            <w:tcW w:w="3481" w:type="dxa"/>
            <w:vAlign w:val="center"/>
          </w:tcPr>
          <w:p>
            <w:pPr>
              <w:jc w:val="center"/>
              <w:rPr>
                <w:rFonts w:hint="default" w:ascii="Times New Roman" w:hAnsi="Times New Roman" w:eastAsia="仿宋" w:cs="Times New Roman"/>
                <w:sz w:val="24"/>
                <w:szCs w:val="28"/>
              </w:rPr>
            </w:pPr>
          </w:p>
        </w:tc>
      </w:tr>
    </w:tbl>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drawing>
          <wp:inline distT="0" distB="0" distL="0" distR="0">
            <wp:extent cx="5274310" cy="5274310"/>
            <wp:effectExtent l="9525" t="9525" r="12065" b="12065"/>
            <wp:docPr id="6" name="图片 6" descr="H:\12-淄川区风景名胜区整合优化预案编制\000-202303自然保护地整合优化\公示材料\图件\调入范围示意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12-淄川区风景名胜区整合优化预案编制\000-202303自然保护地整合优化\公示材料\图件\调入范围示意图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5274310"/>
                    </a:xfrm>
                    <a:prstGeom prst="rect">
                      <a:avLst/>
                    </a:prstGeom>
                    <a:noFill/>
                    <a:ln w="6350">
                      <a:solidFill>
                        <a:schemeClr val="tx1"/>
                      </a:solidFill>
                    </a:ln>
                  </pic:spPr>
                </pic:pic>
              </a:graphicData>
            </a:graphic>
          </wp:inline>
        </w:drawing>
      </w:r>
    </w:p>
    <w:p>
      <w:pPr>
        <w:spacing w:before="156" w:beforeLines="50" w:after="156" w:afterLines="5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图1 淄川区自然保护地调入情况示意图</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本次自然保护地整合调出面积共2627.5公顷，调出理由主要是国家或省级重大项目、连片稳定耕地、成片人工集体商品林、村庄、城镇以及其他，具体情况如下：</w:t>
      </w:r>
    </w:p>
    <w:p>
      <w:pPr>
        <w:spacing w:before="156" w:beforeLines="50" w:after="156" w:afterLines="5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表2 淄川区自然保护地调处情况表</w:t>
      </w:r>
    </w:p>
    <w:p>
      <w:pPr>
        <w:jc w:val="righ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单位：公顷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5"/>
        <w:gridCol w:w="1418"/>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405"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调出理由</w:t>
            </w:r>
          </w:p>
        </w:tc>
        <w:tc>
          <w:tcPr>
            <w:tcW w:w="1418"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调出面积</w:t>
            </w:r>
          </w:p>
        </w:tc>
        <w:tc>
          <w:tcPr>
            <w:tcW w:w="4473" w:type="dxa"/>
            <w:vAlign w:val="center"/>
          </w:tcPr>
          <w:p>
            <w:pPr>
              <w:jc w:val="center"/>
              <w:rPr>
                <w:rFonts w:hint="default" w:ascii="Times New Roman" w:hAnsi="Times New Roman" w:eastAsia="仿宋" w:cs="Times New Roman"/>
                <w:b/>
                <w:sz w:val="24"/>
                <w:szCs w:val="28"/>
              </w:rPr>
            </w:pPr>
            <w:r>
              <w:rPr>
                <w:rFonts w:hint="default" w:ascii="Times New Roman" w:hAnsi="Times New Roman" w:eastAsia="仿宋" w:cs="Times New Roman"/>
                <w:b/>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国家或省级重大项目</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124.96</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因淄博市孝妇河生态修复项目和淄博砚文化博物馆建设项目调出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连片稳定耕地</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328.29</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连片稳定耕地和永久基本农田调出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成片人工集体商品林</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1446.75</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人工集体商品林调出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村庄</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100.78</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村镇建设用地，人为活动频繁，保护价值较低调出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城镇</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36.73</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城镇建成区，人为活动频繁，保护价值较低调出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其他</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589.99</w:t>
            </w:r>
          </w:p>
        </w:tc>
        <w:tc>
          <w:tcPr>
            <w:tcW w:w="4473" w:type="dxa"/>
            <w:vAlign w:val="center"/>
          </w:tcPr>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（1）因重大项目、村庄、耕地、商品林等原因调出造成的破碎图斑；</w:t>
            </w:r>
          </w:p>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（2）超出行政边界；</w:t>
            </w:r>
          </w:p>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（3）人为活动频繁，生态保护价值较低；</w:t>
            </w:r>
          </w:p>
          <w:p>
            <w:pPr>
              <w:jc w:val="lef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（4）边界优化等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5"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合计</w:t>
            </w:r>
          </w:p>
        </w:tc>
        <w:tc>
          <w:tcPr>
            <w:tcW w:w="1418" w:type="dxa"/>
            <w:vAlign w:val="center"/>
          </w:tcPr>
          <w:p>
            <w:pPr>
              <w:jc w:val="center"/>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2627.5</w:t>
            </w:r>
          </w:p>
        </w:tc>
        <w:tc>
          <w:tcPr>
            <w:tcW w:w="4473" w:type="dxa"/>
            <w:vAlign w:val="center"/>
          </w:tcPr>
          <w:p>
            <w:pPr>
              <w:jc w:val="center"/>
              <w:rPr>
                <w:rFonts w:hint="default" w:ascii="Times New Roman" w:hAnsi="Times New Roman" w:eastAsia="仿宋" w:cs="Times New Roman"/>
                <w:sz w:val="24"/>
                <w:szCs w:val="28"/>
              </w:rPr>
            </w:pPr>
          </w:p>
        </w:tc>
      </w:tr>
    </w:tbl>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drawing>
          <wp:inline distT="0" distB="0" distL="0" distR="0">
            <wp:extent cx="5274310" cy="5274310"/>
            <wp:effectExtent l="19050" t="19050" r="21590" b="21590"/>
            <wp:docPr id="4" name="图片 4" descr="H:\12-淄川区风景名胜区整合优化预案编制\000-202303自然保护地整合优化\公示材料\图件\调出范围示意图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12-淄川区风景名胜区整合优化预案编制\000-202303自然保护地整合优化\公示材料\图件\调出范围示意图一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5274310"/>
                    </a:xfrm>
                    <a:prstGeom prst="rect">
                      <a:avLst/>
                    </a:prstGeom>
                    <a:noFill/>
                    <a:ln w="6350">
                      <a:solidFill>
                        <a:schemeClr val="tx1"/>
                      </a:solidFill>
                    </a:ln>
                  </pic:spPr>
                </pic:pic>
              </a:graphicData>
            </a:graphic>
          </wp:inline>
        </w:drawing>
      </w:r>
    </w:p>
    <w:p>
      <w:pPr>
        <w:spacing w:before="156" w:beforeLines="50" w:after="156" w:afterLines="5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图2 淄川区自然保护地调出情况示意图一</w:t>
      </w: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drawing>
          <wp:inline distT="0" distB="0" distL="0" distR="0">
            <wp:extent cx="5274310" cy="5274310"/>
            <wp:effectExtent l="19050" t="19050" r="21590" b="21590"/>
            <wp:docPr id="5" name="图片 5" descr="H:\12-淄川区风景名胜区整合优化预案编制\000-202303自然保护地整合优化\公示材料\图件\调出范围示意图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12-淄川区风景名胜区整合优化预案编制\000-202303自然保护地整合优化\公示材料\图件\调出范围示意图二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5274310"/>
                    </a:xfrm>
                    <a:prstGeom prst="rect">
                      <a:avLst/>
                    </a:prstGeom>
                    <a:noFill/>
                    <a:ln w="6350">
                      <a:solidFill>
                        <a:schemeClr val="tx1"/>
                      </a:solidFill>
                    </a:ln>
                  </pic:spPr>
                </pic:pic>
              </a:graphicData>
            </a:graphic>
          </wp:inline>
        </w:drawing>
      </w:r>
    </w:p>
    <w:p>
      <w:pPr>
        <w:spacing w:before="156" w:beforeLines="50" w:after="156" w:afterLines="5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图3 淄川区自然保护地调出情况示意图二</w:t>
      </w: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M2U5YTJmOTNlZDEwYzY0ZGQzMGQ3ZTA3ODZjZDcifQ=="/>
  </w:docVars>
  <w:rsids>
    <w:rsidRoot w:val="007C5CE3"/>
    <w:rsid w:val="001B7BC4"/>
    <w:rsid w:val="003B1D74"/>
    <w:rsid w:val="003C671F"/>
    <w:rsid w:val="006C4C57"/>
    <w:rsid w:val="007C5CE3"/>
    <w:rsid w:val="00AB1AB8"/>
    <w:rsid w:val="00AC6F2B"/>
    <w:rsid w:val="00AC7A2D"/>
    <w:rsid w:val="00AD05DC"/>
    <w:rsid w:val="00C504BD"/>
    <w:rsid w:val="00D3209A"/>
    <w:rsid w:val="00DF2CEB"/>
    <w:rsid w:val="00E32CE7"/>
    <w:rsid w:val="00EF3D07"/>
    <w:rsid w:val="24F64866"/>
    <w:rsid w:val="531F6A6F"/>
    <w:rsid w:val="6616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5</Pages>
  <Words>727</Words>
  <Characters>815</Characters>
  <Lines>5</Lines>
  <Paragraphs>1</Paragraphs>
  <TotalTime>2</TotalTime>
  <ScaleCrop>false</ScaleCrop>
  <LinksUpToDate>false</LinksUpToDate>
  <CharactersWithSpaces>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2023-03-15T03:24:00Z</dcterms:created>
  <dc:creator>Micorosoft</dc:creator>
  <cp:lastModifiedBy>Administrator</cp:lastModifiedBy>
  <dcterms:modified xsi:type="dcterms:W3CDTF">2023-03-16T05:39:23Z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4C5D21BD1B7141978F0A98C8CBD0F682</vt:lpwstr>
  </property>
</Properties>
</file>