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</w:rPr>
        <w:t>淄川区招商局2019年政府信息公开工作年度报告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按照国务院办公厅政府信息与政务公开办公室《关于政府信息公开工作年度报告有关事项的通知》要求以及省市区工作部署，我单位较好的完成本年度政府信息公开工作，现将2019年度政府信息公开工作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2019年，我局通过政务公开平台与局微信公众号主动公开政府信息共150余条，公开信息包括部门动态、通知公告、责任清单、权力清单、业务文件等内容。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二、主动公开政府信息情况</w:t>
      </w:r>
    </w:p>
    <w:tbl>
      <w:tblPr>
        <w:tblW w:w="7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1929"/>
        <w:gridCol w:w="188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本年新制作数量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本年新公开数量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26.868万元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三、收到和处理政府信息公开申请情况</w:t>
      </w:r>
    </w:p>
    <w:tbl>
      <w:tblPr>
        <w:tblW w:w="7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828"/>
        <w:gridCol w:w="1690"/>
        <w:gridCol w:w="469"/>
        <w:gridCol w:w="487"/>
        <w:gridCol w:w="430"/>
        <w:gridCol w:w="515"/>
        <w:gridCol w:w="487"/>
        <w:gridCol w:w="459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4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34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1．属于国家秘密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2．其他法律行政法规禁止公开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3．危及“三安全一稳定”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4．保护第三方合法权益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5．属于三类内部事务信息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6．属于四类过程性信息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7．属于行政执法案卷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8．属于行政查询事项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1．本机关不掌握相关政府信息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2．没有现成信息需要另行制作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3．补正后申请内容仍不明确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1．信访举报投诉类申请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2．重复申请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3．要求提供公开出版物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4．无正当理由大量反复申请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5．要求行政机关确认或重新出具已获取信息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  <w:bdr w:val="none" w:color="auto" w:sz="0" w:space="0"/>
        </w:rPr>
        <w:t> 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四、政府信息公开行政复议、行政诉讼情况 </w:t>
      </w:r>
    </w:p>
    <w:tbl>
      <w:tblPr>
        <w:tblW w:w="7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55"/>
        <w:gridCol w:w="455"/>
        <w:gridCol w:w="455"/>
        <w:gridCol w:w="455"/>
        <w:gridCol w:w="455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4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  <w:bdr w:val="none" w:color="auto" w:sz="0" w:space="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一是对信息公开工作的认识有待进一步深入。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个别科室对政务信息公开的重要意义认识不足，认为公开就是公布，重视程度不够。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  <w:t>二是信息公开内容的规范性有待进一步加强，表现在公开的内容不够具体。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淄川区招商局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2020年1月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  <w:bdr w:val="none" w:color="auto" w:sz="0" w:space="0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2251"/>
    <w:rsid w:val="0AAA0438"/>
    <w:rsid w:val="0DD848D2"/>
    <w:rsid w:val="0E5605E2"/>
    <w:rsid w:val="1986610C"/>
    <w:rsid w:val="1DCF374B"/>
    <w:rsid w:val="21E93981"/>
    <w:rsid w:val="233C4A60"/>
    <w:rsid w:val="238F2B3A"/>
    <w:rsid w:val="2B9967BE"/>
    <w:rsid w:val="3330393D"/>
    <w:rsid w:val="35A53110"/>
    <w:rsid w:val="3D9B6A84"/>
    <w:rsid w:val="40082575"/>
    <w:rsid w:val="43A91E02"/>
    <w:rsid w:val="44152562"/>
    <w:rsid w:val="4DD66F86"/>
    <w:rsid w:val="4DD7548A"/>
    <w:rsid w:val="529F7108"/>
    <w:rsid w:val="55F92015"/>
    <w:rsid w:val="56E970D3"/>
    <w:rsid w:val="5B4327AF"/>
    <w:rsid w:val="5CDB278B"/>
    <w:rsid w:val="5E2B41FD"/>
    <w:rsid w:val="60E767B4"/>
    <w:rsid w:val="64940AE4"/>
    <w:rsid w:val="6508516D"/>
    <w:rsid w:val="6BA51728"/>
    <w:rsid w:val="722F4D49"/>
    <w:rsid w:val="73F31870"/>
    <w:rsid w:val="77A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1207</Words>
  <Characters>1227</Characters>
  <Lines>0</Lines>
  <Paragraphs>0</Paragraphs>
  <TotalTime>30</TotalTime>
  <ScaleCrop>false</ScaleCrop>
  <LinksUpToDate>false</LinksUpToDate>
  <CharactersWithSpaces>1302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2020-06-25T01:48:01Z</dcterms:created>
  <dc:creator>lenovo</dc:creator>
  <cp:lastModifiedBy>WPS_1591319194</cp:lastModifiedBy>
  <dcterms:modified xsi:type="dcterms:W3CDTF">2020-06-25T02:18:39Z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