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淄博市淄川区投资促进服务中心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2023年政府信息公开工作年度报告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本年度报告中所列数据的统计期限自2023年1月1日起，至2023年12月31日止。如对报告内容有疑问，请与</w:t>
      </w:r>
      <w:r>
        <w:rPr>
          <w:rFonts w:hint="eastAsia" w:ascii="Times New Roman" w:hAnsi="Times New Roman" w:eastAsia="仿宋_GB2312" w:cs="Times New Roman"/>
          <w:i w:val="0"/>
          <w:caps w:val="0"/>
          <w:color w:val="000000"/>
          <w:spacing w:val="0"/>
          <w:kern w:val="0"/>
          <w:sz w:val="32"/>
          <w:szCs w:val="32"/>
          <w:lang w:val="en-US" w:eastAsia="zh-CN" w:bidi="ar"/>
        </w:rPr>
        <w:t>淄博市</w:t>
      </w:r>
      <w:r>
        <w:rPr>
          <w:rFonts w:hint="default" w:ascii="Times New Roman" w:hAnsi="Times New Roman" w:eastAsia="仿宋_GB2312" w:cs="Times New Roman"/>
          <w:i w:val="0"/>
          <w:caps w:val="0"/>
          <w:color w:val="000000"/>
          <w:spacing w:val="0"/>
          <w:kern w:val="0"/>
          <w:sz w:val="32"/>
          <w:szCs w:val="32"/>
          <w:lang w:val="en-US" w:eastAsia="zh-CN" w:bidi="ar"/>
        </w:rPr>
        <w:t>淄川区投资促进服务中心联系（地址：山东省淄博市淄川经济开发区高新技术创业服务中心10号楼4层；邮编：255100；电话：0533-5271578</w:t>
      </w:r>
      <w:r>
        <w:rPr>
          <w:rFonts w:hint="eastAsia" w:ascii="Times New Roman" w:hAnsi="Times New Roman" w:eastAsia="仿宋_GB2312" w:cs="Times New Roman"/>
          <w:i w:val="0"/>
          <w:caps w:val="0"/>
          <w:color w:val="000000"/>
          <w:spacing w:val="0"/>
          <w:kern w:val="0"/>
          <w:sz w:val="32"/>
          <w:szCs w:val="32"/>
          <w:lang w:val="en-US" w:eastAsia="zh-CN" w:bidi="ar"/>
        </w:rPr>
        <w:t>；</w:t>
      </w:r>
      <w:r>
        <w:rPr>
          <w:rFonts w:hint="default" w:ascii="Times New Roman" w:hAnsi="Times New Roman" w:eastAsia="仿宋_GB2312" w:cs="Times New Roman"/>
          <w:i w:val="0"/>
          <w:caps w:val="0"/>
          <w:color w:val="000000"/>
          <w:spacing w:val="0"/>
          <w:kern w:val="0"/>
          <w:sz w:val="32"/>
          <w:szCs w:val="32"/>
          <w:lang w:val="en-US" w:eastAsia="zh-CN" w:bidi="ar"/>
        </w:rPr>
        <w:t>电子邮箱：</w:t>
      </w:r>
      <w:r>
        <w:rPr>
          <w:rFonts w:hint="default" w:ascii="Times New Roman" w:hAnsi="Times New Roman" w:eastAsia="仿宋_GB2312" w:cs="Times New Roman"/>
          <w:i w:val="0"/>
          <w:caps w:val="0"/>
          <w:color w:val="000000"/>
          <w:spacing w:val="0"/>
          <w:kern w:val="0"/>
          <w:sz w:val="32"/>
          <w:szCs w:val="32"/>
          <w:lang w:val="en-US" w:eastAsia="zh-CN" w:bidi="ar"/>
        </w:rPr>
        <w:fldChar w:fldCharType="begin"/>
      </w:r>
      <w:r>
        <w:rPr>
          <w:rFonts w:hint="default" w:ascii="Times New Roman" w:hAnsi="Times New Roman" w:eastAsia="仿宋_GB2312" w:cs="Times New Roman"/>
          <w:i w:val="0"/>
          <w:caps w:val="0"/>
          <w:color w:val="000000"/>
          <w:spacing w:val="0"/>
          <w:kern w:val="0"/>
          <w:sz w:val="32"/>
          <w:szCs w:val="32"/>
          <w:lang w:val="en-US" w:eastAsia="zh-CN" w:bidi="ar"/>
        </w:rPr>
        <w:instrText xml:space="preserve"> HYPERLINK "mailto:zcqzsj5271518@zb.shandong.cn）。" </w:instrText>
      </w:r>
      <w:r>
        <w:rPr>
          <w:rFonts w:hint="default" w:ascii="Times New Roman" w:hAnsi="Times New Roman" w:eastAsia="仿宋_GB2312" w:cs="Times New Roman"/>
          <w:i w:val="0"/>
          <w:caps w:val="0"/>
          <w:color w:val="000000"/>
          <w:spacing w:val="0"/>
          <w:kern w:val="0"/>
          <w:sz w:val="32"/>
          <w:szCs w:val="32"/>
          <w:lang w:val="en-US" w:eastAsia="zh-CN" w:bidi="ar"/>
        </w:rPr>
        <w:fldChar w:fldCharType="separate"/>
      </w:r>
      <w:r>
        <w:rPr>
          <w:rFonts w:hint="default" w:ascii="Times New Roman" w:hAnsi="Times New Roman" w:eastAsia="仿宋_GB2312" w:cs="Times New Roman"/>
          <w:i w:val="0"/>
          <w:caps w:val="0"/>
          <w:color w:val="000000"/>
          <w:spacing w:val="0"/>
          <w:kern w:val="0"/>
          <w:sz w:val="32"/>
          <w:szCs w:val="32"/>
          <w:lang w:val="en-US" w:eastAsia="zh-CN" w:bidi="ar"/>
        </w:rPr>
        <w:t>zcqzsj5271518@zb.shandong.cn）。</w:t>
      </w:r>
      <w:r>
        <w:rPr>
          <w:rFonts w:hint="default" w:ascii="Times New Roman" w:hAnsi="Times New Roman" w:eastAsia="仿宋_GB2312" w:cs="Times New Roman"/>
          <w:i w:val="0"/>
          <w:caps w:val="0"/>
          <w:color w:val="000000"/>
          <w:spacing w:val="0"/>
          <w:kern w:val="0"/>
          <w:sz w:val="32"/>
          <w:szCs w:val="32"/>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cs="黑体"/>
          <w:b/>
          <w:i w:val="0"/>
          <w:caps w:val="0"/>
          <w:color w:val="333333"/>
          <w:spacing w:val="0"/>
          <w:sz w:val="32"/>
          <w:szCs w:val="32"/>
          <w:shd w:val="clear" w:color="auto" w:fill="FFFFFF"/>
          <w:lang w:val="en-US" w:eastAsia="zh-CN"/>
        </w:rPr>
        <w:t>一、</w:t>
      </w:r>
      <w:r>
        <w:rPr>
          <w:rFonts w:hint="eastAsia" w:ascii="黑体" w:hAnsi="黑体" w:eastAsia="黑体" w:cs="黑体"/>
          <w:b/>
          <w:i w:val="0"/>
          <w:caps w:val="0"/>
          <w:color w:val="333333"/>
          <w:spacing w:val="0"/>
          <w:sz w:val="32"/>
          <w:szCs w:val="32"/>
          <w:shd w:val="clear" w:color="auto" w:fill="FFFFFF"/>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淄川区投资促进服务中心</w:t>
      </w:r>
      <w:r>
        <w:rPr>
          <w:rFonts w:hint="default" w:ascii="Times New Roman" w:hAnsi="Times New Roman" w:eastAsia="仿宋_GB2312" w:cs="Times New Roman"/>
          <w:color w:val="auto"/>
          <w:sz w:val="32"/>
          <w:szCs w:val="32"/>
        </w:rPr>
        <w:t>全面贯彻落实党的二十大精神，始终把政务公开作为提高政府效能、提高办事效率、完善工作制度的</w:t>
      </w:r>
      <w:r>
        <w:rPr>
          <w:rFonts w:hint="default" w:ascii="Times New Roman" w:hAnsi="Times New Roman" w:eastAsia="仿宋_GB2312" w:cs="Times New Roman"/>
          <w:color w:val="auto"/>
          <w:sz w:val="32"/>
          <w:szCs w:val="32"/>
          <w:lang w:val="en-US" w:eastAsia="zh-CN"/>
        </w:rPr>
        <w:t>重要</w:t>
      </w:r>
      <w:r>
        <w:rPr>
          <w:rFonts w:hint="default" w:ascii="Times New Roman" w:hAnsi="Times New Roman" w:eastAsia="仿宋_GB2312" w:cs="Times New Roman"/>
          <w:color w:val="auto"/>
          <w:sz w:val="32"/>
          <w:szCs w:val="32"/>
        </w:rPr>
        <w:t>措</w:t>
      </w:r>
      <w:r>
        <w:rPr>
          <w:rFonts w:hint="eastAsia" w:ascii="仿宋_GB2312" w:hAnsi="仿宋_GB2312" w:eastAsia="仿宋_GB2312" w:cs="仿宋_GB2312"/>
          <w:color w:val="auto"/>
          <w:sz w:val="32"/>
          <w:szCs w:val="32"/>
        </w:rPr>
        <w:t>施，按照公开、公正、规范、便民的基本要求，坚持依法公开，真实公正、讲求实效、利于监督的原则，结合</w:t>
      </w:r>
      <w:r>
        <w:rPr>
          <w:rFonts w:hint="eastAsia" w:ascii="仿宋_GB2312" w:hAnsi="仿宋_GB2312" w:eastAsia="仿宋_GB2312" w:cs="仿宋_GB2312"/>
          <w:color w:val="auto"/>
          <w:sz w:val="32"/>
          <w:szCs w:val="32"/>
          <w:lang w:eastAsia="zh-CN"/>
        </w:rPr>
        <w:t>本机关</w:t>
      </w:r>
      <w:r>
        <w:rPr>
          <w:rFonts w:hint="eastAsia" w:ascii="仿宋_GB2312" w:hAnsi="仿宋_GB2312" w:eastAsia="仿宋_GB2312" w:cs="仿宋_GB2312"/>
          <w:color w:val="auto"/>
          <w:sz w:val="32"/>
          <w:szCs w:val="32"/>
        </w:rPr>
        <w:t>工作的实际，积极推进政务公开工作。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1.</w:t>
      </w:r>
      <w:r>
        <w:rPr>
          <w:rFonts w:hint="eastAsia" w:ascii="楷体_GB2312" w:hAnsi="楷体_GB2312" w:eastAsia="楷体_GB2312" w:cs="楷体_GB2312"/>
          <w:sz w:val="32"/>
          <w:szCs w:val="32"/>
          <w:lang w:val="en-US" w:eastAsia="zh-CN"/>
        </w:rPr>
        <w:t>主动公开方面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淄川</w:t>
      </w:r>
      <w:r>
        <w:rPr>
          <w:rFonts w:hint="eastAsia" w:ascii="仿宋_GB2312" w:hAnsi="仿宋_GB2312" w:eastAsia="仿宋_GB2312" w:cs="仿宋_GB2312"/>
          <w:color w:val="auto"/>
          <w:sz w:val="32"/>
          <w:szCs w:val="32"/>
        </w:rPr>
        <w:t>区投资促进</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中心主动公开政府信息</w:t>
      </w:r>
      <w:r>
        <w:rPr>
          <w:rFonts w:hint="eastAsia" w:ascii="仿宋_GB2312" w:hAnsi="仿宋_GB2312" w:eastAsia="仿宋_GB2312" w:cs="仿宋_GB2312"/>
          <w:color w:val="auto"/>
          <w:sz w:val="32"/>
          <w:szCs w:val="32"/>
          <w:lang w:val="en-US" w:eastAsia="zh-CN"/>
        </w:rPr>
        <w:t>368</w:t>
      </w:r>
      <w:r>
        <w:rPr>
          <w:rFonts w:hint="eastAsia" w:ascii="仿宋_GB2312" w:hAnsi="仿宋_GB2312" w:eastAsia="仿宋_GB2312" w:cs="仿宋_GB2312"/>
          <w:color w:val="auto"/>
          <w:sz w:val="32"/>
          <w:szCs w:val="32"/>
        </w:rPr>
        <w:t>条。其中，通过政府门户网站向社会主动公开信息</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条，主要涉及</w:t>
      </w:r>
      <w:r>
        <w:rPr>
          <w:rFonts w:hint="eastAsia" w:ascii="仿宋_GB2312" w:hAnsi="仿宋_GB2312" w:eastAsia="仿宋_GB2312" w:cs="仿宋_GB2312"/>
          <w:color w:val="auto"/>
          <w:sz w:val="32"/>
          <w:szCs w:val="32"/>
          <w:lang w:val="en-US" w:eastAsia="zh-CN"/>
        </w:rPr>
        <w:t>机构设置、工作动态、人事任免、财政预决算</w:t>
      </w:r>
      <w:r>
        <w:rPr>
          <w:rFonts w:hint="eastAsia" w:ascii="仿宋_GB2312" w:hAnsi="仿宋_GB2312" w:eastAsia="仿宋_GB2312" w:cs="仿宋_GB2312"/>
          <w:color w:val="auto"/>
          <w:sz w:val="32"/>
          <w:szCs w:val="32"/>
        </w:rPr>
        <w:t>等；通过微信公众号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投资淄川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发布信息</w:t>
      </w:r>
      <w:r>
        <w:rPr>
          <w:rFonts w:hint="eastAsia" w:ascii="仿宋_GB2312" w:hAnsi="仿宋_GB2312" w:eastAsia="仿宋_GB2312" w:cs="仿宋_GB2312"/>
          <w:color w:val="auto"/>
          <w:sz w:val="32"/>
          <w:szCs w:val="32"/>
          <w:lang w:val="en-US" w:eastAsia="zh-CN"/>
        </w:rPr>
        <w:t>341</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2.依申请公开工作方面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2023年本机关未收到依申请公开事项。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3.政府信息管理方面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本机关健全完善门户网站、政务新媒体管理机制，依托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融公开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平台发布各类政务公开信息，确保发布信息真实、准确、安全、及时。同时</w:t>
      </w:r>
      <w:r>
        <w:rPr>
          <w:rFonts w:hint="default" w:ascii="Times New Roman" w:hAnsi="Times New Roman" w:eastAsia="仿宋_GB2312" w:cs="Times New Roman"/>
          <w:color w:val="auto"/>
          <w:sz w:val="32"/>
          <w:szCs w:val="32"/>
        </w:rPr>
        <w:t>在公开政府信息过程中，及时明确政府信息的公开属性，严格按照保密法对信息逐条进行审核，确保公开的信息不涉密，涉密的信息不公开。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4.平台建设方面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本机关</w:t>
      </w:r>
      <w:r>
        <w:rPr>
          <w:rFonts w:hint="default" w:ascii="Times New Roman" w:hAnsi="Times New Roman" w:eastAsia="仿宋_GB2312" w:cs="Times New Roman"/>
          <w:color w:val="auto"/>
          <w:sz w:val="32"/>
          <w:szCs w:val="32"/>
        </w:rPr>
        <w:t>充分发挥政府信息公</w:t>
      </w:r>
      <w:r>
        <w:rPr>
          <w:rFonts w:hint="eastAsia" w:ascii="仿宋_GB2312" w:hAnsi="仿宋_GB2312" w:eastAsia="仿宋_GB2312" w:cs="仿宋_GB2312"/>
          <w:color w:val="auto"/>
          <w:sz w:val="32"/>
          <w:szCs w:val="32"/>
        </w:rPr>
        <w:t>开第一平台作用，优化栏目体系，增强服务功能，切实规范完善平台建设；通过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投资淄川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微信公众号及时公布政策法规、</w:t>
      </w:r>
      <w:r>
        <w:rPr>
          <w:rFonts w:hint="eastAsia" w:ascii="仿宋_GB2312" w:hAnsi="仿宋_GB2312" w:eastAsia="仿宋_GB2312" w:cs="仿宋_GB2312"/>
          <w:color w:val="auto"/>
          <w:sz w:val="32"/>
          <w:szCs w:val="32"/>
          <w:lang w:val="en-US" w:eastAsia="zh-CN"/>
        </w:rPr>
        <w:t>招商信息</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招商动态等，</w:t>
      </w:r>
      <w:r>
        <w:rPr>
          <w:rFonts w:hint="eastAsia" w:ascii="仿宋_GB2312" w:hAnsi="仿宋_GB2312" w:eastAsia="仿宋_GB2312" w:cs="仿宋_GB2312"/>
          <w:color w:val="auto"/>
          <w:sz w:val="32"/>
          <w:szCs w:val="32"/>
        </w:rPr>
        <w:t>推动政务新媒体健康有序发展。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5.</w:t>
      </w:r>
      <w:r>
        <w:rPr>
          <w:rFonts w:hint="eastAsia" w:ascii="楷体_GB2312" w:hAnsi="楷体_GB2312" w:eastAsia="楷体_GB2312" w:cs="楷体_GB2312"/>
          <w:sz w:val="32"/>
          <w:szCs w:val="32"/>
          <w:lang w:val="en-US" w:eastAsia="zh-CN"/>
        </w:rPr>
        <w:t>监督保障方面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本机关</w:t>
      </w:r>
      <w:r>
        <w:rPr>
          <w:rFonts w:hint="eastAsia" w:ascii="仿宋_GB2312" w:hAnsi="仿宋_GB2312" w:eastAsia="仿宋_GB2312" w:cs="仿宋_GB2312"/>
          <w:color w:val="auto"/>
          <w:sz w:val="32"/>
          <w:szCs w:val="32"/>
        </w:rPr>
        <w:t>明确责任，健全领导机制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进一步完善由主要领导负总责，分管领导主抓，办公室具体负责，专人处理政府信息文件的分工及工作机制，保证政府信息公开工作取得实效。</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加强培训，</w:t>
      </w:r>
      <w:r>
        <w:rPr>
          <w:rFonts w:hint="eastAsia" w:ascii="仿宋_GB2312" w:hAnsi="仿宋_GB2312" w:eastAsia="仿宋_GB2312" w:cs="仿宋_GB2312"/>
          <w:color w:val="auto"/>
          <w:sz w:val="32"/>
          <w:szCs w:val="32"/>
          <w:lang w:val="en-US" w:eastAsia="zh-CN"/>
        </w:rPr>
        <w:t>制定并</w:t>
      </w:r>
      <w:r>
        <w:rPr>
          <w:rFonts w:hint="eastAsia"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淄川区投资促进服务中心政府信息公开指南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淄川区投资促进服务中心政务公开事项标准目录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组织单位</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学习政务公开新条例，增强工作人员专业能力，确保规范办理信息公开工作。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i w:val="0"/>
          <w:caps w:val="0"/>
          <w:color w:val="333333"/>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i w:val="0"/>
          <w:caps w:val="0"/>
          <w:color w:val="333333"/>
          <w:spacing w:val="0"/>
          <w:sz w:val="32"/>
          <w:szCs w:val="32"/>
          <w:shd w:val="clear" w:color="auto" w:fill="FFFFFF"/>
          <w:lang w:val="en-US" w:eastAsia="zh-CN"/>
        </w:rPr>
      </w:pPr>
      <w:r>
        <w:rPr>
          <w:rFonts w:hint="eastAsia" w:ascii="黑体" w:hAnsi="黑体" w:eastAsia="黑体" w:cs="黑体"/>
          <w:b/>
          <w:i w:val="0"/>
          <w:caps w:val="0"/>
          <w:color w:val="333333"/>
          <w:spacing w:val="0"/>
          <w:sz w:val="32"/>
          <w:szCs w:val="32"/>
          <w:shd w:val="clear" w:color="auto" w:fill="FFFFFF"/>
          <w:lang w:val="en-US" w:eastAsia="zh-CN"/>
        </w:rPr>
        <w:t>二、主动公开政府信息情况</w:t>
      </w:r>
    </w:p>
    <w:tbl>
      <w:tblPr>
        <w:tblStyle w:val="5"/>
        <w:tblW w:w="7500" w:type="dxa"/>
        <w:tblInd w:w="0" w:type="dxa"/>
        <w:tblLayout w:type="fixed"/>
        <w:tblCellMar>
          <w:top w:w="0" w:type="dxa"/>
          <w:left w:w="108" w:type="dxa"/>
          <w:bottom w:w="0" w:type="dxa"/>
          <w:right w:w="108" w:type="dxa"/>
        </w:tblCellMar>
      </w:tblPr>
      <w:tblGrid>
        <w:gridCol w:w="1875"/>
        <w:gridCol w:w="1875"/>
        <w:gridCol w:w="1875"/>
        <w:gridCol w:w="1875"/>
      </w:tblGrid>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第二十条第（一）项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信息内容</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本年制发件数</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本年废止件数</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现行有效件数</w:t>
            </w:r>
          </w:p>
        </w:tc>
      </w:tr>
      <w:tr>
        <w:tblPrEx>
          <w:tblCellMar>
            <w:top w:w="0" w:type="dxa"/>
            <w:left w:w="108" w:type="dxa"/>
            <w:bottom w:w="0" w:type="dxa"/>
            <w:right w:w="108" w:type="dxa"/>
          </w:tblCellMar>
        </w:tblPrEx>
        <w:trPr>
          <w:trHeight w:val="904"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规章</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val="en-US" w:eastAsia="zh-CN"/>
              </w:rPr>
              <w:t>0</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0</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0</w:t>
            </w:r>
          </w:p>
        </w:tc>
      </w:tr>
      <w:tr>
        <w:tblPrEx>
          <w:tblCellMar>
            <w:top w:w="0" w:type="dxa"/>
            <w:left w:w="108" w:type="dxa"/>
            <w:bottom w:w="0" w:type="dxa"/>
            <w:right w:w="108" w:type="dxa"/>
          </w:tblCellMar>
        </w:tblPrEx>
        <w:trPr>
          <w:trHeight w:val="1028"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行政规范性文件</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1875"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val="en-US" w:eastAsia="zh-CN"/>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第二十条第（五）项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信息内容</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本年处理决定数量</w:t>
            </w:r>
          </w:p>
        </w:tc>
      </w:tr>
      <w:tr>
        <w:tblPrEx>
          <w:tblCellMar>
            <w:top w:w="0" w:type="dxa"/>
            <w:left w:w="108" w:type="dxa"/>
            <w:bottom w:w="0" w:type="dxa"/>
            <w:right w:w="108" w:type="dxa"/>
          </w:tblCellMar>
        </w:tblPrEx>
        <w:trPr>
          <w:trHeight w:val="880"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b/>
                <w:bCs/>
                <w:sz w:val="21"/>
                <w:szCs w:val="21"/>
              </w:rPr>
              <w:t>行政许可</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第二十条第（六）项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信息内容</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本年处理决定数量</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b/>
                <w:bCs/>
                <w:sz w:val="21"/>
                <w:szCs w:val="21"/>
              </w:rPr>
              <w:t>行政处罚</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b/>
                <w:bCs/>
                <w:sz w:val="21"/>
                <w:szCs w:val="21"/>
              </w:rPr>
              <w:t>行政强制</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第二十条第（八）项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信息内容</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本年收费金额（单位：万元）</w:t>
            </w:r>
          </w:p>
        </w:tc>
      </w:tr>
      <w:tr>
        <w:tblPrEx>
          <w:tblCellMar>
            <w:top w:w="0" w:type="dxa"/>
            <w:left w:w="108" w:type="dxa"/>
            <w:bottom w:w="0" w:type="dxa"/>
            <w:right w:w="108" w:type="dxa"/>
          </w:tblCellMar>
        </w:tblPrEx>
        <w:trPr>
          <w:trHeight w:val="1045" w:hRule="atLeast"/>
        </w:trPr>
        <w:tc>
          <w:tcPr>
            <w:tcW w:w="1875" w:type="dxa"/>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rPr>
            </w:pPr>
            <w:r>
              <w:rPr>
                <w:rFonts w:hint="eastAsia" w:ascii="黑体" w:hAnsi="黑体" w:eastAsia="黑体" w:cs="黑体"/>
                <w:b/>
                <w:bCs/>
                <w:sz w:val="21"/>
                <w:szCs w:val="21"/>
              </w:rPr>
              <w:t>行政事业性收费</w:t>
            </w:r>
          </w:p>
        </w:tc>
        <w:tc>
          <w:tcPr>
            <w:tcW w:w="56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i w:val="0"/>
          <w:caps w:val="0"/>
          <w:color w:val="333333"/>
          <w:spacing w:val="0"/>
          <w:sz w:val="32"/>
          <w:szCs w:val="32"/>
          <w:shd w:val="clear" w:color="auto" w:fill="FFFFFF"/>
          <w:lang w:val="en-US" w:eastAsia="zh-CN"/>
        </w:rPr>
      </w:pPr>
      <w:r>
        <w:rPr>
          <w:rFonts w:hint="eastAsia" w:ascii="黑体" w:hAnsi="黑体" w:eastAsia="黑体" w:cs="黑体"/>
          <w:b/>
          <w:i w:val="0"/>
          <w:caps w:val="0"/>
          <w:color w:val="333333"/>
          <w:spacing w:val="0"/>
          <w:sz w:val="32"/>
          <w:szCs w:val="32"/>
          <w:shd w:val="clear" w:color="auto" w:fill="FFFFFF"/>
          <w:lang w:val="en-US" w:eastAsia="zh-CN"/>
        </w:rPr>
        <w:t>三、收到和处理政府信息公开申请情况</w:t>
      </w:r>
    </w:p>
    <w:tbl>
      <w:tblPr>
        <w:tblStyle w:val="5"/>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3648" w:type="dxa"/>
            <w:gridSpan w:val="3"/>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（本列数据的勾稽关系为：第一项加第二项之和，</w:t>
            </w:r>
          </w:p>
          <w:p>
            <w:pPr>
              <w:keepNext w:val="0"/>
              <w:keepLines w:val="0"/>
              <w:pageBreakBefore w:val="0"/>
              <w:kinsoku/>
              <w:wordWrap/>
              <w:overflowPunct/>
              <w:topLinePunct w:val="0"/>
              <w:autoSpaceDE/>
              <w:autoSpaceDN/>
              <w:bidi w:val="0"/>
              <w:adjustRightInd/>
              <w:snapToGrid/>
              <w:spacing w:line="560" w:lineRule="exact"/>
              <w:jc w:val="center"/>
              <w:textAlignment w:val="auto"/>
            </w:pPr>
            <w:r>
              <w:rPr>
                <w:rFonts w:hint="eastAsia" w:ascii="楷体_GB2312" w:hAnsi="楷体_GB2312" w:eastAsia="楷体_GB2312" w:cs="楷体_GB2312"/>
              </w:rPr>
              <w:t>等于第三项加第四项之和）</w:t>
            </w:r>
          </w:p>
        </w:tc>
        <w:tc>
          <w:tcPr>
            <w:tcW w:w="4174" w:type="dxa"/>
            <w:gridSpan w:val="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581"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自然人</w:t>
            </w:r>
          </w:p>
        </w:tc>
        <w:tc>
          <w:tcPr>
            <w:tcW w:w="3050" w:type="dxa"/>
            <w:gridSpan w:val="5"/>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法人或其他组织</w:t>
            </w:r>
          </w:p>
        </w:tc>
        <w:tc>
          <w:tcPr>
            <w:tcW w:w="543"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5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商业企业</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科研机构</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社会公益组织</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法律服务机构</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szCs w:val="21"/>
              </w:rPr>
              <w:t>其他</w:t>
            </w:r>
          </w:p>
        </w:tc>
        <w:tc>
          <w:tcPr>
            <w:tcW w:w="543"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sz w:val="21"/>
                <w:szCs w:val="21"/>
              </w:rPr>
            </w:pPr>
            <w:r>
              <w:rPr>
                <w:rFonts w:hint="eastAsia" w:ascii="黑体" w:hAnsi="黑体" w:eastAsia="黑体"/>
                <w:sz w:val="21"/>
                <w:szCs w:val="21"/>
              </w:rPr>
              <w:t>一、</w:t>
            </w:r>
            <w:bookmarkStart w:id="0" w:name="_Hlk66973412"/>
            <w:r>
              <w:rPr>
                <w:rFonts w:hint="eastAsia" w:ascii="黑体" w:hAnsi="黑体" w:eastAsia="黑体"/>
                <w:sz w:val="21"/>
                <w:szCs w:val="21"/>
              </w:rPr>
              <w:t>本年新收政府信息公开申请数量</w:t>
            </w:r>
            <w:bookmarkEnd w:id="0"/>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sz w:val="21"/>
                <w:szCs w:val="21"/>
              </w:rPr>
            </w:pPr>
            <w:r>
              <w:rPr>
                <w:rFonts w:hint="eastAsia" w:ascii="黑体" w:hAnsi="黑体" w:eastAsia="黑体"/>
                <w:sz w:val="21"/>
                <w:szCs w:val="21"/>
              </w:rPr>
              <w:t>二、上年结转政府信息公开申请数量</w:t>
            </w:r>
          </w:p>
        </w:tc>
        <w:tc>
          <w:tcPr>
            <w:tcW w:w="581"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488"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562"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769"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731"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500"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543" w:type="dxa"/>
            <w:shd w:val="clear" w:color="auto" w:fill="95B3D7"/>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黑体" w:hAnsi="黑体" w:eastAsia="黑体"/>
                <w:kern w:val="0"/>
                <w:szCs w:val="21"/>
              </w:rPr>
              <w:t>三、本年度办理结果</w:t>
            </w:r>
          </w:p>
        </w:tc>
        <w:tc>
          <w:tcPr>
            <w:tcW w:w="326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kern w:val="0"/>
                <w:sz w:val="16"/>
                <w:szCs w:val="16"/>
              </w:rPr>
            </w:pPr>
            <w:r>
              <w:rPr>
                <w:rFonts w:hint="eastAsia" w:ascii="黑体" w:hAnsi="黑体" w:eastAsia="黑体"/>
                <w:kern w:val="0"/>
                <w:sz w:val="16"/>
                <w:szCs w:val="16"/>
              </w:rPr>
              <w:t>（一）予以公开</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326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kern w:val="0"/>
                <w:sz w:val="16"/>
                <w:szCs w:val="16"/>
              </w:rPr>
            </w:pPr>
            <w:r>
              <w:rPr>
                <w:rFonts w:hint="eastAsia" w:ascii="黑体" w:hAnsi="黑体" w:eastAsia="黑体"/>
                <w:kern w:val="0"/>
                <w:sz w:val="16"/>
                <w:szCs w:val="16"/>
              </w:rPr>
              <w:t>（二）部分公开（</w:t>
            </w:r>
            <w:bookmarkStart w:id="1" w:name="_Hlk66973981"/>
            <w:r>
              <w:rPr>
                <w:rFonts w:hint="eastAsia" w:ascii="黑体" w:hAnsi="黑体" w:eastAsia="黑体"/>
                <w:kern w:val="0"/>
                <w:sz w:val="16"/>
                <w:szCs w:val="16"/>
              </w:rPr>
              <w:t>区分处理的，只计这一情形，不计其他情形</w:t>
            </w:r>
            <w:bookmarkEnd w:id="1"/>
            <w:r>
              <w:rPr>
                <w:rFonts w:hint="eastAsia" w:ascii="黑体" w:hAnsi="黑体" w:eastAsia="黑体"/>
                <w:kern w:val="0"/>
                <w:sz w:val="16"/>
                <w:szCs w:val="16"/>
              </w:rPr>
              <w:t>）</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黑体" w:hAnsi="黑体" w:eastAsia="黑体"/>
                <w:kern w:val="0"/>
                <w:sz w:val="16"/>
                <w:szCs w:val="16"/>
              </w:rPr>
              <w:t>（三）不予公开</w:t>
            </w: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1.属于国家秘密</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S</w:t>
            </w: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2.</w:t>
            </w:r>
            <w:bookmarkStart w:id="2" w:name="_Hlk66974104"/>
            <w:r>
              <w:rPr>
                <w:rFonts w:hint="eastAsia" w:ascii="仿宋_GB2312" w:hAnsi="黑体" w:eastAsia="仿宋_GB2312"/>
                <w:kern w:val="0"/>
                <w:sz w:val="16"/>
                <w:szCs w:val="16"/>
              </w:rPr>
              <w:t>其他法律行政法规禁止公开</w:t>
            </w:r>
            <w:bookmarkEnd w:id="2"/>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lang w:eastAsia="zh-CN"/>
              </w:rPr>
            </w:pPr>
            <w:r>
              <w:rPr>
                <w:rFonts w:hint="eastAsia" w:ascii="仿宋_GB2312" w:hAnsi="黑体" w:eastAsia="仿宋_GB2312"/>
                <w:kern w:val="0"/>
                <w:sz w:val="16"/>
                <w:szCs w:val="16"/>
              </w:rPr>
              <w:t>3.危及</w:t>
            </w:r>
            <w:r>
              <w:rPr>
                <w:rFonts w:hint="eastAsia" w:ascii="仿宋_GB2312" w:hAnsi="黑体" w:eastAsia="仿宋_GB2312"/>
                <w:kern w:val="0"/>
                <w:sz w:val="16"/>
                <w:szCs w:val="16"/>
                <w:lang w:eastAsia="zh-CN"/>
              </w:rPr>
              <w:t>“</w:t>
            </w:r>
            <w:r>
              <w:rPr>
                <w:rFonts w:hint="eastAsia" w:ascii="仿宋_GB2312" w:hAnsi="黑体" w:eastAsia="仿宋_GB2312"/>
                <w:kern w:val="0"/>
                <w:sz w:val="16"/>
                <w:szCs w:val="16"/>
              </w:rPr>
              <w:t>三安全一稳定</w:t>
            </w:r>
            <w:r>
              <w:rPr>
                <w:rFonts w:hint="eastAsia" w:ascii="仿宋_GB2312" w:hAnsi="黑体" w:eastAsia="仿宋_GB2312"/>
                <w:kern w:val="0"/>
                <w:sz w:val="16"/>
                <w:szCs w:val="16"/>
                <w:lang w:eastAsia="zh-CN"/>
              </w:rPr>
              <w:t>”</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4.</w:t>
            </w:r>
            <w:bookmarkStart w:id="3" w:name="_Hlk66974290"/>
            <w:r>
              <w:rPr>
                <w:rFonts w:hint="eastAsia" w:ascii="仿宋_GB2312" w:hAnsi="黑体" w:eastAsia="仿宋_GB2312"/>
                <w:kern w:val="0"/>
                <w:sz w:val="16"/>
                <w:szCs w:val="16"/>
              </w:rPr>
              <w:t>保护第三方合法权益</w:t>
            </w:r>
            <w:bookmarkEnd w:id="3"/>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5.属于三类内部事务信息</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6.</w:t>
            </w:r>
            <w:bookmarkStart w:id="4" w:name="_Hlk66974555"/>
            <w:r>
              <w:rPr>
                <w:rFonts w:hint="eastAsia" w:ascii="仿宋_GB2312" w:hAnsi="黑体" w:eastAsia="仿宋_GB2312"/>
                <w:kern w:val="0"/>
                <w:sz w:val="16"/>
                <w:szCs w:val="16"/>
              </w:rPr>
              <w:t>属于四类过程性信息</w:t>
            </w:r>
            <w:bookmarkEnd w:id="4"/>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7.属于行政执法案卷</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8.</w:t>
            </w:r>
            <w:bookmarkStart w:id="5" w:name="_Hlk66975211"/>
            <w:r>
              <w:rPr>
                <w:rFonts w:hint="eastAsia" w:ascii="仿宋_GB2312" w:hAnsi="黑体" w:eastAsia="仿宋_GB2312"/>
                <w:kern w:val="0"/>
                <w:sz w:val="16"/>
                <w:szCs w:val="16"/>
              </w:rPr>
              <w:t>属于行政查询事项</w:t>
            </w:r>
            <w:bookmarkEnd w:id="5"/>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黑体" w:hAnsi="黑体" w:eastAsia="黑体"/>
                <w:kern w:val="0"/>
                <w:sz w:val="16"/>
                <w:szCs w:val="16"/>
              </w:rPr>
              <w:t>（四）无法提供</w:t>
            </w: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1.本机关不掌握相关政府信息</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2.</w:t>
            </w:r>
            <w:bookmarkStart w:id="6" w:name="_Hlk66975392"/>
            <w:r>
              <w:rPr>
                <w:rFonts w:hint="eastAsia" w:ascii="仿宋_GB2312" w:hAnsi="黑体" w:eastAsia="仿宋_GB2312"/>
                <w:kern w:val="0"/>
                <w:sz w:val="16"/>
                <w:szCs w:val="16"/>
              </w:rPr>
              <w:t>没有现成信息需要另行制作</w:t>
            </w:r>
            <w:bookmarkEnd w:id="6"/>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3.</w:t>
            </w:r>
            <w:bookmarkStart w:id="7" w:name="_Hlk66975466"/>
            <w:r>
              <w:rPr>
                <w:rFonts w:hint="eastAsia" w:ascii="仿宋_GB2312" w:hAnsi="黑体" w:eastAsia="仿宋_GB2312"/>
                <w:kern w:val="0"/>
                <w:sz w:val="16"/>
                <w:szCs w:val="16"/>
              </w:rPr>
              <w:t>补正后申请内容仍不明确</w:t>
            </w:r>
            <w:bookmarkEnd w:id="7"/>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黑体" w:hAnsi="黑体" w:eastAsia="黑体"/>
                <w:kern w:val="0"/>
                <w:sz w:val="16"/>
                <w:szCs w:val="16"/>
              </w:rPr>
              <w:t>（五）不予处理</w:t>
            </w: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1.</w:t>
            </w:r>
            <w:bookmarkStart w:id="8" w:name="_Hlk66975537"/>
            <w:r>
              <w:rPr>
                <w:rFonts w:hint="eastAsia" w:ascii="仿宋_GB2312" w:hAnsi="黑体" w:eastAsia="仿宋_GB2312"/>
                <w:kern w:val="0"/>
                <w:sz w:val="16"/>
                <w:szCs w:val="16"/>
              </w:rPr>
              <w:t>信访举报投诉类申请</w:t>
            </w:r>
            <w:bookmarkEnd w:id="8"/>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2.重复申请</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3.要求提供公开出版物</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4.无正当理由大量反复申请</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5.要求行政机关确认或重新</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kern w:val="0"/>
                <w:sz w:val="16"/>
                <w:szCs w:val="16"/>
              </w:rPr>
            </w:pPr>
            <w:r>
              <w:rPr>
                <w:rFonts w:hint="eastAsia" w:ascii="仿宋_GB2312" w:hAnsi="黑体" w:eastAsia="仿宋_GB2312"/>
                <w:kern w:val="0"/>
                <w:sz w:val="16"/>
                <w:szCs w:val="16"/>
              </w:rPr>
              <w:t>出具已获取信息</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restart"/>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黑体" w:hAnsi="黑体" w:eastAsia="黑体"/>
                <w:kern w:val="0"/>
                <w:sz w:val="16"/>
                <w:szCs w:val="16"/>
              </w:rPr>
              <w:t>（六）其他处理</w:t>
            </w:r>
          </w:p>
        </w:tc>
        <w:tc>
          <w:tcPr>
            <w:tcW w:w="253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楷体" w:eastAsia="仿宋_GB2312"/>
                <w:sz w:val="16"/>
                <w:szCs w:val="18"/>
                <w:lang w:eastAsia="zh-CN"/>
              </w:rPr>
            </w:pPr>
            <w:r>
              <w:rPr>
                <w:rFonts w:hint="eastAsia" w:ascii="仿宋_GB2312" w:hAnsi="楷体" w:eastAsia="仿宋_GB2312"/>
                <w:sz w:val="16"/>
                <w:szCs w:val="18"/>
              </w:rPr>
              <w:t>1.申请人无正当理由逾期</w:t>
            </w:r>
            <w:r>
              <w:rPr>
                <w:rFonts w:hint="eastAsia" w:ascii="仿宋_GB2312" w:hAnsi="楷体" w:eastAsia="仿宋_GB2312"/>
                <w:sz w:val="16"/>
                <w:szCs w:val="18"/>
                <w:lang w:eastAsia="zh-CN"/>
              </w:rPr>
              <w:t>……</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楷体" w:eastAsia="仿宋_GB2312"/>
                <w:sz w:val="16"/>
                <w:szCs w:val="18"/>
                <w:lang w:eastAsia="zh-CN"/>
              </w:rPr>
            </w:pPr>
            <w:r>
              <w:rPr>
                <w:rFonts w:hint="eastAsia" w:ascii="仿宋_GB2312" w:hAnsi="楷体" w:eastAsia="仿宋_GB2312"/>
                <w:sz w:val="16"/>
                <w:szCs w:val="18"/>
              </w:rPr>
              <w:t>2.申请人逾期未按收费通知</w:t>
            </w:r>
            <w:r>
              <w:rPr>
                <w:rFonts w:hint="eastAsia" w:ascii="仿宋_GB2312" w:hAnsi="楷体" w:eastAsia="仿宋_GB2312"/>
                <w:sz w:val="16"/>
                <w:szCs w:val="18"/>
                <w:lang w:eastAsia="zh-CN"/>
              </w:rPr>
              <w:t>……</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73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253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楷体" w:eastAsia="仿宋_GB2312"/>
                <w:sz w:val="16"/>
                <w:szCs w:val="18"/>
              </w:rPr>
            </w:pPr>
            <w:r>
              <w:rPr>
                <w:rFonts w:hint="eastAsia" w:ascii="仿宋_GB2312" w:hAnsi="楷体" w:eastAsia="仿宋_GB2312"/>
                <w:sz w:val="16"/>
                <w:szCs w:val="18"/>
              </w:rPr>
              <w:t>3.其他</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3267" w:type="dxa"/>
            <w:gridSpan w:val="2"/>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rPr>
              <w:t>（</w:t>
            </w:r>
            <w:r>
              <w:rPr>
                <w:rFonts w:hint="eastAsia" w:ascii="黑体" w:hAnsi="黑体" w:eastAsia="黑体"/>
                <w:kern w:val="0"/>
                <w:sz w:val="16"/>
                <w:szCs w:val="16"/>
              </w:rPr>
              <w:t>七）总计</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黑体" w:hAnsi="黑体" w:eastAsia="黑体"/>
                <w:kern w:val="0"/>
                <w:szCs w:val="21"/>
              </w:rPr>
              <w:t>四、结转下年度继续办理</w:t>
            </w:r>
          </w:p>
        </w:tc>
        <w:tc>
          <w:tcPr>
            <w:tcW w:w="58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488"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2"/>
                <w:sz w:val="21"/>
                <w:szCs w:val="22"/>
                <w:lang w:val="en-US" w:eastAsia="zh-CN" w:bidi="ar-SA"/>
              </w:rPr>
            </w:pPr>
            <w:r>
              <w:rPr>
                <w:rFonts w:hint="eastAsia"/>
                <w:lang w:val="en-US" w:eastAsia="zh-CN"/>
              </w:rPr>
              <w:t>0</w:t>
            </w:r>
          </w:p>
        </w:tc>
        <w:tc>
          <w:tcPr>
            <w:tcW w:w="562"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769"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731"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c>
          <w:tcPr>
            <w:tcW w:w="543"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r>
              <w:rPr>
                <w:rFonts w:hint="eastAsia"/>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i w:val="0"/>
          <w:caps w:val="0"/>
          <w:color w:val="333333"/>
          <w:spacing w:val="0"/>
          <w:sz w:val="32"/>
          <w:szCs w:val="32"/>
          <w:shd w:val="clear" w:color="auto" w:fill="FFFFFF"/>
          <w:lang w:val="en-US" w:eastAsia="zh-CN"/>
        </w:rPr>
      </w:pPr>
      <w:r>
        <w:rPr>
          <w:rFonts w:hint="eastAsia" w:ascii="黑体" w:hAnsi="黑体" w:eastAsia="黑体" w:cs="黑体"/>
          <w:b/>
          <w:i w:val="0"/>
          <w:caps w:val="0"/>
          <w:color w:val="333333"/>
          <w:spacing w:val="0"/>
          <w:sz w:val="32"/>
          <w:szCs w:val="32"/>
          <w:shd w:val="clear" w:color="auto" w:fill="FFFFFF"/>
          <w:lang w:val="en-US" w:eastAsia="zh-CN"/>
        </w:rPr>
        <w:t>四、政府信息公开行政复议、行政诉讼情况</w:t>
      </w:r>
    </w:p>
    <w:tbl>
      <w:tblPr>
        <w:tblStyle w:val="5"/>
        <w:tblpPr w:leftFromText="180" w:rightFromText="180" w:vertAnchor="text" w:horzAnchor="page" w:tblpX="1760" w:tblpY="13"/>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cs="Times New Roman"/>
                <w:kern w:val="0"/>
                <w:sz w:val="20"/>
                <w:szCs w:val="20"/>
              </w:rPr>
              <w:t>未经</w:t>
            </w:r>
            <w:r>
              <w:rPr>
                <w:rFonts w:ascii="黑体" w:hAnsi="黑体" w:eastAsia="黑体"/>
                <w:kern w:val="0"/>
                <w:sz w:val="20"/>
                <w:szCs w:val="20"/>
              </w:rPr>
              <w:t>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210" w:firstLineChars="100"/>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i w:val="0"/>
          <w:caps w:val="0"/>
          <w:color w:val="333333"/>
          <w:spacing w:val="0"/>
          <w:sz w:val="32"/>
          <w:szCs w:val="32"/>
          <w:shd w:val="clear" w:color="auto" w:fill="FFFFFF"/>
          <w:lang w:val="en-US" w:eastAsia="zh-CN"/>
        </w:rPr>
      </w:pPr>
      <w:r>
        <w:rPr>
          <w:rFonts w:hint="eastAsia" w:ascii="黑体" w:hAnsi="黑体" w:eastAsia="黑体" w:cs="黑体"/>
          <w:b/>
          <w:i w:val="0"/>
          <w:caps w:val="0"/>
          <w:color w:val="333333"/>
          <w:spacing w:val="0"/>
          <w:sz w:val="32"/>
          <w:szCs w:val="32"/>
          <w:shd w:val="clear" w:color="auto" w:fill="FFFFFF"/>
          <w:lang w:val="en-US" w:eastAsia="zh-CN"/>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2023年度，本单位政府信息公开工作取得了一定成效，但在日常工作中，还存在一定的不足：一是政务公开工作水平有待提高，政务公开的内容有待进一步充实；二是信息公开的流程还有待进一步规范。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主要改进情况</w:t>
      </w:r>
      <w:bookmarkStart w:id="10" w:name="_GoBack"/>
      <w:bookmarkEnd w:id="10"/>
      <w:r>
        <w:rPr>
          <w:rFonts w:hint="default" w:ascii="Times New Roman" w:hAnsi="Times New Roman" w:eastAsia="仿宋_GB2312" w:cs="Times New Roman"/>
          <w:color w:val="auto"/>
          <w:kern w:val="2"/>
          <w:sz w:val="32"/>
          <w:szCs w:val="32"/>
          <w:lang w:val="en-US" w:eastAsia="zh-CN" w:bidi="ar-SA"/>
        </w:rPr>
        <w:t>：一是加强队伍建设。定期组织单位职工开展政务公开工作培训，不断提高政务信息工作人员的综合素质，增强处理信息的能力，提高信息质量。同时，加强公开内容审核力度，进一步提高人员信息化能力，提升单位政务公开工作水平；二是充实公开内容。按照</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以公开为原则，不公开为例外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总体要求，进一步按照政府公开信息目录，重点推进政府的信息公开公示。三是建立长效机制。着力建立和完善内容审查、更新维护、考核评估、监督检查评议、培训宣传和工作年报等工作制度，促进信息公开工作制度化、规范化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黑体" w:cs="Times New Roman"/>
          <w:b/>
          <w:i w:val="0"/>
          <w:caps w:val="0"/>
          <w:color w:val="333333"/>
          <w:spacing w:val="0"/>
          <w:sz w:val="32"/>
          <w:szCs w:val="32"/>
          <w:shd w:val="clear" w:color="auto" w:fill="FFFFFF"/>
          <w:lang w:val="en-US" w:eastAsia="zh-CN"/>
        </w:rPr>
      </w:pPr>
      <w:r>
        <w:rPr>
          <w:rFonts w:hint="default" w:ascii="Times New Roman" w:hAnsi="Times New Roman" w:eastAsia="黑体" w:cs="Times New Roman"/>
          <w:b/>
          <w:i w:val="0"/>
          <w:caps w:val="0"/>
          <w:color w:val="333333"/>
          <w:spacing w:val="0"/>
          <w:sz w:val="32"/>
          <w:szCs w:val="32"/>
          <w:shd w:val="clear" w:color="auto" w:fill="FFFFFF"/>
          <w:lang w:val="en-US" w:eastAsia="zh-CN"/>
        </w:rPr>
        <w:t>六、其他需要报告的事项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1、收取信息处理费情况。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淄川区人民政府办公室关于印发2023年淄川区政务公开工作实施方案的通知》，形成责任分工表，将责任具体到科室，认真做好本单位信息公开工作。加强对政务公开工作的监督检查，不断完善政务信息公开考核机制，强化责任意识，加强工作人员管理，严肃工作纪律，切实提高政务公开工作效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3、人大代表和政协提案办理结果公开情况。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2023年未收到人大代表建议和政协提案，未有上级建议提案办理任务。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健全完善</w:t>
      </w:r>
      <w:r>
        <w:rPr>
          <w:rFonts w:hint="default"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rPr>
        <w:t>政务公开制度体系，制定本单位工作任务台账；运用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投资淄川</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微信公众号</w:t>
      </w:r>
      <w:r>
        <w:rPr>
          <w:rFonts w:hint="default" w:ascii="Times New Roman" w:hAnsi="Times New Roman" w:eastAsia="仿宋_GB2312" w:cs="Times New Roman"/>
          <w:color w:val="auto"/>
          <w:sz w:val="32"/>
          <w:szCs w:val="32"/>
          <w:lang w:val="en-US" w:eastAsia="zh-CN"/>
        </w:rPr>
        <w:t>推介淄川名片、宣传投资政策</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投资环境</w:t>
      </w:r>
      <w:r>
        <w:rPr>
          <w:rFonts w:hint="default" w:ascii="Times New Roman" w:hAnsi="Times New Roman" w:eastAsia="仿宋_GB2312" w:cs="Times New Roman"/>
          <w:color w:val="auto"/>
          <w:sz w:val="32"/>
          <w:szCs w:val="32"/>
        </w:rPr>
        <w:t>，通过及时发布</w:t>
      </w:r>
      <w:r>
        <w:rPr>
          <w:rFonts w:hint="default" w:ascii="Times New Roman" w:hAnsi="Times New Roman" w:eastAsia="仿宋_GB2312" w:cs="Times New Roman"/>
          <w:color w:val="auto"/>
          <w:sz w:val="32"/>
          <w:szCs w:val="32"/>
          <w:lang w:val="en-US" w:eastAsia="zh-CN"/>
        </w:rPr>
        <w:t>每月</w:t>
      </w:r>
      <w:r>
        <w:rPr>
          <w:rFonts w:hint="default" w:ascii="Times New Roman" w:hAnsi="Times New Roman" w:eastAsia="仿宋_GB2312" w:cs="Times New Roman"/>
          <w:color w:val="auto"/>
          <w:sz w:val="32"/>
          <w:szCs w:val="32"/>
        </w:rPr>
        <w:t>工作动态及开展外出招商活动等，展现全区招商引资的创新举措与成果成效。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5、政府信息公开工作年度报告数据统计需要说明的事项</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6、本行政机关认为需要报告的其他事项。</w:t>
      </w:r>
      <w:r>
        <w:rPr>
          <w:rFonts w:hint="default" w:ascii="Times New Roman" w:hAnsi="Times New Roman" w:eastAsia="仿宋_GB2312" w:cs="Times New Roman"/>
          <w:color w:val="auto"/>
          <w:sz w:val="32"/>
          <w:szCs w:val="32"/>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7、其他有关文件专门要求通过政府信息公开工作年度报告予以报告的事项。</w:t>
      </w:r>
      <w:r>
        <w:rPr>
          <w:rFonts w:hint="default" w:ascii="Times New Roman" w:hAnsi="Times New Roman" w:eastAsia="仿宋_GB2312" w:cs="Times New Roman"/>
          <w:color w:val="auto"/>
          <w:sz w:val="32"/>
          <w:szCs w:val="32"/>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 w:name="KSO_WPS_MARK_KEY" w:val="0032bd6f-7e06-4063-92bb-d24462296b4c"/>
  </w:docVars>
  <w:rsids>
    <w:rsidRoot w:val="5B7B74B8"/>
    <w:rsid w:val="0D690A8B"/>
    <w:rsid w:val="11DD147E"/>
    <w:rsid w:val="23025432"/>
    <w:rsid w:val="32B94537"/>
    <w:rsid w:val="353115DE"/>
    <w:rsid w:val="57C44368"/>
    <w:rsid w:val="5B7B74B8"/>
    <w:rsid w:val="6B6D6646"/>
    <w:rsid w:val="6EE844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2555</Words>
  <Characters>2665</Characters>
  <Lines>0</Lines>
  <Paragraphs>0</Paragraphs>
  <TotalTime>51</TotalTime>
  <ScaleCrop>false</ScaleCrop>
  <LinksUpToDate>false</LinksUpToDate>
  <CharactersWithSpaces>2672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2024-01-09T00:59:00Z</dcterms:created>
  <dc:creator>粒粒逗</dc:creator>
  <cp:lastModifiedBy>银杏果</cp:lastModifiedBy>
  <cp:lastPrinted>2024-01-10T01:35:00Z</cp:lastPrinted>
  <dcterms:modified xsi:type="dcterms:W3CDTF">2024-01-25T08:22:25Z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822A737E32654AF181D03BFFFB53BD58</vt:lpwstr>
  </property>
</Properties>
</file>