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中共淄川区招商局党组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关于调整领导班子成员工作分工的通知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3F3F3"/>
        </w:rPr>
        <w:t>川招组字〔2020〕18号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各科室：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经研究，现将领导班子成员工作分工情况调整如下：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段为荣同志主持局全面工作，联系淄川经济开发区；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王秀峰同志分管项目调度、统计考核等工作，负责京津冀及周边地区招商引资工作，联系昆仑镇、西河镇、太河镇、般阳路街道办事处；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路鹍鹏同志分管财务审计、工会、法务等工作，负责长三角及周边地区招商引资工作，联系洪山镇、罗村镇、寨里镇、松龄路街道办事处；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郑帅同志分管机关管理，负责珠三角及周边地区招商引资工作，联系双杨镇、龙泉镇、岭子镇、将军路街道办事处；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莫燕娜同志分管党建、纪检、组织人事、宣传文化、精神文明、团委、妇联等工作，联系淄川经济开发区。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both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                                    中共淄川区招商局党组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                                         2020年11月3日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A01F3"/>
    <w:rsid w:val="553A0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2023-09-07T06:21:00Z</dcterms:created>
  <dc:creator>银杏果</dc:creator>
  <cp:lastModifiedBy>银杏果</cp:lastModifiedBy>
  <dcterms:modified xsi:type="dcterms:W3CDTF">2023-09-07T06:22:31Z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