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default" w:ascii="Times New Roman" w:hAnsi="Times New Roman" w:eastAsia="方正小标宋简体" w:cs="Times New Roman"/>
          <w:color w:val="FF0000"/>
          <w:sz w:val="62"/>
          <w:szCs w:val="62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z w:val="48"/>
          <w:szCs w:val="48"/>
          <w:lang w:eastAsia="zh-CN"/>
        </w:rPr>
        <w:t>山东省淄博市淄川区投资促进服务中心</w:t>
      </w:r>
    </w:p>
    <w:tbl>
      <w:tblPr>
        <w:tblStyle w:val="11"/>
        <w:tblW w:w="8789" w:type="dxa"/>
        <w:jc w:val="center"/>
        <w:tblBorders>
          <w:top w:val="single" w:color="FF0000" w:sz="24" w:space="0"/>
          <w:left w:val="none" w:color="auto" w:sz="0" w:space="0"/>
          <w:bottom w:val="single" w:color="FF0000" w:sz="4" w:space="0"/>
          <w:right w:val="none" w:color="auto" w:sz="0" w:space="0"/>
          <w:insideH w:val="single" w:color="auto" w:sz="24" w:space="0"/>
          <w:insideV w:val="single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FF0000" w:sz="24" w:space="0"/>
            <w:left w:val="none" w:color="auto" w:sz="0" w:space="0"/>
            <w:bottom w:val="single" w:color="FF0000" w:sz="4" w:space="0"/>
            <w:right w:val="none" w:color="auto" w:sz="0" w:space="0"/>
            <w:insideH w:val="single" w:color="auto" w:sz="2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78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before="184" w:line="190" w:lineRule="auto"/>
        <w:jc w:val="both"/>
        <w:rPr>
          <w:rFonts w:hint="default" w:ascii="Times New Roman" w:hAnsi="Times New Roman" w:eastAsia="方正小标宋简体" w:cs="Times New Roman"/>
          <w:color w:val="auto"/>
          <w:spacing w:val="9"/>
          <w:sz w:val="44"/>
          <w:szCs w:val="44"/>
        </w:rPr>
      </w:pPr>
    </w:p>
    <w:p>
      <w:pPr>
        <w:spacing w:before="184" w:line="190" w:lineRule="auto"/>
        <w:jc w:val="center"/>
        <w:rPr>
          <w:rFonts w:hint="default" w:ascii="Times New Roman" w:hAnsi="Times New Roman" w:eastAsia="方正小标宋简体" w:cs="Times New Roman"/>
          <w:color w:val="auto"/>
          <w:spacing w:val="9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9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pacing w:val="9"/>
          <w:sz w:val="44"/>
          <w:szCs w:val="44"/>
        </w:rPr>
        <w:t>全</w:t>
      </w:r>
      <w:r>
        <w:rPr>
          <w:rFonts w:hint="default" w:ascii="Times New Roman" w:hAnsi="Times New Roman" w:eastAsia="方正小标宋简体" w:cs="Times New Roman"/>
          <w:color w:val="auto"/>
          <w:spacing w:val="9"/>
          <w:sz w:val="44"/>
          <w:szCs w:val="44"/>
          <w:lang w:val="en-US" w:eastAsia="zh-CN"/>
        </w:rPr>
        <w:t>区</w:t>
      </w:r>
      <w:r>
        <w:rPr>
          <w:rFonts w:hint="default" w:ascii="Times New Roman" w:hAnsi="Times New Roman" w:eastAsia="方正小标宋简体" w:cs="Times New Roman"/>
          <w:color w:val="auto"/>
          <w:spacing w:val="9"/>
          <w:sz w:val="44"/>
          <w:szCs w:val="44"/>
        </w:rPr>
        <w:t>招商引资</w:t>
      </w:r>
      <w:r>
        <w:rPr>
          <w:rFonts w:hint="eastAsia" w:ascii="Times New Roman" w:hAnsi="Times New Roman" w:eastAsia="方正小标宋简体" w:cs="Times New Roman"/>
          <w:color w:val="auto"/>
          <w:spacing w:val="9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spacing w:val="9"/>
          <w:sz w:val="44"/>
          <w:szCs w:val="44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color w:val="auto"/>
          <w:spacing w:val="9"/>
          <w:sz w:val="44"/>
          <w:szCs w:val="44"/>
        </w:rPr>
        <w:t>比</w:t>
      </w:r>
      <w:r>
        <w:rPr>
          <w:rFonts w:hint="default" w:ascii="Times New Roman" w:hAnsi="Times New Roman" w:eastAsia="方正小标宋简体" w:cs="Times New Roman"/>
          <w:color w:val="auto"/>
          <w:spacing w:val="9"/>
          <w:sz w:val="44"/>
          <w:szCs w:val="44"/>
          <w:lang w:val="en-US" w:eastAsia="zh-CN"/>
        </w:rPr>
        <w:t>三看</w:t>
      </w:r>
      <w:r>
        <w:rPr>
          <w:rFonts w:hint="eastAsia" w:ascii="Times New Roman" w:hAnsi="Times New Roman" w:eastAsia="方正小标宋简体" w:cs="Times New Roman"/>
          <w:color w:val="auto"/>
          <w:spacing w:val="9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spacing w:val="9"/>
          <w:sz w:val="44"/>
          <w:szCs w:val="44"/>
          <w:lang w:val="en-US" w:eastAsia="zh-CN"/>
        </w:rPr>
        <w:t>观摩活动</w:t>
      </w:r>
    </w:p>
    <w:p>
      <w:pPr>
        <w:spacing w:before="184" w:line="190" w:lineRule="auto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9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color w:val="auto"/>
          <w:spacing w:val="9"/>
          <w:sz w:val="44"/>
          <w:szCs w:val="44"/>
        </w:rPr>
        <w:t>实施</w:t>
      </w:r>
      <w:r>
        <w:rPr>
          <w:rFonts w:hint="eastAsia" w:ascii="Times New Roman" w:hAnsi="Times New Roman" w:eastAsia="方正小标宋简体" w:cs="Times New Roman"/>
          <w:color w:val="auto"/>
          <w:spacing w:val="9"/>
          <w:sz w:val="44"/>
          <w:szCs w:val="44"/>
          <w:lang w:val="en-US" w:eastAsia="zh-CN"/>
        </w:rPr>
        <w:t>方案</w:t>
      </w:r>
      <w:bookmarkStart w:id="0" w:name="_GoBack"/>
      <w:bookmarkEnd w:id="0"/>
    </w:p>
    <w:p>
      <w:pPr>
        <w:spacing w:line="269" w:lineRule="auto"/>
        <w:rPr>
          <w:rFonts w:hint="default" w:ascii="Times New Roman" w:hAnsi="Times New Roman" w:cs="Times New Roman"/>
          <w:color w:val="auto"/>
          <w:sz w:val="21"/>
        </w:rPr>
      </w:pPr>
    </w:p>
    <w:p>
      <w:pPr>
        <w:spacing w:line="269" w:lineRule="auto"/>
        <w:rPr>
          <w:rFonts w:hint="default" w:ascii="Times New Roman" w:hAnsi="Times New Roman" w:cs="Times New Roman"/>
          <w:color w:val="auto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</w:rPr>
        <w:t>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实现招商引资大提速大突破大发展，迅速掀起招商引资工作热潮，营造大招商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招大商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比学赶超、提效争先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的良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4"/>
          <w:szCs w:val="34"/>
          <w:highlight w:val="none"/>
          <w:lang w:val="en-US" w:eastAsia="zh-CN" w:bidi="ar-SA"/>
        </w:rPr>
        <w:t>好氛围，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</w:rPr>
        <w:t>促进全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</w:rPr>
        <w:t>经济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持续健康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</w:rPr>
        <w:t>发展，制定本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实施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</w:rPr>
        <w:t>。</w:t>
      </w:r>
    </w:p>
    <w:p>
      <w:pPr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firstLine="708" w:firstLineChars="200"/>
        <w:rPr>
          <w:rFonts w:hint="default" w:ascii="Times New Roman" w:hAnsi="Times New Roman" w:eastAsia="黑体" w:cs="Times New Roman"/>
          <w:color w:val="auto"/>
          <w:spacing w:val="7"/>
          <w:sz w:val="34"/>
          <w:szCs w:val="34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7"/>
          <w:sz w:val="34"/>
          <w:szCs w:val="34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pacing w:val="7"/>
          <w:sz w:val="34"/>
          <w:szCs w:val="34"/>
          <w:lang w:val="en-US" w:eastAsia="zh-CN"/>
        </w:rPr>
        <w:t>总体要求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深入贯彻落实市、区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三提三争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活动要求，围绕加快构建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431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现代产业体系，突出锻长板、补短板、填空板，坚持项目为王、服务为魂、实干为先，抢抓机遇，迎难而上，开展延链招商、精准招商、招大引强，持续在招大引强、补链扩群、落地服务等方面创新突破，以招商引资筑牢全区经济高质量发展根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8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7"/>
          <w:sz w:val="34"/>
          <w:szCs w:val="34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7"/>
          <w:sz w:val="34"/>
          <w:szCs w:val="34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pacing w:val="7"/>
          <w:sz w:val="34"/>
          <w:szCs w:val="34"/>
          <w:lang w:val="en-US" w:eastAsia="zh-CN"/>
        </w:rPr>
        <w:t>活动内容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扎实推进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1+4+8+N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重点产业招商新模式，围绕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新谋划一批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新签约一批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新开工一批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工作思路和要求，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比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外出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，看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招引实效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；比签约，看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体量；比开工，看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到位资金”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4"/>
          <w:szCs w:val="34"/>
          <w:lang w:val="en-US" w:eastAsia="zh-CN"/>
        </w:rPr>
        <w:t>，促使各镇办奋力争先、主动作为。</w:t>
      </w:r>
    </w:p>
    <w:p>
      <w:pPr>
        <w:pStyle w:val="4"/>
        <w:pageBreakBefore w:val="0"/>
        <w:widowControl/>
        <w:wordWrap/>
        <w:overflowPunct/>
        <w:topLinePunct w:val="0"/>
        <w:bidi w:val="0"/>
        <w:spacing w:line="600" w:lineRule="exact"/>
        <w:ind w:left="7" w:right="97" w:firstLine="732" w:firstLineChars="200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pacing w:val="13"/>
          <w:sz w:val="34"/>
          <w:szCs w:val="34"/>
          <w:lang w:val="en-US" w:eastAsia="zh-CN"/>
        </w:rPr>
        <w:t>（一）比</w:t>
      </w:r>
      <w:r>
        <w:rPr>
          <w:rFonts w:hint="eastAsia" w:ascii="Times New Roman" w:hAnsi="Times New Roman" w:eastAsia="楷体_GB2312" w:cs="Times New Roman"/>
          <w:color w:val="auto"/>
          <w:spacing w:val="13"/>
          <w:sz w:val="34"/>
          <w:szCs w:val="34"/>
          <w:lang w:val="en-US" w:eastAsia="zh-CN"/>
        </w:rPr>
        <w:t>外出</w:t>
      </w:r>
      <w:r>
        <w:rPr>
          <w:rFonts w:hint="default" w:ascii="Times New Roman" w:hAnsi="Times New Roman" w:eastAsia="楷体_GB2312" w:cs="Times New Roman"/>
          <w:color w:val="auto"/>
          <w:spacing w:val="13"/>
          <w:sz w:val="34"/>
          <w:szCs w:val="34"/>
          <w:lang w:val="en-US" w:eastAsia="zh-CN"/>
        </w:rPr>
        <w:t>，看</w:t>
      </w:r>
      <w:r>
        <w:rPr>
          <w:rFonts w:hint="eastAsia" w:ascii="Times New Roman" w:hAnsi="Times New Roman" w:eastAsia="楷体_GB2312" w:cs="Times New Roman"/>
          <w:color w:val="auto"/>
          <w:spacing w:val="13"/>
          <w:sz w:val="34"/>
          <w:szCs w:val="34"/>
          <w:lang w:val="en-US" w:eastAsia="zh-CN"/>
        </w:rPr>
        <w:t>招引实效</w:t>
      </w:r>
      <w:r>
        <w:rPr>
          <w:rFonts w:hint="default" w:ascii="Times New Roman" w:hAnsi="Times New Roman" w:eastAsia="楷体_GB2312" w:cs="Times New Roman"/>
          <w:color w:val="auto"/>
          <w:spacing w:val="13"/>
          <w:sz w:val="34"/>
          <w:szCs w:val="34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以高质量产业发展行动年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实施方案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为指导，围绕加快构建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431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现代产业体系，各镇（街道、开发区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）要仔细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梳理头部目标企业清单，谋划推动一批体量大、影响大、带动能力强的项目，联合产业链招商专班，迅速组团高频次走出去开展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上门招商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行动，积极邀请区主要领导、分管领导参加考察洽谈，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顶格推进，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争取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项目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签约落地。</w:t>
      </w:r>
    </w:p>
    <w:p>
      <w:pPr>
        <w:pStyle w:val="4"/>
        <w:pageBreakBefore w:val="0"/>
        <w:widowControl/>
        <w:wordWrap/>
        <w:overflowPunct/>
        <w:topLinePunct w:val="0"/>
        <w:bidi w:val="0"/>
        <w:spacing w:line="600" w:lineRule="exact"/>
        <w:ind w:left="7" w:right="97" w:firstLine="732" w:firstLineChars="200"/>
        <w:jc w:val="both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pacing w:val="13"/>
          <w:sz w:val="34"/>
          <w:szCs w:val="34"/>
          <w:lang w:val="en-US" w:eastAsia="zh-CN"/>
        </w:rPr>
        <w:t>（二）比签约，看</w:t>
      </w:r>
      <w:r>
        <w:rPr>
          <w:rFonts w:hint="eastAsia" w:ascii="Times New Roman" w:hAnsi="Times New Roman" w:eastAsia="楷体_GB2312" w:cs="Times New Roman"/>
          <w:color w:val="auto"/>
          <w:spacing w:val="13"/>
          <w:sz w:val="34"/>
          <w:szCs w:val="34"/>
          <w:lang w:val="en-US" w:eastAsia="zh-CN"/>
        </w:rPr>
        <w:t>项目</w:t>
      </w:r>
      <w:r>
        <w:rPr>
          <w:rFonts w:hint="default" w:ascii="Times New Roman" w:hAnsi="Times New Roman" w:eastAsia="楷体_GB2312" w:cs="Times New Roman"/>
          <w:color w:val="auto"/>
          <w:spacing w:val="13"/>
          <w:sz w:val="34"/>
          <w:szCs w:val="34"/>
          <w:lang w:val="en-US" w:eastAsia="zh-CN"/>
        </w:rPr>
        <w:t>体量。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要聚力聚焦招大引强，瞄准世界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500强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”、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中国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500强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、央企名企、上市公司、行业领军企业、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单项冠军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专精特新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以及新经济赛道的独角兽、准独角兽等头部企业，紧盯京津冀、长三角、珠三角等地有意向转移的产业、目标企业和在谈项目，抓对接、抓跟进，力争新签约一批10亿元、30亿元、50亿元以上项目。</w:t>
      </w:r>
    </w:p>
    <w:p>
      <w:pPr>
        <w:pStyle w:val="4"/>
        <w:pageBreakBefore w:val="0"/>
        <w:widowControl/>
        <w:wordWrap/>
        <w:overflowPunct/>
        <w:topLinePunct w:val="0"/>
        <w:bidi w:val="0"/>
        <w:spacing w:line="600" w:lineRule="exact"/>
        <w:ind w:left="7" w:right="97" w:firstLine="732" w:firstLineChars="200"/>
        <w:rPr>
          <w:rFonts w:hint="default" w:ascii="Times New Roman" w:hAnsi="Times New Roman" w:eastAsia="仿宋_GB2312" w:cs="Times New Roman"/>
          <w:snapToGrid w:val="0"/>
          <w:color w:val="auto"/>
          <w:spacing w:val="12"/>
          <w:kern w:val="0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pacing w:val="13"/>
          <w:sz w:val="34"/>
          <w:szCs w:val="34"/>
          <w:lang w:val="en-US" w:eastAsia="zh-CN"/>
        </w:rPr>
        <w:t>（三）比开工，看</w:t>
      </w:r>
      <w:r>
        <w:rPr>
          <w:rFonts w:hint="eastAsia" w:ascii="Times New Roman" w:hAnsi="Times New Roman" w:eastAsia="楷体_GB2312" w:cs="Times New Roman"/>
          <w:color w:val="auto"/>
          <w:spacing w:val="13"/>
          <w:sz w:val="34"/>
          <w:szCs w:val="34"/>
          <w:lang w:val="en-US" w:eastAsia="zh-CN"/>
        </w:rPr>
        <w:t>到位资金</w:t>
      </w:r>
      <w:r>
        <w:rPr>
          <w:rFonts w:hint="default" w:ascii="Times New Roman" w:hAnsi="Times New Roman" w:eastAsia="楷体_GB2312" w:cs="Times New Roman"/>
          <w:color w:val="auto"/>
          <w:spacing w:val="13"/>
          <w:sz w:val="34"/>
          <w:szCs w:val="34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坚持结果导向，对已签约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落地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项目，把项目开工作为重中之重，落实护商专员制度，强化跟踪服务，统筹土地、资金、人力资源、生态环境等要素资源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保障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，创造一切条件，营造良好的营商环境，确保项目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快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开工、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12"/>
          <w:kern w:val="0"/>
          <w:sz w:val="34"/>
          <w:szCs w:val="34"/>
          <w:lang w:val="en-US" w:eastAsia="zh-CN" w:bidi="ar-SA"/>
        </w:rPr>
        <w:t>资金快到位、生产快达效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12"/>
          <w:kern w:val="0"/>
          <w:sz w:val="34"/>
          <w:szCs w:val="34"/>
          <w:lang w:val="en-US" w:eastAsia="zh-CN" w:bidi="ar-SA"/>
        </w:rPr>
        <w:t>。</w:t>
      </w:r>
    </w:p>
    <w:p>
      <w:pPr>
        <w:pStyle w:val="4"/>
        <w:pageBreakBefore w:val="0"/>
        <w:widowControl/>
        <w:wordWrap/>
        <w:overflowPunct/>
        <w:topLinePunct w:val="0"/>
        <w:bidi w:val="0"/>
        <w:spacing w:line="600" w:lineRule="exact"/>
        <w:ind w:left="7" w:right="97" w:firstLine="708" w:firstLineChars="200"/>
        <w:rPr>
          <w:rFonts w:hint="default" w:ascii="Times New Roman" w:hAnsi="Times New Roman" w:eastAsia="黑体" w:cs="Times New Roman"/>
          <w:color w:val="auto"/>
          <w:spacing w:val="7"/>
          <w:sz w:val="34"/>
          <w:szCs w:val="34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7"/>
          <w:sz w:val="34"/>
          <w:szCs w:val="34"/>
          <w:lang w:val="en-US" w:eastAsia="zh-CN"/>
        </w:rPr>
        <w:t>三、活动安排</w:t>
      </w:r>
    </w:p>
    <w:p>
      <w:pPr>
        <w:pStyle w:val="4"/>
        <w:pageBreakBefore w:val="0"/>
        <w:widowControl/>
        <w:wordWrap/>
        <w:overflowPunct/>
        <w:topLinePunct w:val="0"/>
        <w:bidi w:val="0"/>
        <w:spacing w:line="600" w:lineRule="exact"/>
        <w:ind w:left="7" w:right="97" w:firstLine="680" w:firstLineChars="200"/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每月组织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次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三比三看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观摩活动暨招商引资工作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推进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会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，观摩活动由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各镇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（街道、开发区）承办，第一阶段举行招商引资项目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观摩活动，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各镇（街道、开发区）提报2-3个招商引资项目进行现场观摩，并由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镇（街道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、开发区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镇长（主任）现场介绍项目情况；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第二阶段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召开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招商引资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工作推进会，由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镇（街道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、开发区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镇长（主任）以PPT形式汇报招商引资工作开展情况，区投促中心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对各镇（街道、开发区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主要领导带队招商、在谈、签约项目情况，头部企业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上门招商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情况、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十强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产业投资及项目新增情况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进行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通报。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三比三看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观摩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活动开展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情况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  <w:t>将纳入年度考核。</w:t>
      </w:r>
    </w:p>
    <w:p>
      <w:pPr>
        <w:pageBreakBefore w:val="0"/>
        <w:widowControl/>
        <w:wordWrap/>
        <w:overflowPunct/>
        <w:topLinePunct w:val="0"/>
        <w:bidi w:val="0"/>
        <w:spacing w:line="600" w:lineRule="exact"/>
        <w:ind w:firstLine="680" w:firstLineChars="200"/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</w:pPr>
    </w:p>
    <w:p>
      <w:pPr>
        <w:pStyle w:val="2"/>
        <w:pageBreakBefore w:val="0"/>
        <w:widowControl/>
        <w:wordWrap/>
        <w:overflowPunct/>
        <w:topLinePunct w:val="0"/>
        <w:bidi w:val="0"/>
        <w:spacing w:line="600" w:lineRule="exact"/>
        <w:ind w:firstLine="680" w:firstLineChars="200"/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4"/>
          <w:szCs w:val="34"/>
          <w:lang w:val="en-US" w:eastAsia="zh-CN" w:bidi="ar-SA"/>
        </w:rPr>
      </w:pPr>
    </w:p>
    <w:p>
      <w:pPr>
        <w:pStyle w:val="8"/>
        <w:pageBreakBefore w:val="0"/>
        <w:wordWrap/>
        <w:overflowPunct/>
        <w:topLinePunct w:val="0"/>
        <w:bidi w:val="0"/>
        <w:spacing w:line="600" w:lineRule="exact"/>
        <w:jc w:val="both"/>
        <w:rPr>
          <w:rFonts w:hint="default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60" w:firstLineChars="14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淄川区投资促进服务中心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6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2023年7月24日</w:t>
      </w:r>
    </w:p>
    <w:p>
      <w:pPr>
        <w:rPr>
          <w:rFonts w:hint="default"/>
          <w:sz w:val="34"/>
          <w:szCs w:val="34"/>
          <w:lang w:val="en-US" w:eastAsia="zh-CN"/>
        </w:rPr>
      </w:pPr>
    </w:p>
    <w:p>
      <w:pPr>
        <w:pStyle w:val="8"/>
        <w:rPr>
          <w:rFonts w:hint="default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80" w:firstLineChars="200"/>
        <w:textAlignment w:val="auto"/>
        <w:rPr>
          <w:rFonts w:hint="default"/>
          <w:sz w:val="34"/>
          <w:szCs w:val="34"/>
          <w:lang w:val="en-US" w:eastAsia="zh-CN"/>
        </w:rPr>
      </w:pPr>
    </w:p>
    <w:sectPr>
      <w:footerReference r:id="rId3" w:type="default"/>
      <w:pgSz w:w="11906" w:h="16839"/>
      <w:pgMar w:top="1431" w:right="1586" w:bottom="1551" w:left="1590" w:header="0" w:footer="1273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2413000</wp:posOffset>
              </wp:positionH>
              <wp:positionV relativeFrom="paragraph">
                <wp:posOffset>142875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0pt;margin-top:11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YswTh1gAAAAoBAAAPAAAAAAAA&#10;AAEAIAAAACIAAABkcnMvZG93bnJldi54bWxQSwECFAAUAAAACACHTuJAwN7nihQCAAAT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MzQ2YzlkNTU2YmNhYmJiN2ZkN2QyNTI5NWNhZmMifQ=="/>
  </w:docVars>
  <w:rsids>
    <w:rsidRoot w:val="00000000"/>
    <w:rsid w:val="06414840"/>
    <w:rsid w:val="08AA0077"/>
    <w:rsid w:val="09002ADB"/>
    <w:rsid w:val="0A672FA4"/>
    <w:rsid w:val="0ADC54DD"/>
    <w:rsid w:val="168E1562"/>
    <w:rsid w:val="23D073EA"/>
    <w:rsid w:val="262B69B6"/>
    <w:rsid w:val="2E8042EE"/>
    <w:rsid w:val="2E8F0FD2"/>
    <w:rsid w:val="315E6058"/>
    <w:rsid w:val="3198458D"/>
    <w:rsid w:val="327318E0"/>
    <w:rsid w:val="349124F1"/>
    <w:rsid w:val="3FEC2CD2"/>
    <w:rsid w:val="43CE2E1A"/>
    <w:rsid w:val="45154A79"/>
    <w:rsid w:val="45181E73"/>
    <w:rsid w:val="46B1432D"/>
    <w:rsid w:val="474D4056"/>
    <w:rsid w:val="47D00C98"/>
    <w:rsid w:val="4CBC2946"/>
    <w:rsid w:val="4CC86E8C"/>
    <w:rsid w:val="4D8B6DFB"/>
    <w:rsid w:val="50B74181"/>
    <w:rsid w:val="51EF6D06"/>
    <w:rsid w:val="52BF0352"/>
    <w:rsid w:val="53046C49"/>
    <w:rsid w:val="584A31A1"/>
    <w:rsid w:val="5B2A5A8B"/>
    <w:rsid w:val="61653B71"/>
    <w:rsid w:val="642D3B9D"/>
    <w:rsid w:val="675D60DF"/>
    <w:rsid w:val="6D655634"/>
    <w:rsid w:val="712D27AA"/>
    <w:rsid w:val="753F364C"/>
    <w:rsid w:val="760E617C"/>
    <w:rsid w:val="7813476B"/>
    <w:rsid w:val="7AC11105"/>
    <w:rsid w:val="7D4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1312" w:firstLineChars="200"/>
      <w:outlineLvl w:val="2"/>
    </w:pPr>
    <w:rPr>
      <w:rFonts w:eastAsia="方正仿宋简体"/>
      <w:sz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Body Text Indent"/>
    <w:basedOn w:val="1"/>
    <w:next w:val="3"/>
    <w:qFormat/>
    <w:uiPriority w:val="0"/>
    <w:pPr>
      <w:spacing w:after="120"/>
      <w:ind w:left="200" w:leftChars="200" w:firstLine="155" w:firstLineChars="155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9">
    <w:name w:val="Body Text First Indent 2"/>
    <w:basedOn w:val="5"/>
    <w:qFormat/>
    <w:uiPriority w:val="0"/>
    <w:pPr>
      <w:widowControl w:val="0"/>
      <w:spacing w:after="0" w:line="400" w:lineRule="atLeast"/>
      <w:ind w:firstLine="42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UserStyle_0"/>
    <w:basedOn w:val="1"/>
    <w:qFormat/>
    <w:uiPriority w:val="0"/>
    <w:pPr>
      <w:spacing w:before="25" w:after="25"/>
      <w:jc w:val="left"/>
      <w:textAlignment w:val="baseline"/>
    </w:pPr>
    <w:rPr>
      <w:rFonts w:ascii="Times New Roman" w:hAnsi="Times New Roman" w:eastAsia="宋体" w:cs="黑体"/>
      <w:bCs/>
      <w:spacing w:val="10"/>
      <w:kern w:val="0"/>
      <w:sz w:val="24"/>
      <w:szCs w:val="20"/>
      <w:lang w:val="en-US" w:eastAsia="zh-CN"/>
    </w:rPr>
  </w:style>
  <w:style w:type="paragraph" w:customStyle="1" w:styleId="14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Times New Roman" w:hAnsi="Times New Roman"/>
      <w:bCs/>
      <w:spacing w:val="10"/>
      <w:kern w:val="0"/>
      <w:sz w:val="24"/>
      <w:szCs w:val="20"/>
    </w:rPr>
  </w:style>
  <w:style w:type="character" w:customStyle="1" w:styleId="15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1072</Words>
  <Characters>1097</Characters>
  <Lines>0</Lines>
  <Paragraphs>0</Paragraphs>
  <TotalTime>84</TotalTime>
  <ScaleCrop>false</ScaleCrop>
  <LinksUpToDate>false</LinksUpToDate>
  <CharactersWithSpaces>1097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2023-07-20T01:05:00Z</dcterms:created>
  <dc:creator>Administrator</dc:creator>
  <cp:lastModifiedBy>Administrator</cp:lastModifiedBy>
  <cp:lastPrinted>2023-07-24T04:57:00Z</cp:lastPrinted>
  <dcterms:modified xsi:type="dcterms:W3CDTF">2023-08-15T06:49:09Z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2C986951A3884ABD9030FAF109A846F7_13</vt:lpwstr>
  </property>
</Properties>
</file>