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D3D3D"/>
          <w:spacing w:val="0"/>
          <w:sz w:val="44"/>
          <w:szCs w:val="44"/>
        </w:rPr>
      </w:pPr>
      <w:r>
        <w:rPr>
          <w:rFonts w:hint="eastAsia" w:ascii="方正小标宋简体" w:hAnsi="方正小标宋简体" w:eastAsia="方正小标宋简体" w:cs="方正小标宋简体"/>
          <w:b w:val="0"/>
          <w:bCs/>
          <w:i w:val="0"/>
          <w:caps w:val="0"/>
          <w:color w:val="3D3D3D"/>
          <w:spacing w:val="0"/>
          <w:sz w:val="44"/>
          <w:szCs w:val="44"/>
        </w:rPr>
        <w:t>淄川区招商局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D3D3D"/>
          <w:spacing w:val="0"/>
          <w:sz w:val="44"/>
          <w:szCs w:val="44"/>
        </w:rPr>
      </w:pPr>
      <w:r>
        <w:rPr>
          <w:rFonts w:hint="eastAsia" w:ascii="方正小标宋简体" w:hAnsi="方正小标宋简体" w:eastAsia="方正小标宋简体" w:cs="方正小标宋简体"/>
          <w:b w:val="0"/>
          <w:bCs/>
          <w:i w:val="0"/>
          <w:caps w:val="0"/>
          <w:color w:val="3D3D3D"/>
          <w:spacing w:val="0"/>
          <w:sz w:val="44"/>
          <w:szCs w:val="44"/>
          <w:lang w:val="en-US" w:eastAsia="zh-CN"/>
        </w:rPr>
        <w:t>2020</w:t>
      </w:r>
      <w:r>
        <w:rPr>
          <w:rFonts w:hint="eastAsia" w:ascii="方正小标宋简体" w:hAnsi="方正小标宋简体" w:eastAsia="方正小标宋简体" w:cs="方正小标宋简体"/>
          <w:b w:val="0"/>
          <w:bCs/>
          <w:i w:val="0"/>
          <w:caps w:val="0"/>
          <w:color w:val="3D3D3D"/>
          <w:spacing w:val="0"/>
          <w:sz w:val="44"/>
          <w:szCs w:val="44"/>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b/>
          <w:i w:val="0"/>
          <w:caps w:val="0"/>
          <w:color w:val="3D3D3D"/>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rPr>
        <w:t>按照</w:t>
      </w:r>
      <w:r>
        <w:rPr>
          <w:rFonts w:hint="eastAsia" w:ascii="仿宋_GB2312" w:hAnsi="仿宋_GB2312" w:eastAsia="仿宋_GB2312" w:cs="仿宋_GB2312"/>
          <w:i w:val="0"/>
          <w:caps w:val="0"/>
          <w:color w:val="3D3D3D"/>
          <w:spacing w:val="0"/>
          <w:sz w:val="32"/>
          <w:szCs w:val="32"/>
          <w:lang w:eastAsia="zh-CN"/>
        </w:rPr>
        <w:t>《</w:t>
      </w:r>
      <w:r>
        <w:rPr>
          <w:rFonts w:hint="eastAsia" w:ascii="仿宋_GB2312" w:hAnsi="仿宋_GB2312" w:eastAsia="仿宋_GB2312" w:cs="仿宋_GB2312"/>
          <w:i w:val="0"/>
          <w:caps w:val="0"/>
          <w:color w:val="3D3D3D"/>
          <w:spacing w:val="0"/>
          <w:sz w:val="32"/>
          <w:szCs w:val="32"/>
        </w:rPr>
        <w:t>国务院办公厅政府信息与政务公开办公室关于政府信息公开工作年度报告有关事项的通知》要求以及省市区工作部署，我单位较好的完成本年度政府信息公开工作，现将</w:t>
      </w:r>
      <w:r>
        <w:rPr>
          <w:rFonts w:hint="eastAsia" w:ascii="仿宋_GB2312" w:hAnsi="仿宋_GB2312" w:eastAsia="仿宋_GB2312" w:cs="仿宋_GB2312"/>
          <w:i w:val="0"/>
          <w:caps w:val="0"/>
          <w:color w:val="3D3D3D"/>
          <w:spacing w:val="0"/>
          <w:sz w:val="32"/>
          <w:szCs w:val="32"/>
          <w:lang w:val="en-US" w:eastAsia="zh-CN"/>
        </w:rPr>
        <w:t>2020</w:t>
      </w:r>
      <w:r>
        <w:rPr>
          <w:rFonts w:hint="eastAsia" w:ascii="仿宋_GB2312" w:hAnsi="仿宋_GB2312" w:eastAsia="仿宋_GB2312" w:cs="仿宋_GB2312"/>
          <w:i w:val="0"/>
          <w:caps w:val="0"/>
          <w:color w:val="3D3D3D"/>
          <w:spacing w:val="0"/>
          <w:sz w:val="32"/>
          <w:szCs w:val="32"/>
        </w:rPr>
        <w:t>年度政府信息公开工作情况汇报如下：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3D3D3D"/>
          <w:spacing w:val="0"/>
          <w:sz w:val="32"/>
          <w:szCs w:val="32"/>
          <w:lang w:val="en-US" w:eastAsia="zh-CN"/>
        </w:rPr>
      </w:pPr>
      <w:r>
        <w:rPr>
          <w:rFonts w:hint="eastAsia" w:ascii="仿宋_GB2312" w:hAnsi="仿宋_GB2312" w:eastAsia="仿宋_GB2312" w:cs="仿宋_GB2312"/>
          <w:i w:val="0"/>
          <w:caps w:val="0"/>
          <w:color w:val="3D3D3D"/>
          <w:spacing w:val="0"/>
          <w:sz w:val="32"/>
          <w:szCs w:val="32"/>
          <w:lang w:val="en-US" w:eastAsia="zh-CN"/>
        </w:rPr>
        <w:t>2020</w:t>
      </w:r>
      <w:r>
        <w:rPr>
          <w:rFonts w:hint="eastAsia" w:ascii="仿宋_GB2312" w:hAnsi="仿宋_GB2312" w:eastAsia="仿宋_GB2312" w:cs="仿宋_GB2312"/>
          <w:i w:val="0"/>
          <w:caps w:val="0"/>
          <w:color w:val="3D3D3D"/>
          <w:spacing w:val="0"/>
          <w:sz w:val="32"/>
          <w:szCs w:val="32"/>
        </w:rPr>
        <w:t>年，</w:t>
      </w:r>
      <w:r>
        <w:rPr>
          <w:rFonts w:hint="eastAsia" w:ascii="仿宋_GB2312" w:hAnsi="仿宋_GB2312" w:eastAsia="仿宋_GB2312" w:cs="仿宋_GB2312"/>
          <w:i w:val="0"/>
          <w:caps w:val="0"/>
          <w:color w:val="3D3D3D"/>
          <w:spacing w:val="0"/>
          <w:sz w:val="32"/>
          <w:szCs w:val="32"/>
          <w:lang w:val="en-US" w:eastAsia="zh-CN"/>
        </w:rPr>
        <w:t>我单位在区委、区政府的领导下，严格按照《中华人民共和国政府信息公开条例》、《</w:t>
      </w:r>
      <w:r>
        <w:rPr>
          <w:rFonts w:hint="eastAsia" w:ascii="仿宋_GB2312" w:hAnsi="仿宋_GB2312" w:eastAsia="仿宋_GB2312" w:cs="仿宋_GB2312"/>
          <w:i w:val="0"/>
          <w:caps w:val="0"/>
          <w:color w:val="3D3D3D"/>
          <w:spacing w:val="0"/>
          <w:sz w:val="32"/>
          <w:szCs w:val="32"/>
        </w:rPr>
        <w:t>山东省政府信息公开办法》有关规定</w:t>
      </w:r>
      <w:r>
        <w:rPr>
          <w:rFonts w:hint="eastAsia" w:ascii="仿宋_GB2312" w:hAnsi="仿宋_GB2312" w:eastAsia="仿宋_GB2312" w:cs="仿宋_GB2312"/>
          <w:i w:val="0"/>
          <w:caps w:val="0"/>
          <w:color w:val="3D3D3D"/>
          <w:spacing w:val="0"/>
          <w:sz w:val="32"/>
          <w:szCs w:val="32"/>
          <w:lang w:val="en-US" w:eastAsia="zh-CN"/>
        </w:rPr>
        <w:t>，以“公开为常态，以不公开为例外”为原则，把政府信息公开作为群众了解政务信息工作的窗口载体，精心组织，规范进行，有效保障了群众的知情权、参与权、监督权。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lang w:val="en-US" w:eastAsia="zh-CN"/>
        </w:rPr>
        <w:t>（一）人大代表、政协委员建议提案办理结果公开情况。2020年度，我单位未收到人大代表、政协委员提案。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lang w:val="en-US" w:eastAsia="zh-CN"/>
        </w:rPr>
        <w:t>（二）依申请公开情况。2020年，依申请信息公开数量1条，已按相关流程予以回复，并在规定时间内办结。</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eastAsia" w:ascii="仿宋_GB2312" w:hAnsi="仿宋_GB2312" w:eastAsia="仿宋_GB2312" w:cs="仿宋_GB2312"/>
          <w:i w:val="0"/>
          <w:caps w:val="0"/>
          <w:color w:val="3D3D3D"/>
          <w:spacing w:val="0"/>
          <w:sz w:val="32"/>
          <w:szCs w:val="32"/>
          <w:lang w:val="en-US" w:eastAsia="zh-CN"/>
        </w:rPr>
      </w:pPr>
      <w:r>
        <w:rPr>
          <w:rFonts w:hint="eastAsia" w:ascii="仿宋_GB2312" w:hAnsi="仿宋_GB2312" w:eastAsia="仿宋_GB2312" w:cs="仿宋_GB2312"/>
          <w:i w:val="0"/>
          <w:caps w:val="0"/>
          <w:color w:val="3D3D3D"/>
          <w:spacing w:val="0"/>
          <w:sz w:val="32"/>
          <w:szCs w:val="32"/>
          <w:lang w:val="en-US" w:eastAsia="zh-CN"/>
        </w:rPr>
        <w:t>（三</w:t>
      </w:r>
      <w:bookmarkStart w:id="0" w:name="_GoBack"/>
      <w:bookmarkEnd w:id="0"/>
      <w:r>
        <w:rPr>
          <w:rFonts w:hint="eastAsia" w:ascii="仿宋_GB2312" w:hAnsi="仿宋_GB2312" w:eastAsia="仿宋_GB2312" w:cs="仿宋_GB2312"/>
          <w:i w:val="0"/>
          <w:caps w:val="0"/>
          <w:color w:val="3D3D3D"/>
          <w:spacing w:val="0"/>
          <w:sz w:val="32"/>
          <w:szCs w:val="32"/>
          <w:lang w:val="en-US" w:eastAsia="zh-CN"/>
        </w:rPr>
        <w:t>）政府信息管理情况。2020年，通过政务公开平台、微信公众号及其他媒体主动公开政府信息共160余条，公开信息包括机构职能、部门动态、通知公告、业务文件、营商环境等内容。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lang w:val="en-US" w:eastAsia="zh-CN"/>
        </w:rPr>
        <w:t>（四）平台建设情况。调整了我单位信息主动公开目录，主动公开信息公开目录和信息公开指南等内容，进一步优化完善政务公开平台功能和栏目设置。</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lang w:val="en-US" w:eastAsia="zh-CN"/>
        </w:rPr>
        <w:t>（五）监督保障情况。进一步健全信息公开工作领导机制，调整完善领导小组及办公室组成人员，明确职责分工。配备1名工作人员具体负责信息公开工作，加强对各科室工作领导，积极参加政府信息公开工作培训。坚持内部监督和社会监督相结合体系，对外公布监督电话，推进人民群众监督和舆论监督，及时反馈群众呼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rPr>
        <w:t>二、主动公开政府信息情况</w:t>
      </w:r>
    </w:p>
    <w:tbl>
      <w:tblPr>
        <w:tblStyle w:val="3"/>
        <w:tblW w:w="7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7"/>
        <w:gridCol w:w="1929"/>
        <w:gridCol w:w="1884"/>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jc w:val="center"/>
        </w:trPr>
        <w:tc>
          <w:tcPr>
            <w:tcW w:w="757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信息内容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本年新制作数量</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本年新公开数量</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规章</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规范性文件</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jc w:val="center"/>
        </w:trPr>
        <w:tc>
          <w:tcPr>
            <w:tcW w:w="757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信息内容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上一年项目数量</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本年增/减</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行政许可</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其他对外管理服务事项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757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信息内容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上一年项目数量</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本年增/减</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caps w:val="0"/>
                <w:color w:val="3D3D3D"/>
                <w:spacing w:val="0"/>
                <w:sz w:val="24"/>
                <w:szCs w:val="24"/>
              </w:rPr>
            </w:pPr>
            <w:r>
              <w:rPr>
                <w:rFonts w:hint="eastAsia" w:ascii="仿宋" w:hAnsi="仿宋" w:eastAsia="仿宋" w:cs="仿宋"/>
                <w:i w:val="0"/>
                <w:caps w:val="0"/>
                <w:color w:val="3D3D3D"/>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行政处罚</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行政强制</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93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757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信息内容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上一年项目数量</w:t>
            </w:r>
          </w:p>
        </w:tc>
        <w:tc>
          <w:tcPr>
            <w:tcW w:w="382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行政事业性收费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382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757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信息内容</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采购项目数量</w:t>
            </w:r>
          </w:p>
        </w:tc>
        <w:tc>
          <w:tcPr>
            <w:tcW w:w="382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政府集中采购</w:t>
            </w:r>
          </w:p>
        </w:tc>
        <w:tc>
          <w:tcPr>
            <w:tcW w:w="19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221</w:t>
            </w:r>
          </w:p>
        </w:tc>
        <w:tc>
          <w:tcPr>
            <w:tcW w:w="382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26.8万元</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rPr>
        <w:t>三、收到和处理政府信息公开申请情况</w:t>
      </w:r>
    </w:p>
    <w:tbl>
      <w:tblPr>
        <w:tblStyle w:val="3"/>
        <w:tblW w:w="75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8"/>
        <w:gridCol w:w="828"/>
        <w:gridCol w:w="1690"/>
        <w:gridCol w:w="469"/>
        <w:gridCol w:w="487"/>
        <w:gridCol w:w="430"/>
        <w:gridCol w:w="515"/>
        <w:gridCol w:w="487"/>
        <w:gridCol w:w="459"/>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406"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（本列数据的勾稽关系为：第一项加第二项之和，等于第三项加第四项之和）</w:t>
            </w:r>
          </w:p>
        </w:tc>
        <w:tc>
          <w:tcPr>
            <w:tcW w:w="414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40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6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自然人</w:t>
            </w:r>
          </w:p>
        </w:tc>
        <w:tc>
          <w:tcPr>
            <w:tcW w:w="2378"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法人或其他组织</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6" w:hRule="atLeast"/>
          <w:jc w:val="center"/>
        </w:trPr>
        <w:tc>
          <w:tcPr>
            <w:tcW w:w="340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6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商业企业</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科研机构</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社会公益组织</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法律服务机构</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其他</w:t>
            </w:r>
          </w:p>
        </w:tc>
        <w:tc>
          <w:tcPr>
            <w:tcW w:w="129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40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一、本年新收政府信息公开申请数量</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i w:val="0"/>
                <w:caps w:val="0"/>
                <w:color w:val="3D3D3D"/>
                <w:spacing w:val="0"/>
                <w:sz w:val="24"/>
                <w:szCs w:val="24"/>
                <w:lang w:val="en-US" w:eastAsia="zh-CN"/>
              </w:rPr>
              <w:t>1</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i w:val="0"/>
                <w:caps w:val="0"/>
                <w:color w:val="3D3D3D"/>
                <w:spacing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40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二、上年结转政府信息公开申请数量</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三、本年度办理结果</w:t>
            </w:r>
          </w:p>
        </w:tc>
        <w:tc>
          <w:tcPr>
            <w:tcW w:w="251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（一）予以公开</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251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（二）部分公开（区分处理的，只计这一情形，不计其他情形）</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（三）不予公开</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1．属于国家秘密</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2．其他法律行政法规禁止公开</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3．危及“三安全一稳定”</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4．保护第三方合法权益</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5．属于三类内部事务信息</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6．属于四类过程性信息</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7．属于行政执法案卷</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8．属于行政查询事项</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（四）无法提供</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1．本机关不掌握相关政府信息</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2．没有现成信息需要另行制作</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3．补正后申请内容仍不明确</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（五）不予处理</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1．信访举报投诉类申请</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2．重复申请</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3．要求提供公开出版物</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4．无正当理由大量反复申请</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16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5．要求行政机关确认或重新出具已获取信息</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3D3D3D"/>
                <w:spacing w:val="0"/>
                <w:sz w:val="24"/>
                <w:szCs w:val="24"/>
              </w:rPr>
            </w:pPr>
          </w:p>
        </w:tc>
        <w:tc>
          <w:tcPr>
            <w:tcW w:w="251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（六）其他处理</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3D3D3D"/>
                <w:spacing w:val="0"/>
                <w:sz w:val="24"/>
                <w:szCs w:val="24"/>
              </w:rPr>
            </w:pPr>
          </w:p>
        </w:tc>
        <w:tc>
          <w:tcPr>
            <w:tcW w:w="251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（七）总计</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340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四、结转下年度继续办理</w:t>
            </w:r>
          </w:p>
        </w:tc>
        <w:tc>
          <w:tcPr>
            <w:tcW w:w="46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3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5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rPr>
        <w:t>四、政府信息公开行政复议、行政诉讼情况 </w:t>
      </w:r>
    </w:p>
    <w:tbl>
      <w:tblPr>
        <w:tblStyle w:val="3"/>
        <w:tblW w:w="7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9"/>
        <w:gridCol w:w="455"/>
        <w:gridCol w:w="455"/>
        <w:gridCol w:w="455"/>
        <w:gridCol w:w="455"/>
        <w:gridCol w:w="455"/>
        <w:gridCol w:w="454"/>
        <w:gridCol w:w="454"/>
        <w:gridCol w:w="454"/>
        <w:gridCol w:w="454"/>
        <w:gridCol w:w="455"/>
        <w:gridCol w:w="455"/>
        <w:gridCol w:w="455"/>
        <w:gridCol w:w="455"/>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293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行政复议</w:t>
            </w:r>
          </w:p>
        </w:tc>
        <w:tc>
          <w:tcPr>
            <w:tcW w:w="4546"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11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结果维持</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结果纠正</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其他结果</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尚未审结</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总计</w:t>
            </w:r>
          </w:p>
        </w:tc>
        <w:tc>
          <w:tcPr>
            <w:tcW w:w="2271"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未经复议直接起诉</w:t>
            </w:r>
          </w:p>
        </w:tc>
        <w:tc>
          <w:tcPr>
            <w:tcW w:w="227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6" w:hRule="atLeast"/>
          <w:jc w:val="center"/>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3D3D3D"/>
                <w:spacing w:val="0"/>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结果维持</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结果纠正</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其他结果</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尚未审结</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总计</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结果维持</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结果纠正</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其他结果</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尚未审结</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11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caps w:val="0"/>
                <w:color w:val="3D3D3D"/>
                <w:spacing w:val="0"/>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lang w:eastAsia="zh-CN"/>
        </w:rPr>
        <w:t>五、</w:t>
      </w:r>
      <w:r>
        <w:rPr>
          <w:rFonts w:hint="eastAsia" w:ascii="黑体" w:hAnsi="黑体" w:eastAsia="黑体" w:cs="黑体"/>
          <w:i w:val="0"/>
          <w:caps w:val="0"/>
          <w:color w:val="3D3D3D"/>
          <w:spacing w:val="0"/>
          <w:sz w:val="32"/>
          <w:szCs w:val="32"/>
        </w:rPr>
        <w:t>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left"/>
        <w:textAlignment w:val="auto"/>
      </w:pPr>
      <w:r>
        <w:rPr>
          <w:rFonts w:ascii="楷体_GB2312" w:hAnsi="微软雅黑" w:eastAsia="楷体_GB2312" w:cs="楷体_GB2312"/>
          <w:b w:val="0"/>
          <w:color w:val="3D3D3D"/>
          <w:sz w:val="31"/>
          <w:szCs w:val="31"/>
          <w:u w:val="none"/>
        </w:rPr>
        <w:t>1、存在的主要问题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3D3D3D"/>
          <w:spacing w:val="0"/>
          <w:sz w:val="32"/>
          <w:szCs w:val="32"/>
          <w:lang w:eastAsia="zh-CN"/>
        </w:rPr>
      </w:pPr>
      <w:r>
        <w:rPr>
          <w:rFonts w:hint="eastAsia" w:ascii="仿宋_GB2312" w:hAnsi="仿宋_GB2312" w:eastAsia="仿宋_GB2312" w:cs="仿宋_GB2312"/>
          <w:i w:val="0"/>
          <w:caps w:val="0"/>
          <w:color w:val="3D3D3D"/>
          <w:spacing w:val="0"/>
          <w:sz w:val="32"/>
          <w:szCs w:val="32"/>
        </w:rPr>
        <w:t>一是信息公开的及时性还不够</w:t>
      </w:r>
      <w:r>
        <w:rPr>
          <w:rFonts w:hint="eastAsia" w:ascii="仿宋_GB2312" w:hAnsi="仿宋_GB2312" w:eastAsia="仿宋_GB2312" w:cs="仿宋_GB2312"/>
          <w:i w:val="0"/>
          <w:caps w:val="0"/>
          <w:color w:val="3D3D3D"/>
          <w:spacing w:val="0"/>
          <w:sz w:val="32"/>
          <w:szCs w:val="32"/>
          <w:lang w:eastAsia="zh-CN"/>
        </w:rPr>
        <w:t>，</w:t>
      </w:r>
      <w:r>
        <w:rPr>
          <w:rFonts w:hint="eastAsia" w:ascii="仿宋_GB2312" w:hAnsi="仿宋_GB2312" w:eastAsia="仿宋_GB2312" w:cs="仿宋_GB2312"/>
          <w:i w:val="0"/>
          <w:caps w:val="0"/>
          <w:color w:val="3D3D3D"/>
          <w:spacing w:val="0"/>
          <w:sz w:val="32"/>
          <w:szCs w:val="32"/>
        </w:rPr>
        <w:t>信息公开的内容有待进一步完善，主动公开范围需要进一步放宽。二是公开渠道相对单一，主要是通过网站等方式公开，运用新媒体公开不够</w:t>
      </w:r>
      <w:r>
        <w:rPr>
          <w:rFonts w:hint="eastAsia" w:ascii="仿宋_GB2312" w:hAnsi="仿宋_GB2312" w:eastAsia="仿宋_GB2312" w:cs="仿宋_GB2312"/>
          <w:i w:val="0"/>
          <w:caps w:val="0"/>
          <w:color w:val="3D3D3D"/>
          <w:spacing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66"/>
        <w:jc w:val="left"/>
        <w:textAlignment w:val="auto"/>
      </w:pPr>
      <w:r>
        <w:rPr>
          <w:rFonts w:hint="eastAsia" w:ascii="仿宋_GB2312" w:hAnsi="微软雅黑" w:eastAsia="仿宋_GB2312" w:cs="仿宋_GB2312"/>
          <w:b w:val="0"/>
          <w:color w:val="3D3D3D"/>
          <w:sz w:val="31"/>
          <w:szCs w:val="31"/>
          <w:u w:val="none"/>
        </w:rPr>
        <w:t>  </w:t>
      </w:r>
      <w:r>
        <w:rPr>
          <w:rFonts w:hint="eastAsia" w:ascii="楷体_GB2312" w:hAnsi="微软雅黑" w:eastAsia="楷体_GB2312" w:cs="楷体_GB2312"/>
          <w:b w:val="0"/>
          <w:color w:val="3D3D3D"/>
          <w:sz w:val="31"/>
          <w:szCs w:val="31"/>
          <w:u w:val="none"/>
        </w:rPr>
        <w:t> 2、具体的改进措施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caps w:val="0"/>
          <w:color w:val="3D3D3D"/>
          <w:spacing w:val="0"/>
          <w:sz w:val="32"/>
          <w:szCs w:val="32"/>
        </w:rPr>
      </w:pPr>
      <w:r>
        <w:rPr>
          <w:rStyle w:val="5"/>
          <w:rFonts w:hint="eastAsia" w:ascii="仿宋_GB2312" w:hAnsi="微软雅黑" w:eastAsia="仿宋_GB2312" w:cs="仿宋_GB2312"/>
          <w:b w:val="0"/>
          <w:bCs/>
          <w:color w:val="3D3D3D"/>
          <w:sz w:val="32"/>
          <w:szCs w:val="32"/>
          <w:u w:val="none"/>
        </w:rPr>
        <w:t>（</w:t>
      </w:r>
      <w:r>
        <w:rPr>
          <w:rStyle w:val="5"/>
          <w:rFonts w:hint="eastAsia" w:ascii="仿宋_GB2312" w:hAnsi="微软雅黑" w:eastAsia="仿宋_GB2312" w:cs="仿宋_GB2312"/>
          <w:b w:val="0"/>
          <w:bCs/>
          <w:color w:val="3D3D3D"/>
          <w:sz w:val="32"/>
          <w:szCs w:val="32"/>
          <w:u w:val="none"/>
          <w:lang w:val="en-US" w:eastAsia="zh-CN"/>
        </w:rPr>
        <w:t>1</w:t>
      </w:r>
      <w:r>
        <w:rPr>
          <w:rStyle w:val="5"/>
          <w:rFonts w:hint="eastAsia" w:ascii="仿宋_GB2312" w:hAnsi="微软雅黑" w:eastAsia="仿宋_GB2312" w:cs="仿宋_GB2312"/>
          <w:b w:val="0"/>
          <w:bCs/>
          <w:color w:val="3D3D3D"/>
          <w:sz w:val="32"/>
          <w:szCs w:val="32"/>
          <w:u w:val="none"/>
        </w:rPr>
        <w:t>）认真梳理，逐步扩大公开内容。</w:t>
      </w:r>
      <w:r>
        <w:rPr>
          <w:rFonts w:hint="eastAsia" w:ascii="仿宋_GB2312" w:hAnsi="仿宋_GB2312" w:eastAsia="仿宋_GB2312" w:cs="仿宋_GB2312"/>
          <w:b w:val="0"/>
          <w:bCs/>
          <w:i w:val="0"/>
          <w:caps w:val="0"/>
          <w:color w:val="3D3D3D"/>
          <w:spacing w:val="0"/>
          <w:sz w:val="32"/>
          <w:szCs w:val="32"/>
        </w:rPr>
        <w:t>进一步梳理政府信息，对原有的政府信息公开</w:t>
      </w:r>
      <w:r>
        <w:rPr>
          <w:rFonts w:hint="eastAsia" w:ascii="仿宋_GB2312" w:hAnsi="仿宋_GB2312" w:eastAsia="仿宋_GB2312" w:cs="仿宋_GB2312"/>
          <w:b w:val="0"/>
          <w:bCs/>
          <w:i w:val="0"/>
          <w:caps w:val="0"/>
          <w:color w:val="3D3D3D"/>
          <w:spacing w:val="0"/>
          <w:sz w:val="32"/>
          <w:szCs w:val="32"/>
          <w:lang w:eastAsia="zh-CN"/>
        </w:rPr>
        <w:t>内容</w:t>
      </w:r>
      <w:r>
        <w:rPr>
          <w:rFonts w:hint="eastAsia" w:ascii="仿宋_GB2312" w:hAnsi="仿宋_GB2312" w:eastAsia="仿宋_GB2312" w:cs="仿宋_GB2312"/>
          <w:b w:val="0"/>
          <w:bCs/>
          <w:i w:val="0"/>
          <w:caps w:val="0"/>
          <w:color w:val="3D3D3D"/>
          <w:spacing w:val="0"/>
          <w:sz w:val="32"/>
          <w:szCs w:val="32"/>
        </w:rPr>
        <w:t>进行补充完善，保证公开信息的完整性和准确性。拓宽公开内容渠道，综合利用区政府网站、微信公众号、网络媒体等各类宣传载体，切实为公众提供快捷方便的服务。</w:t>
      </w:r>
    </w:p>
    <w:p>
      <w:pPr>
        <w:autoSpaceDN w:val="0"/>
        <w:spacing w:line="560" w:lineRule="exact"/>
        <w:ind w:firstLine="640" w:firstLineChars="200"/>
        <w:jc w:val="left"/>
        <w:rPr>
          <w:rFonts w:hint="eastAsia" w:ascii="仿宋_GB2312" w:hAnsi="仿宋_GB2312" w:eastAsia="仿宋_GB2312" w:cs="仿宋_GB2312"/>
          <w:b w:val="0"/>
          <w:bCs/>
          <w:i w:val="0"/>
          <w:caps w:val="0"/>
          <w:color w:val="3D3D3D"/>
          <w:spacing w:val="0"/>
          <w:kern w:val="0"/>
          <w:sz w:val="32"/>
          <w:szCs w:val="32"/>
          <w:lang w:val="en-US" w:eastAsia="zh-CN" w:bidi="ar"/>
        </w:rPr>
      </w:pPr>
      <w:r>
        <w:rPr>
          <w:rStyle w:val="5"/>
          <w:rFonts w:hint="eastAsia" w:ascii="仿宋_GB2312" w:hAnsi="微软雅黑" w:eastAsia="仿宋_GB2312" w:cs="仿宋_GB2312"/>
          <w:b w:val="0"/>
          <w:bCs/>
          <w:color w:val="3D3D3D"/>
          <w:sz w:val="32"/>
          <w:szCs w:val="32"/>
          <w:u w:val="none"/>
        </w:rPr>
        <w:t>（</w:t>
      </w:r>
      <w:r>
        <w:rPr>
          <w:rStyle w:val="5"/>
          <w:rFonts w:hint="eastAsia" w:ascii="仿宋_GB2312" w:hAnsi="微软雅黑" w:eastAsia="仿宋_GB2312" w:cs="仿宋_GB2312"/>
          <w:b w:val="0"/>
          <w:bCs/>
          <w:color w:val="3D3D3D"/>
          <w:sz w:val="32"/>
          <w:szCs w:val="32"/>
          <w:u w:val="none"/>
          <w:lang w:val="en-US" w:eastAsia="zh-CN"/>
        </w:rPr>
        <w:t>2</w:t>
      </w:r>
      <w:r>
        <w:rPr>
          <w:rStyle w:val="5"/>
          <w:rFonts w:hint="eastAsia" w:ascii="仿宋_GB2312" w:hAnsi="微软雅黑" w:eastAsia="仿宋_GB2312" w:cs="仿宋_GB2312"/>
          <w:b w:val="0"/>
          <w:bCs/>
          <w:color w:val="3D3D3D"/>
          <w:sz w:val="32"/>
          <w:szCs w:val="32"/>
          <w:u w:val="none"/>
        </w:rPr>
        <w:t>）</w:t>
      </w:r>
      <w:r>
        <w:rPr>
          <w:rFonts w:hint="eastAsia" w:ascii="仿宋_GB2312" w:hAnsi="仿宋_GB2312" w:eastAsia="仿宋_GB2312"/>
          <w:b w:val="0"/>
          <w:bCs/>
          <w:sz w:val="32"/>
          <w:szCs w:val="32"/>
        </w:rPr>
        <w:t>加强理论学习和业务培训，</w:t>
      </w:r>
      <w:r>
        <w:rPr>
          <w:rFonts w:hint="eastAsia" w:ascii="仿宋_GB2312" w:hAnsi="仿宋_GB2312" w:eastAsia="仿宋_GB2312" w:cs="仿宋_GB2312"/>
          <w:b w:val="0"/>
          <w:bCs/>
          <w:i w:val="0"/>
          <w:caps w:val="0"/>
          <w:color w:val="3D3D3D"/>
          <w:spacing w:val="0"/>
          <w:kern w:val="0"/>
          <w:sz w:val="32"/>
          <w:szCs w:val="32"/>
          <w:lang w:val="en-US" w:eastAsia="zh-CN" w:bidi="ar"/>
        </w:rPr>
        <w:t>强化信息公开责任意识，健全机制，补齐工作短板，不断提升政务公开工作能力和水平，努力推动信息公开工作迈上新台阶。</w:t>
      </w:r>
    </w:p>
    <w:p>
      <w:pPr>
        <w:autoSpaceDN w:val="0"/>
        <w:spacing w:line="560" w:lineRule="exact"/>
        <w:ind w:firstLine="640" w:firstLineChars="200"/>
        <w:jc w:val="left"/>
        <w:rPr>
          <w:rFonts w:hint="eastAsia" w:ascii="仿宋" w:hAnsi="仿宋" w:eastAsia="仿宋" w:cs="仿宋"/>
          <w:i w:val="0"/>
          <w:caps w:val="0"/>
          <w:color w:val="3D3D3D"/>
          <w:spacing w:val="0"/>
          <w:sz w:val="32"/>
          <w:szCs w:val="32"/>
          <w:lang w:val="en-US" w:eastAsia="zh-CN"/>
        </w:rPr>
      </w:pPr>
      <w:r>
        <w:rPr>
          <w:rFonts w:hint="eastAsia" w:ascii="黑体" w:hAnsi="黑体" w:eastAsia="黑体" w:cs="黑体"/>
          <w:i w:val="0"/>
          <w:caps w:val="0"/>
          <w:color w:val="3D3D3D"/>
          <w:spacing w:val="0"/>
          <w:sz w:val="32"/>
          <w:szCs w:val="32"/>
        </w:rPr>
        <w:t>六、其他需要报告的事项</w:t>
      </w:r>
      <w:r>
        <w:rPr>
          <w:rFonts w:hint="eastAsia" w:ascii="仿宋" w:hAnsi="仿宋" w:eastAsia="仿宋" w:cs="仿宋"/>
          <w:i w:val="0"/>
          <w:caps w:val="0"/>
          <w:color w:val="3D3D3D"/>
          <w:spacing w:val="0"/>
          <w:sz w:val="32"/>
          <w:szCs w:val="32"/>
          <w:lang w:val="en-US" w:eastAsia="zh-CN"/>
        </w:rPr>
        <w:t xml:space="preserve">                 </w:t>
      </w:r>
    </w:p>
    <w:p>
      <w:pPr>
        <w:autoSpaceDN w:val="0"/>
        <w:spacing w:line="560" w:lineRule="exact"/>
        <w:ind w:firstLine="640" w:firstLineChars="200"/>
        <w:jc w:val="left"/>
        <w:rPr>
          <w:rFonts w:hint="eastAsia" w:ascii="仿宋" w:hAnsi="仿宋" w:eastAsia="仿宋" w:cs="仿宋"/>
          <w:i w:val="0"/>
          <w:caps w:val="0"/>
          <w:color w:val="3D3D3D"/>
          <w:spacing w:val="0"/>
          <w:sz w:val="32"/>
          <w:szCs w:val="32"/>
          <w:lang w:val="en-US" w:eastAsia="zh-CN"/>
        </w:rPr>
      </w:pPr>
      <w:r>
        <w:rPr>
          <w:rFonts w:hint="eastAsia" w:ascii="仿宋" w:hAnsi="仿宋" w:eastAsia="仿宋" w:cs="仿宋"/>
          <w:i w:val="0"/>
          <w:caps w:val="0"/>
          <w:color w:val="3D3D3D"/>
          <w:spacing w:val="0"/>
          <w:sz w:val="32"/>
          <w:szCs w:val="32"/>
          <w:lang w:val="en-US" w:eastAsia="zh-CN"/>
        </w:rPr>
        <w:t>无</w:t>
      </w:r>
    </w:p>
    <w:p>
      <w:pPr>
        <w:autoSpaceDN w:val="0"/>
        <w:spacing w:line="560" w:lineRule="exact"/>
        <w:ind w:firstLine="640" w:firstLineChars="200"/>
        <w:jc w:val="left"/>
        <w:rPr>
          <w:rFonts w:hint="eastAsia" w:ascii="仿宋" w:hAnsi="仿宋" w:eastAsia="仿宋" w:cs="仿宋"/>
          <w:i w:val="0"/>
          <w:caps w:val="0"/>
          <w:color w:val="3D3D3D"/>
          <w:spacing w:val="0"/>
          <w:sz w:val="32"/>
          <w:szCs w:val="32"/>
          <w:lang w:val="en-US" w:eastAsia="zh-CN"/>
        </w:rPr>
      </w:pPr>
    </w:p>
    <w:p>
      <w:pPr>
        <w:autoSpaceDN w:val="0"/>
        <w:spacing w:line="560" w:lineRule="exact"/>
        <w:ind w:firstLine="640" w:firstLineChars="200"/>
        <w:jc w:val="left"/>
        <w:rPr>
          <w:rFonts w:hint="eastAsia" w:ascii="仿宋" w:hAnsi="仿宋" w:eastAsia="仿宋" w:cs="仿宋"/>
          <w:i w:val="0"/>
          <w:caps w:val="0"/>
          <w:color w:val="3D3D3D"/>
          <w:spacing w:val="0"/>
          <w:sz w:val="32"/>
          <w:szCs w:val="32"/>
          <w:lang w:val="en-US" w:eastAsia="zh-CN"/>
        </w:rPr>
      </w:pPr>
    </w:p>
    <w:p>
      <w:pPr>
        <w:autoSpaceDN w:val="0"/>
        <w:spacing w:line="560" w:lineRule="exact"/>
        <w:ind w:firstLine="5440" w:firstLineChars="1700"/>
        <w:jc w:val="left"/>
        <w:rPr>
          <w:rFonts w:hint="eastAsia" w:ascii="仿宋" w:hAnsi="仿宋" w:eastAsia="仿宋" w:cs="仿宋"/>
          <w:i w:val="0"/>
          <w:caps w:val="0"/>
          <w:color w:val="3D3D3D"/>
          <w:spacing w:val="0"/>
          <w:sz w:val="32"/>
          <w:szCs w:val="32"/>
          <w:lang w:val="en-US" w:eastAsia="zh-CN"/>
        </w:rPr>
      </w:pPr>
      <w:r>
        <w:rPr>
          <w:rFonts w:hint="eastAsia" w:ascii="仿宋" w:hAnsi="仿宋" w:eastAsia="仿宋" w:cs="仿宋"/>
          <w:i w:val="0"/>
          <w:caps w:val="0"/>
          <w:color w:val="3D3D3D"/>
          <w:spacing w:val="0"/>
          <w:sz w:val="32"/>
          <w:szCs w:val="32"/>
          <w:lang w:val="en-US" w:eastAsia="zh-CN"/>
        </w:rPr>
        <w:t>淄川区招商局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仿宋" w:hAnsi="仿宋" w:eastAsia="仿宋" w:cs="仿宋"/>
          <w:i w:val="0"/>
          <w:caps w:val="0"/>
          <w:color w:val="3D3D3D"/>
          <w:spacing w:val="0"/>
          <w:sz w:val="32"/>
          <w:szCs w:val="32"/>
          <w:lang w:val="en-US" w:eastAsia="zh-CN"/>
        </w:rPr>
      </w:pPr>
      <w:r>
        <w:rPr>
          <w:rFonts w:hint="eastAsia" w:ascii="仿宋" w:hAnsi="仿宋" w:eastAsia="仿宋" w:cs="仿宋"/>
          <w:i w:val="0"/>
          <w:caps w:val="0"/>
          <w:color w:val="3D3D3D"/>
          <w:spacing w:val="0"/>
          <w:sz w:val="32"/>
          <w:szCs w:val="32"/>
          <w:lang w:val="en-US" w:eastAsia="zh-CN"/>
        </w:rPr>
        <w:t xml:space="preserve">                       2021年1月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仿宋" w:hAnsi="仿宋" w:eastAsia="仿宋" w:cs="仿宋"/>
          <w:i w:val="0"/>
          <w:caps w:val="0"/>
          <w:color w:val="3D3D3D"/>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仿宋" w:hAnsi="仿宋" w:eastAsia="仿宋" w:cs="仿宋"/>
          <w:i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D3D3D"/>
          <w:spacing w:val="0"/>
          <w:sz w:val="32"/>
          <w:szCs w:val="32"/>
          <w:lang w:val="en-US" w:eastAsia="zh-CN"/>
        </w:rPr>
      </w:pPr>
      <w:r>
        <w:rPr>
          <w:rFonts w:hint="eastAsia" w:ascii="微软雅黑" w:hAnsi="微软雅黑" w:eastAsia="微软雅黑" w:cs="微软雅黑"/>
          <w:i w:val="0"/>
          <w:caps w:val="0"/>
          <w:color w:val="3D3D3D"/>
          <w:spacing w:val="0"/>
          <w:sz w:val="18"/>
          <w:szCs w:val="18"/>
        </w:rPr>
        <w:t> </w:t>
      </w:r>
      <w:r>
        <w:rPr>
          <w:rFonts w:hint="eastAsia" w:ascii="微软雅黑" w:hAnsi="微软雅黑" w:eastAsia="微软雅黑" w:cs="微软雅黑"/>
          <w:i w:val="0"/>
          <w:caps w:val="0"/>
          <w:color w:val="3D3D3D"/>
          <w:spacing w:val="0"/>
          <w:sz w:val="18"/>
          <w:szCs w:val="18"/>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caps w:val="0"/>
          <w:color w:val="3D3D3D"/>
          <w:spacing w:val="0"/>
          <w:sz w:val="18"/>
          <w:szCs w:val="1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E5745"/>
    <w:rsid w:val="081A5C08"/>
    <w:rsid w:val="081E2251"/>
    <w:rsid w:val="0AAA0438"/>
    <w:rsid w:val="0DD848D2"/>
    <w:rsid w:val="0E5605E2"/>
    <w:rsid w:val="14A70E66"/>
    <w:rsid w:val="1986610C"/>
    <w:rsid w:val="19E73E9F"/>
    <w:rsid w:val="1DCF374B"/>
    <w:rsid w:val="21E93981"/>
    <w:rsid w:val="233C4A60"/>
    <w:rsid w:val="238F2B3A"/>
    <w:rsid w:val="28137A2C"/>
    <w:rsid w:val="2B9967BE"/>
    <w:rsid w:val="3330393D"/>
    <w:rsid w:val="35A53110"/>
    <w:rsid w:val="3CCD598C"/>
    <w:rsid w:val="3D9B6A84"/>
    <w:rsid w:val="40082575"/>
    <w:rsid w:val="41542118"/>
    <w:rsid w:val="43A91E02"/>
    <w:rsid w:val="44152562"/>
    <w:rsid w:val="4DD66F86"/>
    <w:rsid w:val="4DD7548A"/>
    <w:rsid w:val="4E20058E"/>
    <w:rsid w:val="529F7108"/>
    <w:rsid w:val="55F7400A"/>
    <w:rsid w:val="55F92015"/>
    <w:rsid w:val="56E970D3"/>
    <w:rsid w:val="5B4327AF"/>
    <w:rsid w:val="5CDB278B"/>
    <w:rsid w:val="5E2B41FD"/>
    <w:rsid w:val="60E767B4"/>
    <w:rsid w:val="64940AE4"/>
    <w:rsid w:val="6508516D"/>
    <w:rsid w:val="692A3B6F"/>
    <w:rsid w:val="6BA51728"/>
    <w:rsid w:val="6CFE42A8"/>
    <w:rsid w:val="722F4D49"/>
    <w:rsid w:val="73F31870"/>
    <w:rsid w:val="74EB4B96"/>
    <w:rsid w:val="75F722A4"/>
    <w:rsid w:val="77A12875"/>
    <w:rsid w:val="7A4B4B9C"/>
    <w:rsid w:val="7D3E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1207</Words>
  <Characters>1227</Characters>
  <Lines>0</Lines>
  <Paragraphs>0</Paragraphs>
  <TotalTime>0</TotalTime>
  <ScaleCrop>false</ScaleCrop>
  <LinksUpToDate>false</LinksUpToDate>
  <CharactersWithSpaces>1302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2020-06-25T01:48:00Z</dcterms:created>
  <dc:creator>lenovo</dc:creator>
  <cp:lastModifiedBy>粒粒逗</cp:lastModifiedBy>
  <dcterms:modified xsi:type="dcterms:W3CDTF">2021-01-27T11:49:45Z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