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suppressAutoHyphens/>
        <w:kinsoku/>
        <w:wordWrap/>
        <w:overflowPunct/>
        <w:topLinePunct w:val="0"/>
        <w:autoSpaceDE/>
        <w:autoSpaceDN w:val="0"/>
        <w:bidi w:val="0"/>
        <w:adjustRightInd/>
        <w:snapToGrid/>
        <w:spacing w:afterAutospacing="0" w:line="560" w:lineRule="exact"/>
        <w:jc w:val="center"/>
        <w:textAlignment w:val="baseline"/>
        <w:rPr>
          <w:rFonts w:hint="eastAsia" w:ascii="方正小标宋简体" w:hAnsi="方正小标宋简体" w:eastAsia="方正小标宋简体" w:cs="方正小标宋简体"/>
          <w:b w:val="0"/>
          <w:bCs/>
          <w:kern w:val="3"/>
          <w:sz w:val="44"/>
          <w:szCs w:val="44"/>
          <w:lang w:val="en-US" w:eastAsia="zh-CN"/>
        </w:rPr>
      </w:pPr>
      <w:r>
        <w:rPr>
          <w:rFonts w:hint="eastAsia" w:ascii="方正小标宋简体" w:hAnsi="方正小标宋简体" w:eastAsia="方正小标宋简体" w:cs="方正小标宋简体"/>
          <w:b w:val="0"/>
          <w:bCs/>
          <w:kern w:val="3"/>
          <w:sz w:val="44"/>
          <w:szCs w:val="44"/>
          <w:lang w:val="en-US" w:eastAsia="zh-CN"/>
        </w:rPr>
        <w:t>日本知识产权相关法律简介</w:t>
      </w:r>
    </w:p>
    <w:p>
      <w:pPr>
        <w:keepNext w:val="0"/>
        <w:keepLines w:val="0"/>
        <w:pageBreakBefore w:val="0"/>
        <w:suppressAutoHyphens/>
        <w:kinsoku/>
        <w:wordWrap/>
        <w:overflowPunct/>
        <w:topLinePunct w:val="0"/>
        <w:autoSpaceDE/>
        <w:autoSpaceDN w:val="0"/>
        <w:bidi w:val="0"/>
        <w:adjustRightInd/>
        <w:snapToGrid/>
        <w:spacing w:afterAutospacing="0" w:line="560" w:lineRule="exact"/>
        <w:textAlignment w:val="baseline"/>
        <w:rPr>
          <w:rFonts w:hint="eastAsia" w:ascii="仿宋_GB2312" w:hAnsi="仿宋_GB2312" w:eastAsia="仿宋_GB2312" w:cs="仿宋_GB2312"/>
          <w:b/>
          <w:kern w:val="3"/>
          <w:sz w:val="32"/>
          <w:szCs w:val="32"/>
          <w:lang w:val="en-US" w:eastAsia="zh-CN"/>
        </w:rPr>
      </w:pPr>
    </w:p>
    <w:p>
      <w:pPr>
        <w:keepNext w:val="0"/>
        <w:keepLines w:val="0"/>
        <w:pageBreakBefore w:val="0"/>
        <w:suppressAutoHyphens/>
        <w:kinsoku/>
        <w:wordWrap/>
        <w:overflowPunct/>
        <w:topLinePunct w:val="0"/>
        <w:autoSpaceDE/>
        <w:autoSpaceDN w:val="0"/>
        <w:bidi w:val="0"/>
        <w:adjustRightInd/>
        <w:snapToGrid/>
        <w:spacing w:afterAutospacing="0" w:line="560" w:lineRule="exact"/>
        <w:ind w:firstLine="640" w:firstLineChars="200"/>
        <w:textAlignment w:val="baseline"/>
        <w:rPr>
          <w:rFonts w:hint="eastAsia" w:ascii="仿宋_GB2312" w:hAnsi="仿宋_GB2312" w:eastAsia="仿宋_GB2312" w:cs="仿宋_GB2312"/>
          <w:b/>
          <w:kern w:val="3"/>
          <w:sz w:val="32"/>
          <w:szCs w:val="32"/>
        </w:rPr>
      </w:pPr>
      <w:r>
        <w:rPr>
          <w:rFonts w:hint="eastAsia" w:ascii="仿宋_GB2312" w:hAnsi="仿宋_GB2312" w:eastAsia="仿宋_GB2312" w:cs="仿宋_GB2312"/>
          <w:i w:val="0"/>
          <w:caps w:val="0"/>
          <w:spacing w:val="0"/>
          <w:sz w:val="32"/>
          <w:szCs w:val="32"/>
        </w:rPr>
        <w:t>为助力我区出海企业更好地把握日本市场知识产权保护规则，有效规避海外经营中的法律风险，提升企业在日本市场的核心竞争力与创新成果保护能力，区市场监管局结合日本知识产权法律体系，梳理形成最新日本知识产权法律政策简介</w:t>
      </w:r>
      <w:r>
        <w:rPr>
          <w:rFonts w:hint="eastAsia" w:ascii="仿宋_GB2312" w:hAnsi="仿宋_GB2312" w:eastAsia="仿宋_GB2312" w:cs="仿宋_GB2312"/>
          <w:i w:val="0"/>
          <w:caps w:val="0"/>
          <w:spacing w:val="0"/>
          <w:sz w:val="32"/>
          <w:szCs w:val="32"/>
          <w:lang w:eastAsia="zh-CN"/>
        </w:rPr>
        <w:t>，日本专利、</w:t>
      </w:r>
      <w:r>
        <w:rPr>
          <w:rFonts w:hint="eastAsia" w:ascii="仿宋_GB2312" w:hAnsi="仿宋_GB2312" w:eastAsia="仿宋_GB2312" w:cs="仿宋_GB2312"/>
          <w:i w:val="0"/>
          <w:caps w:val="0"/>
          <w:spacing w:val="0"/>
          <w:sz w:val="32"/>
          <w:szCs w:val="32"/>
          <w:lang w:val="en-US" w:eastAsia="zh-CN"/>
        </w:rPr>
        <w:t>注册商标</w:t>
      </w:r>
      <w:r>
        <w:rPr>
          <w:rFonts w:hint="eastAsia" w:ascii="仿宋_GB2312" w:hAnsi="仿宋_GB2312" w:eastAsia="仿宋_GB2312" w:cs="仿宋_GB2312"/>
          <w:i w:val="0"/>
          <w:caps w:val="0"/>
          <w:spacing w:val="0"/>
          <w:sz w:val="32"/>
          <w:szCs w:val="32"/>
          <w:lang w:eastAsia="zh-CN"/>
        </w:rPr>
        <w:t>申请布局指南，在日本申请专利、注册商标等知识产权方面注意事项</w:t>
      </w:r>
      <w:r>
        <w:rPr>
          <w:rFonts w:hint="eastAsia" w:ascii="仿宋_GB2312" w:hAnsi="仿宋_GB2312" w:eastAsia="仿宋_GB2312" w:cs="仿宋_GB2312"/>
          <w:i w:val="0"/>
          <w:caps w:val="0"/>
          <w:spacing w:val="0"/>
          <w:sz w:val="32"/>
          <w:szCs w:val="32"/>
          <w:lang w:val="en-US" w:eastAsia="zh-CN"/>
        </w:rPr>
        <w:t>等几部分内容</w:t>
      </w:r>
      <w:r>
        <w:rPr>
          <w:rFonts w:hint="eastAsia" w:ascii="仿宋_GB2312" w:hAnsi="仿宋_GB2312" w:eastAsia="仿宋_GB2312" w:cs="仿宋_GB2312"/>
          <w:i w:val="0"/>
          <w:caps w:val="0"/>
          <w:spacing w:val="0"/>
          <w:sz w:val="32"/>
          <w:szCs w:val="32"/>
        </w:rPr>
        <w:t>，为企业在日本开展研发、生产、销售及品牌运营等活动提供</w:t>
      </w:r>
      <w:r>
        <w:rPr>
          <w:rFonts w:hint="eastAsia" w:ascii="仿宋_GB2312" w:hAnsi="仿宋_GB2312" w:eastAsia="仿宋_GB2312" w:cs="仿宋_GB2312"/>
          <w:i w:val="0"/>
          <w:caps w:val="0"/>
          <w:spacing w:val="0"/>
          <w:sz w:val="32"/>
          <w:szCs w:val="32"/>
          <w:lang w:val="en-US" w:eastAsia="zh-CN"/>
        </w:rPr>
        <w:t>相关</w:t>
      </w:r>
      <w:r>
        <w:rPr>
          <w:rFonts w:hint="eastAsia" w:ascii="仿宋_GB2312" w:hAnsi="仿宋_GB2312" w:eastAsia="仿宋_GB2312" w:cs="仿宋_GB2312"/>
          <w:i w:val="0"/>
          <w:caps w:val="0"/>
          <w:spacing w:val="0"/>
          <w:sz w:val="32"/>
          <w:szCs w:val="32"/>
        </w:rPr>
        <w:t>法律参考。</w:t>
      </w:r>
    </w:p>
    <w:p>
      <w:pPr>
        <w:keepNext w:val="0"/>
        <w:keepLines w:val="0"/>
        <w:pageBreakBefore w:val="0"/>
        <w:suppressAutoHyphens/>
        <w:kinsoku/>
        <w:wordWrap/>
        <w:overflowPunct/>
        <w:topLinePunct w:val="0"/>
        <w:autoSpaceDE/>
        <w:autoSpaceDN w:val="0"/>
        <w:bidi w:val="0"/>
        <w:adjustRightInd/>
        <w:snapToGrid/>
        <w:spacing w:afterAutospacing="0" w:line="560" w:lineRule="exact"/>
        <w:ind w:firstLine="640" w:firstLineChars="200"/>
        <w:textAlignment w:val="baseline"/>
        <w:rPr>
          <w:rFonts w:hint="eastAsia" w:ascii="黑体" w:hAnsi="黑体" w:eastAsia="黑体" w:cs="黑体"/>
          <w:b w:val="0"/>
          <w:bCs/>
          <w:kern w:val="3"/>
          <w:sz w:val="32"/>
          <w:szCs w:val="32"/>
        </w:rPr>
      </w:pPr>
      <w:r>
        <w:rPr>
          <w:rFonts w:hint="eastAsia" w:ascii="黑体" w:hAnsi="黑体" w:eastAsia="黑体" w:cs="黑体"/>
          <w:b w:val="0"/>
          <w:bCs/>
          <w:kern w:val="3"/>
          <w:sz w:val="32"/>
          <w:szCs w:val="32"/>
        </w:rPr>
        <w:t>一</w:t>
      </w:r>
      <w:r>
        <w:rPr>
          <w:rFonts w:hint="eastAsia" w:ascii="黑体" w:hAnsi="黑体" w:eastAsia="黑体" w:cs="黑体"/>
          <w:b w:val="0"/>
          <w:bCs/>
          <w:kern w:val="3"/>
          <w:sz w:val="32"/>
          <w:szCs w:val="32"/>
          <w:lang w:eastAsia="zh-CN"/>
        </w:rPr>
        <w:t>、</w:t>
      </w:r>
      <w:r>
        <w:rPr>
          <w:rFonts w:hint="eastAsia" w:ascii="黑体" w:hAnsi="黑体" w:eastAsia="黑体" w:cs="黑体"/>
          <w:b w:val="0"/>
          <w:bCs/>
          <w:kern w:val="3"/>
          <w:sz w:val="32"/>
          <w:szCs w:val="32"/>
        </w:rPr>
        <w:t>最新日本知识产权法律政策简介及法律一览表</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日本的知识产权法律体系较为完善，涵盖了专利、商标、著作权等多个领域。日本在2025年对其知识产权法律和政策进行了一些更新和调整，主要集中在人工智能（AI）技术的应用、知识产权保护的强化以及国际竞争力的提升。以下是其核心的法律法规概览：</w:t>
      </w:r>
    </w:p>
    <w:tbl>
      <w:tblPr>
        <w:tblStyle w:val="8"/>
        <w:tblW w:w="91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2132"/>
        <w:gridCol w:w="3185"/>
        <w:gridCol w:w="3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《专利法》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保护利用自然法则做出的高水平技术发明。</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保护期：自申请日起</w:t>
            </w:r>
            <w:r>
              <w:rPr>
                <w:rStyle w:val="10"/>
                <w:rFonts w:hint="eastAsia" w:asciiTheme="minorEastAsia" w:hAnsiTheme="minorEastAsia" w:eastAsiaTheme="minorEastAsia" w:cstheme="minorEastAsia"/>
                <w:b w:val="0"/>
                <w:kern w:val="0"/>
                <w:sz w:val="24"/>
                <w:szCs w:val="24"/>
                <w:lang w:bidi="ar"/>
              </w:rPr>
              <w:t>20年</w:t>
            </w:r>
            <w:r>
              <w:rPr>
                <w:rFonts w:hint="eastAsia" w:asciiTheme="minorEastAsia" w:hAnsiTheme="minorEastAsia" w:eastAsiaTheme="minorEastAsia" w:cstheme="minorEastAsia"/>
                <w:kern w:val="0"/>
                <w:sz w:val="24"/>
                <w:szCs w:val="24"/>
                <w:lang w:bidi="ar"/>
              </w:rPr>
              <w:t>（因药品审查等原因可申请最长延长5年）。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持续关注AI相关发明的审查标准，并讨论AI作为发明人的问题。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《实用新型法》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保护物品的形状、构造或其结合的设计。</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保护期：自申请日起</w:t>
            </w:r>
            <w:r>
              <w:rPr>
                <w:rStyle w:val="10"/>
                <w:rFonts w:hint="eastAsia" w:asciiTheme="minorEastAsia" w:hAnsiTheme="minorEastAsia" w:eastAsiaTheme="minorEastAsia" w:cstheme="minorEastAsia"/>
                <w:b w:val="0"/>
                <w:kern w:val="0"/>
                <w:sz w:val="24"/>
                <w:szCs w:val="24"/>
                <w:lang w:bidi="ar"/>
              </w:rPr>
              <w:t>10年</w:t>
            </w:r>
            <w:r>
              <w:rPr>
                <w:rFonts w:hint="eastAsia" w:asciiTheme="minorEastAsia" w:hAnsiTheme="minorEastAsia" w:eastAsiaTheme="minorEastAsia" w:cstheme="minorEastAsia"/>
                <w:kern w:val="0"/>
                <w:sz w:val="24"/>
                <w:szCs w:val="24"/>
                <w:lang w:bidi="ar"/>
              </w:rPr>
              <w:t>。</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暂无提及重大修订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《商标法》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保护商品商标、服务商标、集体商标等。</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保护期：自注册日起</w:t>
            </w:r>
            <w:r>
              <w:rPr>
                <w:rStyle w:val="10"/>
                <w:rFonts w:hint="eastAsia" w:asciiTheme="minorEastAsia" w:hAnsiTheme="minorEastAsia" w:eastAsiaTheme="minorEastAsia" w:cstheme="minorEastAsia"/>
                <w:b w:val="0"/>
                <w:kern w:val="0"/>
                <w:sz w:val="24"/>
                <w:szCs w:val="24"/>
                <w:lang w:bidi="ar"/>
              </w:rPr>
              <w:t>10年</w:t>
            </w:r>
            <w:r>
              <w:rPr>
                <w:rFonts w:hint="eastAsia" w:asciiTheme="minorEastAsia" w:hAnsiTheme="minorEastAsia" w:eastAsiaTheme="minorEastAsia" w:cstheme="minorEastAsia"/>
                <w:kern w:val="0"/>
                <w:sz w:val="24"/>
                <w:szCs w:val="24"/>
                <w:lang w:bidi="ar"/>
              </w:rPr>
              <w:t>，可续展。</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引入商标共存同意书制度</w:t>
            </w:r>
            <w:r>
              <w:rPr>
                <w:rFonts w:hint="eastAsia" w:asciiTheme="minorEastAsia" w:hAnsiTheme="minorEastAsia" w:eastAsiaTheme="minorEastAsia" w:cstheme="minorEastAsia"/>
                <w:kern w:val="0"/>
                <w:sz w:val="24"/>
                <w:szCs w:val="24"/>
                <w:lang w:bidi="ar"/>
              </w:rPr>
              <w:t>：允许申请人通过提交同意书来克服在先商标权造成的驳回，需说明不存在混淆的可能性。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《外观设计法》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保护物品的形状、图案、色彩或其结合的设计。</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保护期：自申请日起</w:t>
            </w:r>
            <w:r>
              <w:rPr>
                <w:rStyle w:val="10"/>
                <w:rFonts w:hint="eastAsia" w:asciiTheme="minorEastAsia" w:hAnsiTheme="minorEastAsia" w:eastAsiaTheme="minorEastAsia" w:cstheme="minorEastAsia"/>
                <w:b w:val="0"/>
                <w:kern w:val="0"/>
                <w:sz w:val="24"/>
                <w:szCs w:val="24"/>
                <w:lang w:bidi="ar"/>
              </w:rPr>
              <w:t>25年</w:t>
            </w:r>
            <w:r>
              <w:rPr>
                <w:rFonts w:hint="eastAsia" w:asciiTheme="minorEastAsia" w:hAnsiTheme="minorEastAsia" w:eastAsiaTheme="minorEastAsia" w:cstheme="minorEastAsia"/>
                <w:kern w:val="0"/>
                <w:sz w:val="24"/>
                <w:szCs w:val="24"/>
                <w:lang w:bidi="ar"/>
              </w:rPr>
              <w:t>（此前为20年）。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伴随整体知识产权战略进行适应性调整。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《著作权法》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保护文学、艺术、音乐、电影等作品。</w:t>
            </w:r>
            <w:r>
              <w:rPr>
                <w:rFonts w:hint="eastAsia" w:asciiTheme="minorEastAsia" w:hAnsiTheme="minorEastAsia" w:eastAsiaTheme="minorEastAsia" w:cstheme="minorEastAsia"/>
                <w:kern w:val="0"/>
                <w:sz w:val="24"/>
                <w:szCs w:val="24"/>
                <w:lang w:bidi="ar"/>
              </w:rPr>
              <w:br w:type="textWrapping"/>
            </w:r>
            <w:r>
              <w:rPr>
                <w:rFonts w:hint="eastAsia" w:asciiTheme="minorEastAsia" w:hAnsiTheme="minorEastAsia" w:eastAsiaTheme="minorEastAsia" w:cstheme="minorEastAsia"/>
                <w:kern w:val="0"/>
                <w:sz w:val="24"/>
                <w:szCs w:val="24"/>
                <w:lang w:bidi="ar"/>
              </w:rPr>
              <w:t>保护期：原则上为作者死后</w:t>
            </w:r>
            <w:r>
              <w:rPr>
                <w:rStyle w:val="10"/>
                <w:rFonts w:hint="eastAsia" w:asciiTheme="minorEastAsia" w:hAnsiTheme="minorEastAsia" w:eastAsiaTheme="minorEastAsia" w:cstheme="minorEastAsia"/>
                <w:b w:val="0"/>
                <w:kern w:val="0"/>
                <w:sz w:val="24"/>
                <w:szCs w:val="24"/>
                <w:lang w:bidi="ar"/>
              </w:rPr>
              <w:t>50年</w:t>
            </w:r>
            <w:r>
              <w:rPr>
                <w:rFonts w:hint="eastAsia" w:asciiTheme="minorEastAsia" w:hAnsiTheme="minorEastAsia" w:eastAsiaTheme="minorEastAsia" w:cstheme="minorEastAsia"/>
                <w:kern w:val="0"/>
                <w:sz w:val="24"/>
                <w:szCs w:val="24"/>
                <w:lang w:bidi="ar"/>
              </w:rPr>
              <w:t>；电影著作权为公开发表后</w:t>
            </w:r>
            <w:r>
              <w:rPr>
                <w:rStyle w:val="10"/>
                <w:rFonts w:hint="eastAsia" w:asciiTheme="minorEastAsia" w:hAnsiTheme="minorEastAsia" w:eastAsiaTheme="minorEastAsia" w:cstheme="minorEastAsia"/>
                <w:b w:val="0"/>
                <w:kern w:val="0"/>
                <w:sz w:val="24"/>
                <w:szCs w:val="24"/>
                <w:lang w:bidi="ar"/>
              </w:rPr>
              <w:t>70年</w:t>
            </w:r>
            <w:r>
              <w:rPr>
                <w:rFonts w:hint="eastAsia" w:asciiTheme="minorEastAsia" w:hAnsiTheme="minorEastAsia" w:eastAsiaTheme="minorEastAsia" w:cstheme="minorEastAsia"/>
                <w:kern w:val="0"/>
                <w:sz w:val="24"/>
                <w:szCs w:val="24"/>
                <w:lang w:bidi="ar"/>
              </w:rPr>
              <w:t>。</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简化著作权侵权损害赔偿计算</w:t>
            </w:r>
            <w:r>
              <w:rPr>
                <w:rFonts w:hint="eastAsia" w:asciiTheme="minorEastAsia" w:hAnsiTheme="minorEastAsia" w:eastAsiaTheme="minorEastAsia" w:cstheme="minorEastAsia"/>
                <w:kern w:val="0"/>
                <w:sz w:val="24"/>
                <w:szCs w:val="24"/>
                <w:lang w:bidi="ar"/>
              </w:rPr>
              <w:t>的措施；持续应对生成式AI训练数据使用带来的版权挑战，加强相关法规的普及和指导。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2132"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《反不正当竞争法》</w:t>
            </w:r>
          </w:p>
        </w:tc>
        <w:tc>
          <w:tcPr>
            <w:tcW w:w="3185"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补充保护知识产权，包括商业秘密、商品形态、域名等，并为专利法、商标法、外观设计法等提供补充保护。</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加强虚拟空间（如元宇宙）的知识产权保护</w:t>
            </w:r>
            <w:r>
              <w:rPr>
                <w:rFonts w:hint="eastAsia" w:asciiTheme="minorEastAsia" w:hAnsiTheme="minorEastAsia" w:eastAsiaTheme="minorEastAsia" w:cstheme="minorEastAsia"/>
                <w:kern w:val="0"/>
                <w:sz w:val="24"/>
                <w:szCs w:val="24"/>
                <w:lang w:bidi="ar"/>
              </w:rPr>
              <w:t>，禁止在网络虚拟空间销售仿冒品。</w:t>
            </w:r>
          </w:p>
        </w:tc>
      </w:tr>
    </w:tbl>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"https://www.wipo.int/wipolex/zh/legislation/details/22613"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https://www.wipo.int/wipolex/zh/legislation/details/22613</w:t>
      </w:r>
      <w:r>
        <w:rPr>
          <w:rStyle w:val="11"/>
          <w:rFonts w:hint="eastAsia" w:ascii="仿宋_GB2312" w:hAnsi="仿宋_GB2312" w:eastAsia="仿宋_GB2312" w:cs="仿宋_GB2312"/>
          <w:sz w:val="21"/>
          <w:szCs w:val="21"/>
        </w:rPr>
        <w:fldChar w:fldCharType="end"/>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《实用新型法》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"https://www.wipo.int/wipolex/zh/legislation/details/22494"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https://www.wipo.int/wipolex/zh/legislation/details/22494</w:t>
      </w:r>
      <w:r>
        <w:rPr>
          <w:rStyle w:val="11"/>
          <w:rFonts w:hint="eastAsia" w:ascii="仿宋_GB2312" w:hAnsi="仿宋_GB2312" w:eastAsia="仿宋_GB2312" w:cs="仿宋_GB2312"/>
          <w:sz w:val="21"/>
          <w:szCs w:val="21"/>
        </w:rPr>
        <w:fldChar w:fldCharType="end"/>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《商标法》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"https://www.wipo.int/wipolex/zh/legislation/details/22500"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https://www.wipo.int/wipolex/zh/legislation/details/22500</w:t>
      </w:r>
      <w:r>
        <w:rPr>
          <w:rStyle w:val="11"/>
          <w:rFonts w:hint="eastAsia" w:ascii="仿宋_GB2312" w:hAnsi="仿宋_GB2312" w:eastAsia="仿宋_GB2312" w:cs="仿宋_GB2312"/>
          <w:sz w:val="21"/>
          <w:szCs w:val="21"/>
        </w:rPr>
        <w:fldChar w:fldCharType="end"/>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《外观设计法》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"https://www.wipo.int/wipolex/zh/legislation/details/22611"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https://www.wipo.int/wipolex/zh/legislation/details/22611</w:t>
      </w:r>
      <w:r>
        <w:rPr>
          <w:rStyle w:val="11"/>
          <w:rFonts w:hint="eastAsia" w:ascii="仿宋_GB2312" w:hAnsi="仿宋_GB2312" w:eastAsia="仿宋_GB2312" w:cs="仿宋_GB2312"/>
          <w:sz w:val="21"/>
          <w:szCs w:val="21"/>
        </w:rPr>
        <w:fldChar w:fldCharType="end"/>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"https://hourei.net/law/345AC0000000048"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https://hourei.net/law/345AC0000000048</w:t>
      </w:r>
      <w:r>
        <w:rPr>
          <w:rStyle w:val="11"/>
          <w:rFonts w:hint="eastAsia" w:ascii="仿宋_GB2312" w:hAnsi="仿宋_GB2312" w:eastAsia="仿宋_GB2312" w:cs="仿宋_GB2312"/>
          <w:sz w:val="21"/>
          <w:szCs w:val="21"/>
        </w:rPr>
        <w:fldChar w:fldCharType="end"/>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《反不正当竞争法》 ：</w:t>
      </w:r>
    </w:p>
    <w:p>
      <w:pPr>
        <w:keepNext w:val="0"/>
        <w:keepLines w:val="0"/>
        <w:pageBreakBefore w:val="0"/>
        <w:kinsoku/>
        <w:wordWrap/>
        <w:overflowPunct/>
        <w:topLinePunct w:val="0"/>
        <w:autoSpaceDE/>
        <w:bidi w:val="0"/>
        <w:adjustRightInd/>
        <w:snapToGrid/>
        <w:spacing w:afterAutospacing="0" w:line="560" w:lineRule="exact"/>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HYPERLINK "https://www.wipo.int/wipolex/zh/legislation/details/22496" </w:instrText>
      </w:r>
      <w:r>
        <w:rPr>
          <w:rFonts w:hint="eastAsia" w:ascii="仿宋_GB2312" w:hAnsi="仿宋_GB2312" w:eastAsia="仿宋_GB2312" w:cs="仿宋_GB2312"/>
          <w:sz w:val="21"/>
          <w:szCs w:val="21"/>
        </w:rPr>
        <w:fldChar w:fldCharType="separate"/>
      </w:r>
      <w:r>
        <w:rPr>
          <w:rStyle w:val="11"/>
          <w:rFonts w:hint="eastAsia" w:ascii="仿宋_GB2312" w:hAnsi="仿宋_GB2312" w:eastAsia="仿宋_GB2312" w:cs="仿宋_GB2312"/>
          <w:sz w:val="21"/>
          <w:szCs w:val="21"/>
        </w:rPr>
        <w:t>https://www.wipo.int/wipolex/zh/legislation/details/22496</w:t>
      </w:r>
      <w:r>
        <w:rPr>
          <w:rStyle w:val="11"/>
          <w:rFonts w:hint="eastAsia" w:ascii="仿宋_GB2312" w:hAnsi="仿宋_GB2312" w:eastAsia="仿宋_GB2312" w:cs="仿宋_GB2312"/>
          <w:sz w:val="21"/>
          <w:szCs w:val="21"/>
        </w:rPr>
        <w:fldChar w:fldCharType="end"/>
      </w:r>
    </w:p>
    <w:p>
      <w:pPr>
        <w:keepNext w:val="0"/>
        <w:keepLines w:val="0"/>
        <w:pageBreakBefore w:val="0"/>
        <w:suppressAutoHyphens/>
        <w:kinsoku/>
        <w:wordWrap/>
        <w:overflowPunct/>
        <w:topLinePunct w:val="0"/>
        <w:autoSpaceDE/>
        <w:autoSpaceDN w:val="0"/>
        <w:bidi w:val="0"/>
        <w:adjustRightInd/>
        <w:snapToGrid/>
        <w:spacing w:afterAutospacing="0" w:line="560" w:lineRule="exact"/>
        <w:ind w:firstLine="640" w:firstLineChars="200"/>
        <w:textAlignment w:val="baseline"/>
        <w:rPr>
          <w:rFonts w:hint="eastAsia" w:ascii="黑体" w:hAnsi="黑体" w:eastAsia="黑体" w:cs="黑体"/>
          <w:b w:val="0"/>
          <w:bCs/>
          <w:kern w:val="3"/>
          <w:sz w:val="32"/>
          <w:szCs w:val="32"/>
        </w:rPr>
      </w:pPr>
      <w:r>
        <w:rPr>
          <w:rFonts w:hint="eastAsia" w:ascii="黑体" w:hAnsi="黑体" w:eastAsia="黑体" w:cs="黑体"/>
          <w:b w:val="0"/>
          <w:bCs/>
          <w:kern w:val="3"/>
          <w:sz w:val="32"/>
          <w:szCs w:val="32"/>
        </w:rPr>
        <w:t>二</w:t>
      </w:r>
      <w:r>
        <w:rPr>
          <w:rFonts w:hint="eastAsia" w:ascii="黑体" w:hAnsi="黑体" w:eastAsia="黑体" w:cs="黑体"/>
          <w:b w:val="0"/>
          <w:bCs/>
          <w:kern w:val="3"/>
          <w:sz w:val="32"/>
          <w:szCs w:val="32"/>
          <w:lang w:eastAsia="zh-CN"/>
        </w:rPr>
        <w:t>、</w:t>
      </w:r>
      <w:r>
        <w:rPr>
          <w:rFonts w:hint="eastAsia" w:ascii="黑体" w:hAnsi="黑体" w:eastAsia="黑体" w:cs="黑体"/>
          <w:b w:val="0"/>
          <w:bCs/>
          <w:kern w:val="3"/>
          <w:sz w:val="32"/>
          <w:szCs w:val="32"/>
        </w:rPr>
        <w:t>日本专利申请布局指南</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（一）日本专利申请流程及相关期限</w:t>
      </w:r>
    </w:p>
    <w:p>
      <w:pPr>
        <w:keepNext w:val="0"/>
        <w:keepLines w:val="0"/>
        <w:pageBreakBefore w:val="0"/>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1.日本专利类型：</w:t>
      </w:r>
    </w:p>
    <w:p>
      <w:pPr>
        <w:keepNext w:val="0"/>
        <w:keepLines w:val="0"/>
        <w:pageBreakBefore w:val="0"/>
        <w:tabs>
          <w:tab w:val="left" w:pos="8190"/>
        </w:tabs>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包括发明、实用新型、外观设计三种。</w:t>
      </w:r>
    </w:p>
    <w:p>
      <w:pPr>
        <w:keepNext w:val="0"/>
        <w:keepLines w:val="0"/>
        <w:pageBreakBefore w:val="0"/>
        <w:tabs>
          <w:tab w:val="left" w:pos="8190"/>
        </w:tabs>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（1）发明</w:t>
      </w:r>
      <w:r>
        <w:rPr>
          <w:rStyle w:val="10"/>
          <w:rFonts w:hint="eastAsia" w:ascii="仿宋_GB2312" w:hAnsi="仿宋_GB2312" w:eastAsia="仿宋_GB2312" w:cs="仿宋_GB2312"/>
          <w:b w:val="0"/>
          <w:color w:val="404040"/>
          <w:sz w:val="32"/>
          <w:szCs w:val="32"/>
          <w:shd w:val="clear" w:color="auto" w:fill="FFFFFF"/>
        </w:rPr>
        <w:t>（特許）</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保护对象</w:t>
      </w:r>
      <w:r>
        <w:rPr>
          <w:rFonts w:hint="eastAsia" w:ascii="仿宋_GB2312" w:hAnsi="仿宋_GB2312" w:eastAsia="仿宋_GB2312" w:cs="仿宋_GB2312"/>
          <w:color w:val="404040"/>
          <w:sz w:val="32"/>
          <w:szCs w:val="32"/>
          <w:shd w:val="clear" w:color="auto" w:fill="FFFFFF"/>
        </w:rPr>
        <w:t>：利用自然规律的高水平</w:t>
      </w:r>
      <w:r>
        <w:rPr>
          <w:rStyle w:val="10"/>
          <w:rFonts w:hint="eastAsia" w:ascii="仿宋_GB2312" w:hAnsi="仿宋_GB2312" w:eastAsia="仿宋_GB2312" w:cs="仿宋_GB2312"/>
          <w:b w:val="0"/>
          <w:color w:val="404040"/>
          <w:sz w:val="32"/>
          <w:szCs w:val="32"/>
          <w:shd w:val="clear" w:color="auto" w:fill="FFFFFF"/>
        </w:rPr>
        <w:t>技术发明</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例子</w:t>
      </w:r>
      <w:r>
        <w:rPr>
          <w:rFonts w:hint="eastAsia" w:ascii="仿宋_GB2312" w:hAnsi="仿宋_GB2312" w:eastAsia="仿宋_GB2312" w:cs="仿宋_GB2312"/>
          <w:color w:val="404040"/>
          <w:sz w:val="32"/>
          <w:szCs w:val="32"/>
          <w:shd w:val="clear" w:color="auto" w:fill="FFFFFF"/>
        </w:rPr>
        <w:t>：药品配方、半导体制造工艺、人工智能算法、发动机结构等。</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特点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技术要求最高</w:t>
      </w:r>
      <w:r>
        <w:rPr>
          <w:rFonts w:hint="eastAsia" w:ascii="仿宋_GB2312" w:hAnsi="仿宋_GB2312" w:eastAsia="仿宋_GB2312" w:cs="仿宋_GB2312"/>
          <w:color w:val="404040"/>
          <w:sz w:val="32"/>
          <w:szCs w:val="32"/>
          <w:shd w:val="clear" w:color="auto" w:fill="FFFFFF"/>
        </w:rPr>
        <w:t>：必须具有新颖性、创造性（非显而易见性）和工业实用性。</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审查最严格</w:t>
      </w:r>
      <w:r>
        <w:rPr>
          <w:rFonts w:hint="eastAsia" w:ascii="仿宋_GB2312" w:hAnsi="仿宋_GB2312" w:eastAsia="仿宋_GB2312" w:cs="仿宋_GB2312"/>
          <w:color w:val="404040"/>
          <w:sz w:val="32"/>
          <w:szCs w:val="32"/>
          <w:shd w:val="clear" w:color="auto" w:fill="FFFFFF"/>
        </w:rPr>
        <w:t>：需要请求并经过日本特许厅（JPO）的</w:t>
      </w:r>
      <w:r>
        <w:rPr>
          <w:rStyle w:val="10"/>
          <w:rFonts w:hint="eastAsia" w:ascii="仿宋_GB2312" w:hAnsi="仿宋_GB2312" w:eastAsia="仿宋_GB2312" w:cs="仿宋_GB2312"/>
          <w:b w:val="0"/>
          <w:color w:val="404040"/>
          <w:sz w:val="32"/>
          <w:szCs w:val="32"/>
          <w:shd w:val="clear" w:color="auto" w:fill="FFFFFF"/>
        </w:rPr>
        <w:t>实质审查</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保护期最长</w:t>
      </w:r>
      <w:r>
        <w:rPr>
          <w:rFonts w:hint="eastAsia" w:ascii="仿宋_GB2312" w:hAnsi="仿宋_GB2312" w:eastAsia="仿宋_GB2312" w:cs="仿宋_GB2312"/>
          <w:color w:val="404040"/>
          <w:sz w:val="32"/>
          <w:szCs w:val="32"/>
          <w:shd w:val="clear" w:color="auto" w:fill="FFFFFF"/>
        </w:rPr>
        <w:t>：自申请日起</w:t>
      </w:r>
      <w:r>
        <w:rPr>
          <w:rStyle w:val="10"/>
          <w:rFonts w:hint="eastAsia" w:ascii="仿宋_GB2312" w:hAnsi="仿宋_GB2312" w:eastAsia="仿宋_GB2312" w:cs="仿宋_GB2312"/>
          <w:b w:val="0"/>
          <w:color w:val="404040"/>
          <w:sz w:val="32"/>
          <w:szCs w:val="32"/>
          <w:shd w:val="clear" w:color="auto" w:fill="FFFFFF"/>
        </w:rPr>
        <w:t>20年</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Fonts w:hint="eastAsia" w:ascii="仿宋_GB2312" w:hAnsi="仿宋_GB2312" w:eastAsia="仿宋_GB2312" w:cs="仿宋_GB2312"/>
          <w:color w:val="404040"/>
          <w:sz w:val="32"/>
          <w:szCs w:val="32"/>
          <w:shd w:val="clear" w:color="auto" w:fill="FFFFFF"/>
        </w:rPr>
        <w:t>这是最常见、权利最稳定的专利类型。</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Style w:val="10"/>
          <w:rFonts w:hint="eastAsia" w:ascii="仿宋_GB2312" w:hAnsi="仿宋_GB2312" w:eastAsia="仿宋_GB2312" w:cs="仿宋_GB2312"/>
          <w:b w:val="0"/>
          <w:color w:val="404040"/>
          <w:sz w:val="32"/>
          <w:szCs w:val="32"/>
          <w:shd w:val="clear" w:color="auto" w:fill="FFFFFF"/>
        </w:rPr>
        <w:t>实用新型（実用新案）</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保护对象</w:t>
      </w:r>
      <w:r>
        <w:rPr>
          <w:rFonts w:hint="eastAsia" w:ascii="仿宋_GB2312" w:hAnsi="仿宋_GB2312" w:eastAsia="仿宋_GB2312" w:cs="仿宋_GB2312"/>
          <w:color w:val="404040"/>
          <w:sz w:val="32"/>
          <w:szCs w:val="32"/>
          <w:shd w:val="clear" w:color="auto" w:fill="FFFFFF"/>
        </w:rPr>
        <w:t>：涉及物品的形状、构造或其结合的</w:t>
      </w:r>
      <w:r>
        <w:rPr>
          <w:rStyle w:val="10"/>
          <w:rFonts w:hint="eastAsia" w:ascii="仿宋_GB2312" w:hAnsi="仿宋_GB2312" w:eastAsia="仿宋_GB2312" w:cs="仿宋_GB2312"/>
          <w:b w:val="0"/>
          <w:color w:val="404040"/>
          <w:sz w:val="32"/>
          <w:szCs w:val="32"/>
          <w:shd w:val="clear" w:color="auto" w:fill="FFFFFF"/>
        </w:rPr>
        <w:t>小发明</w:t>
      </w:r>
      <w:r>
        <w:rPr>
          <w:rFonts w:hint="eastAsia" w:ascii="仿宋_GB2312" w:hAnsi="仿宋_GB2312" w:eastAsia="仿宋_GB2312" w:cs="仿宋_GB2312"/>
          <w:color w:val="404040"/>
          <w:sz w:val="32"/>
          <w:szCs w:val="32"/>
          <w:shd w:val="clear" w:color="auto" w:fill="FFFFFF"/>
        </w:rPr>
        <w:t>（注重“型”）。</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例子</w:t>
      </w:r>
      <w:r>
        <w:rPr>
          <w:rFonts w:hint="eastAsia" w:ascii="仿宋_GB2312" w:hAnsi="仿宋_GB2312" w:eastAsia="仿宋_GB2312" w:cs="仿宋_GB2312"/>
          <w:color w:val="404040"/>
          <w:sz w:val="32"/>
          <w:szCs w:val="32"/>
          <w:shd w:val="clear" w:color="auto" w:fill="FFFFFF"/>
        </w:rPr>
        <w:t>：一种新的剪刀结构、一个更省空间的收纳盒设计、一款笔的防滑握柄等。</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特点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无需实质审查</w:t>
      </w:r>
      <w:r>
        <w:rPr>
          <w:rFonts w:hint="eastAsia" w:ascii="仿宋_GB2312" w:hAnsi="仿宋_GB2312" w:eastAsia="仿宋_GB2312" w:cs="仿宋_GB2312"/>
          <w:color w:val="404040"/>
          <w:sz w:val="32"/>
          <w:szCs w:val="32"/>
          <w:shd w:val="clear" w:color="auto" w:fill="FFFFFF"/>
        </w:rPr>
        <w:t>：仅进行形式审查，通常</w:t>
      </w:r>
      <w:r>
        <w:rPr>
          <w:rStyle w:val="10"/>
          <w:rFonts w:hint="eastAsia" w:ascii="仿宋_GB2312" w:hAnsi="仿宋_GB2312" w:eastAsia="仿宋_GB2312" w:cs="仿宋_GB2312"/>
          <w:b w:val="0"/>
          <w:color w:val="404040"/>
          <w:sz w:val="32"/>
          <w:szCs w:val="32"/>
          <w:shd w:val="clear" w:color="auto" w:fill="FFFFFF"/>
        </w:rPr>
        <w:t>6个月左右</w:t>
      </w:r>
      <w:r>
        <w:rPr>
          <w:rFonts w:hint="eastAsia" w:ascii="仿宋_GB2312" w:hAnsi="仿宋_GB2312" w:eastAsia="仿宋_GB2312" w:cs="仿宋_GB2312"/>
          <w:color w:val="404040"/>
          <w:sz w:val="32"/>
          <w:szCs w:val="32"/>
          <w:shd w:val="clear" w:color="auto" w:fill="FFFFFF"/>
        </w:rPr>
        <w:t>即可获得授权，速度快。</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权利不稳定</w:t>
      </w:r>
      <w:r>
        <w:rPr>
          <w:rFonts w:hint="eastAsia" w:ascii="仿宋_GB2312" w:hAnsi="仿宋_GB2312" w:eastAsia="仿宋_GB2312" w:cs="仿宋_GB2312"/>
          <w:color w:val="404040"/>
          <w:sz w:val="32"/>
          <w:szCs w:val="32"/>
          <w:shd w:val="clear" w:color="auto" w:fill="FFFFFF"/>
        </w:rPr>
        <w:t>：维权时，专利权人必须向JPO请求出具</w:t>
      </w:r>
      <w:r>
        <w:rPr>
          <w:rStyle w:val="10"/>
          <w:rFonts w:hint="eastAsia" w:ascii="仿宋_GB2312" w:hAnsi="仿宋_GB2312" w:eastAsia="仿宋_GB2312" w:cs="仿宋_GB2312"/>
          <w:b w:val="0"/>
          <w:color w:val="404040"/>
          <w:sz w:val="32"/>
          <w:szCs w:val="32"/>
          <w:shd w:val="clear" w:color="auto" w:fill="FFFFFF"/>
        </w:rPr>
        <w:t>技术评价书</w:t>
      </w:r>
      <w:r>
        <w:rPr>
          <w:rFonts w:hint="eastAsia" w:ascii="仿宋_GB2312" w:hAnsi="仿宋_GB2312" w:eastAsia="仿宋_GB2312" w:cs="仿宋_GB2312"/>
          <w:color w:val="404040"/>
          <w:sz w:val="32"/>
          <w:szCs w:val="32"/>
          <w:shd w:val="clear" w:color="auto" w:fill="FFFFFF"/>
        </w:rPr>
        <w:t>，其效力类似于审查报告，权利稳定性在此阶段才会被评估。</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保护期较短</w:t>
      </w:r>
      <w:r>
        <w:rPr>
          <w:rFonts w:hint="eastAsia" w:ascii="仿宋_GB2312" w:hAnsi="仿宋_GB2312" w:eastAsia="仿宋_GB2312" w:cs="仿宋_GB2312"/>
          <w:color w:val="404040"/>
          <w:sz w:val="32"/>
          <w:szCs w:val="32"/>
          <w:shd w:val="clear" w:color="auto" w:fill="FFFFFF"/>
        </w:rPr>
        <w:t>：自申请日起</w:t>
      </w:r>
      <w:r>
        <w:rPr>
          <w:rStyle w:val="10"/>
          <w:rFonts w:hint="eastAsia" w:ascii="仿宋_GB2312" w:hAnsi="仿宋_GB2312" w:eastAsia="仿宋_GB2312" w:cs="仿宋_GB2312"/>
          <w:b w:val="0"/>
          <w:color w:val="404040"/>
          <w:sz w:val="32"/>
          <w:szCs w:val="32"/>
          <w:shd w:val="clear" w:color="auto" w:fill="FFFFFF"/>
        </w:rPr>
        <w:t>10年</w:t>
      </w:r>
      <w:r>
        <w:rPr>
          <w:rFonts w:hint="eastAsia" w:ascii="仿宋_GB2312" w:hAnsi="仿宋_GB2312" w:eastAsia="仿宋_GB2312" w:cs="仿宋_GB2312"/>
          <w:color w:val="404040"/>
          <w:sz w:val="32"/>
          <w:szCs w:val="32"/>
          <w:shd w:val="clear" w:color="auto" w:fill="FFFFFF"/>
        </w:rPr>
        <w:t>，不可延长。</w:t>
      </w:r>
    </w:p>
    <w:p>
      <w:pPr>
        <w:keepNext w:val="0"/>
        <w:keepLines w:val="0"/>
        <w:pageBreakBefore w:val="0"/>
        <w:widowControl/>
        <w:kinsoku/>
        <w:wordWrap/>
        <w:overflowPunct/>
        <w:topLinePunct w:val="0"/>
        <w:autoSpaceDE/>
        <w:bidi w:val="0"/>
        <w:adjustRightInd/>
        <w:snapToGrid/>
        <w:spacing w:afterAutospacing="0" w:line="560" w:lineRule="exact"/>
        <w:ind w:firstLine="640" w:firstLineChars="200"/>
        <w:rPr>
          <w:rStyle w:val="10"/>
          <w:rFonts w:hint="eastAsia" w:ascii="仿宋_GB2312" w:hAnsi="仿宋_GB2312" w:eastAsia="仿宋_GB2312" w:cs="仿宋_GB2312"/>
          <w:b w:val="0"/>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（3）外观设计（意匠）</w:t>
      </w:r>
    </w:p>
    <w:p>
      <w:pPr>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保护对象</w:t>
      </w:r>
      <w:r>
        <w:rPr>
          <w:rFonts w:hint="eastAsia" w:ascii="仿宋_GB2312" w:hAnsi="仿宋_GB2312" w:eastAsia="仿宋_GB2312" w:cs="仿宋_GB2312"/>
          <w:color w:val="404040"/>
          <w:sz w:val="32"/>
          <w:szCs w:val="32"/>
          <w:shd w:val="clear" w:color="auto" w:fill="FFFFFF"/>
        </w:rPr>
        <w:t>：物品的</w:t>
      </w:r>
      <w:r>
        <w:rPr>
          <w:rStyle w:val="10"/>
          <w:rFonts w:hint="eastAsia" w:ascii="仿宋_GB2312" w:hAnsi="仿宋_GB2312" w:eastAsia="仿宋_GB2312" w:cs="仿宋_GB2312"/>
          <w:b w:val="0"/>
          <w:color w:val="404040"/>
          <w:sz w:val="32"/>
          <w:szCs w:val="32"/>
          <w:shd w:val="clear" w:color="auto" w:fill="FFFFFF"/>
        </w:rPr>
        <w:t>外观</w:t>
      </w:r>
      <w:r>
        <w:rPr>
          <w:rFonts w:hint="eastAsia" w:ascii="仿宋_GB2312" w:hAnsi="仿宋_GB2312" w:eastAsia="仿宋_GB2312" w:cs="仿宋_GB2312"/>
          <w:color w:val="404040"/>
          <w:sz w:val="32"/>
          <w:szCs w:val="32"/>
          <w:shd w:val="clear" w:color="auto" w:fill="FFFFFF"/>
        </w:rPr>
        <w:t>（形状、图案、色彩及其结合），通过视觉引起美感的创作。</w:t>
      </w:r>
    </w:p>
    <w:p>
      <w:pPr>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例子</w:t>
      </w:r>
      <w:r>
        <w:rPr>
          <w:rFonts w:hint="eastAsia" w:ascii="仿宋_GB2312" w:hAnsi="仿宋_GB2312" w:eastAsia="仿宋_GB2312" w:cs="仿宋_GB2312"/>
          <w:color w:val="404040"/>
          <w:sz w:val="32"/>
          <w:szCs w:val="32"/>
          <w:shd w:val="clear" w:color="auto" w:fill="FFFFFF"/>
        </w:rPr>
        <w:t>：手机外形、汽车外观、家具设计、饮料瓶的独特造型等。</w:t>
      </w:r>
    </w:p>
    <w:p>
      <w:pPr>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lang w:val="en-US" w:eastAsia="zh-CN"/>
        </w:rPr>
        <w:t>·</w:t>
      </w:r>
      <w:r>
        <w:rPr>
          <w:rStyle w:val="10"/>
          <w:rFonts w:hint="eastAsia" w:ascii="仿宋_GB2312" w:hAnsi="仿宋_GB2312" w:eastAsia="仿宋_GB2312" w:cs="仿宋_GB2312"/>
          <w:b w:val="0"/>
          <w:color w:val="404040"/>
          <w:sz w:val="32"/>
          <w:szCs w:val="32"/>
          <w:shd w:val="clear" w:color="auto" w:fill="FFFFFF"/>
        </w:rPr>
        <w:t>特点</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保护美感</w:t>
      </w:r>
      <w:r>
        <w:rPr>
          <w:rFonts w:hint="eastAsia" w:ascii="仿宋_GB2312" w:hAnsi="仿宋_GB2312" w:eastAsia="仿宋_GB2312" w:cs="仿宋_GB2312"/>
          <w:color w:val="404040"/>
          <w:sz w:val="32"/>
          <w:szCs w:val="32"/>
          <w:shd w:val="clear" w:color="auto" w:fill="FFFFFF"/>
        </w:rPr>
        <w:t>：而非技术功能。</w:t>
      </w:r>
    </w:p>
    <w:p>
      <w:pPr>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需实质审查</w:t>
      </w:r>
      <w:r>
        <w:rPr>
          <w:rFonts w:hint="eastAsia" w:ascii="仿宋_GB2312" w:hAnsi="仿宋_GB2312" w:eastAsia="仿宋_GB2312" w:cs="仿宋_GB2312"/>
          <w:color w:val="404040"/>
          <w:sz w:val="32"/>
          <w:szCs w:val="32"/>
          <w:shd w:val="clear" w:color="auto" w:fill="FFFFFF"/>
        </w:rPr>
        <w:t>：但审查周期比发明专利短。</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保护期</w:t>
      </w:r>
      <w:r>
        <w:rPr>
          <w:rFonts w:hint="eastAsia" w:ascii="仿宋_GB2312" w:hAnsi="仿宋_GB2312" w:eastAsia="仿宋_GB2312" w:cs="仿宋_GB2312"/>
          <w:color w:val="404040"/>
          <w:sz w:val="32"/>
          <w:szCs w:val="32"/>
          <w:shd w:val="clear" w:color="auto" w:fill="FFFFFF"/>
        </w:rPr>
        <w:t>：自注册日起</w:t>
      </w:r>
      <w:r>
        <w:rPr>
          <w:rStyle w:val="10"/>
          <w:rFonts w:hint="eastAsia" w:ascii="仿宋_GB2312" w:hAnsi="仿宋_GB2312" w:eastAsia="仿宋_GB2312" w:cs="仿宋_GB2312"/>
          <w:b w:val="0"/>
          <w:color w:val="404040"/>
          <w:sz w:val="32"/>
          <w:szCs w:val="32"/>
          <w:shd w:val="clear" w:color="auto" w:fill="FFFFFF"/>
        </w:rPr>
        <w:t>25年</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可保护部分设计</w:t>
      </w:r>
      <w:r>
        <w:rPr>
          <w:rFonts w:hint="eastAsia" w:ascii="仿宋_GB2312" w:hAnsi="仿宋_GB2312" w:eastAsia="仿宋_GB2312" w:cs="仿宋_GB2312"/>
          <w:color w:val="404040"/>
          <w:sz w:val="32"/>
          <w:szCs w:val="32"/>
          <w:shd w:val="clear" w:color="auto" w:fill="FFFFFF"/>
        </w:rPr>
        <w:t>和</w:t>
      </w:r>
      <w:r>
        <w:rPr>
          <w:rStyle w:val="10"/>
          <w:rFonts w:hint="eastAsia" w:ascii="仿宋_GB2312" w:hAnsi="仿宋_GB2312" w:eastAsia="仿宋_GB2312" w:cs="仿宋_GB2312"/>
          <w:b w:val="0"/>
          <w:color w:val="404040"/>
          <w:sz w:val="32"/>
          <w:szCs w:val="32"/>
          <w:shd w:val="clear" w:color="auto" w:fill="FFFFFF"/>
        </w:rPr>
        <w:t>图形用户界面（GUI）</w:t>
      </w:r>
      <w:r>
        <w:rPr>
          <w:rFonts w:hint="eastAsia" w:ascii="仿宋_GB2312" w:hAnsi="仿宋_GB2312" w:eastAsia="仿宋_GB2312" w:cs="仿宋_GB2312"/>
          <w:color w:val="404040"/>
          <w:sz w:val="32"/>
          <w:szCs w:val="32"/>
          <w:shd w:val="clear" w:color="auto" w:fill="FFFFFF"/>
        </w:rPr>
        <w:t>。</w:t>
      </w:r>
    </w:p>
    <w:p>
      <w:pPr>
        <w:keepNext w:val="0"/>
        <w:keepLines w:val="0"/>
        <w:pageBreakBefore w:val="0"/>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2.日本专利申请的一般流程：</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（1）发明</w:t>
      </w:r>
    </w:p>
    <w:p>
      <w:pPr>
        <w:keepNext w:val="0"/>
        <w:keepLines w:val="0"/>
        <w:pageBreakBefore w:val="0"/>
        <w:kinsoku/>
        <w:wordWrap/>
        <w:overflowPunct/>
        <w:topLinePunct w:val="0"/>
        <w:autoSpaceDE/>
        <w:bidi w:val="0"/>
        <w:adjustRightInd/>
        <w:snapToGrid/>
        <w:spacing w:afterAutospacing="0" w:line="560" w:lineRule="exact"/>
        <w:ind w:left="638" w:leftChars="304" w:firstLine="0" w:firstLineChars="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流程特点：请求审查制、审查周期较长</w:t>
      </w:r>
      <w:r>
        <w:rPr>
          <w:rFonts w:hint="eastAsia" w:ascii="仿宋_GB2312" w:hAnsi="仿宋_GB2312" w:eastAsia="仿宋_GB2312" w:cs="仿宋_GB2312"/>
          <w:color w:val="404040"/>
          <w:sz w:val="32"/>
          <w:szCs w:val="32"/>
          <w:shd w:val="clear" w:color="auto" w:fill="FFFFFF"/>
        </w:rPr>
        <w:br w:type="textWrapping"/>
      </w:r>
      <w:r>
        <w:rPr>
          <w:rStyle w:val="10"/>
          <w:rFonts w:hint="eastAsia" w:ascii="仿宋_GB2312" w:hAnsi="仿宋_GB2312" w:eastAsia="仿宋_GB2312" w:cs="仿宋_GB2312"/>
          <w:b w:val="0"/>
          <w:color w:val="404040"/>
          <w:sz w:val="32"/>
          <w:szCs w:val="32"/>
          <w:shd w:val="clear" w:color="auto" w:fill="FFFFFF"/>
        </w:rPr>
        <w:t>保护期限：自申请日起20年</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①</w:t>
      </w:r>
      <w:r>
        <w:rPr>
          <w:rFonts w:hint="eastAsia" w:ascii="仿宋_GB2312" w:hAnsi="仿宋_GB2312" w:eastAsia="仿宋_GB2312" w:cs="仿宋_GB2312"/>
          <w:sz w:val="32"/>
          <w:szCs w:val="32"/>
        </w:rPr>
        <w:t>提交申请：向JPO提交日语申请文件（说明书、权利要求书、摘要、附图等）。</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②</w:t>
      </w:r>
      <w:r>
        <w:rPr>
          <w:rStyle w:val="10"/>
          <w:rFonts w:hint="eastAsia" w:ascii="仿宋_GB2312" w:hAnsi="仿宋_GB2312" w:eastAsia="仿宋_GB2312" w:cs="仿宋_GB2312"/>
          <w:b w:val="0"/>
          <w:color w:val="404040"/>
          <w:sz w:val="32"/>
          <w:szCs w:val="32"/>
          <w:shd w:val="clear" w:color="auto" w:fill="FFFFFF"/>
        </w:rPr>
        <w:t>形式审查</w:t>
      </w:r>
      <w:r>
        <w:rPr>
          <w:rFonts w:hint="eastAsia" w:ascii="仿宋_GB2312" w:hAnsi="仿宋_GB2312" w:eastAsia="仿宋_GB2312" w:cs="仿宋_GB2312"/>
          <w:color w:val="404040"/>
          <w:sz w:val="32"/>
          <w:szCs w:val="32"/>
          <w:shd w:val="clear" w:color="auto" w:fill="FFFFFF"/>
        </w:rPr>
        <w:t>：JPO检查文件格式。</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③</w:t>
      </w:r>
      <w:r>
        <w:rPr>
          <w:rStyle w:val="10"/>
          <w:rFonts w:hint="eastAsia" w:ascii="仿宋_GB2312" w:hAnsi="仿宋_GB2312" w:eastAsia="仿宋_GB2312" w:cs="仿宋_GB2312"/>
          <w:b w:val="0"/>
          <w:color w:val="404040"/>
          <w:sz w:val="32"/>
          <w:szCs w:val="32"/>
          <w:shd w:val="clear" w:color="auto" w:fill="FFFFFF"/>
        </w:rPr>
        <w:t>早期公开</w:t>
      </w:r>
      <w:r>
        <w:rPr>
          <w:rFonts w:hint="eastAsia" w:ascii="仿宋_GB2312" w:hAnsi="仿宋_GB2312" w:eastAsia="仿宋_GB2312" w:cs="仿宋_GB2312"/>
          <w:color w:val="404040"/>
          <w:sz w:val="32"/>
          <w:szCs w:val="32"/>
          <w:shd w:val="clear" w:color="auto" w:fill="FFFFFF"/>
        </w:rPr>
        <w:t>：自申请日起18个月后，申请内容被公开。</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④</w:t>
      </w:r>
      <w:r>
        <w:rPr>
          <w:rStyle w:val="10"/>
          <w:rFonts w:hint="eastAsia" w:ascii="仿宋_GB2312" w:hAnsi="仿宋_GB2312" w:eastAsia="仿宋_GB2312" w:cs="仿宋_GB2312"/>
          <w:b w:val="0"/>
          <w:color w:val="404040"/>
          <w:sz w:val="32"/>
          <w:szCs w:val="32"/>
          <w:shd w:val="clear" w:color="auto" w:fill="FFFFFF"/>
        </w:rPr>
        <w:t>请求实质审查</w:t>
      </w:r>
      <w:r>
        <w:rPr>
          <w:rFonts w:hint="eastAsia" w:ascii="仿宋_GB2312" w:hAnsi="仿宋_GB2312" w:eastAsia="仿宋_GB2312" w:cs="仿宋_GB2312"/>
          <w:color w:val="404040"/>
          <w:sz w:val="32"/>
          <w:szCs w:val="32"/>
          <w:shd w:val="clear" w:color="auto" w:fill="FFFFFF"/>
        </w:rPr>
        <w:t>：申请人必须在</w:t>
      </w:r>
      <w:r>
        <w:rPr>
          <w:rStyle w:val="10"/>
          <w:rFonts w:hint="eastAsia" w:ascii="仿宋_GB2312" w:hAnsi="仿宋_GB2312" w:eastAsia="仿宋_GB2312" w:cs="仿宋_GB2312"/>
          <w:b w:val="0"/>
          <w:color w:val="404040"/>
          <w:sz w:val="32"/>
          <w:szCs w:val="32"/>
          <w:shd w:val="clear" w:color="auto" w:fill="FFFFFF"/>
        </w:rPr>
        <w:t>申请日起3年内</w:t>
      </w:r>
      <w:r>
        <w:rPr>
          <w:rFonts w:hint="eastAsia" w:ascii="仿宋_GB2312" w:hAnsi="仿宋_GB2312" w:eastAsia="仿宋_GB2312" w:cs="仿宋_GB2312"/>
          <w:color w:val="404040"/>
          <w:sz w:val="32"/>
          <w:szCs w:val="32"/>
          <w:shd w:val="clear" w:color="auto" w:fill="FFFFFF"/>
        </w:rPr>
        <w:t>提出请求并缴费。</w:t>
      </w:r>
      <w:r>
        <w:rPr>
          <w:rStyle w:val="10"/>
          <w:rFonts w:hint="eastAsia" w:ascii="仿宋_GB2312" w:hAnsi="仿宋_GB2312" w:eastAsia="仿宋_GB2312" w:cs="仿宋_GB2312"/>
          <w:b w:val="0"/>
          <w:color w:val="404040"/>
          <w:sz w:val="32"/>
          <w:szCs w:val="32"/>
          <w:shd w:val="clear" w:color="auto" w:fill="FFFFFF"/>
        </w:rPr>
        <w:t>此为关键步骤，逾期未请求则申请视为撤回。</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⑤</w:t>
      </w:r>
      <w:r>
        <w:rPr>
          <w:rStyle w:val="10"/>
          <w:rFonts w:hint="eastAsia" w:ascii="仿宋_GB2312" w:hAnsi="仿宋_GB2312" w:eastAsia="仿宋_GB2312" w:cs="仿宋_GB2312"/>
          <w:b w:val="0"/>
          <w:color w:val="404040"/>
          <w:sz w:val="32"/>
          <w:szCs w:val="32"/>
          <w:shd w:val="clear" w:color="auto" w:fill="FFFFFF"/>
        </w:rPr>
        <w:t>实质审查</w:t>
      </w:r>
      <w:r>
        <w:rPr>
          <w:rFonts w:hint="eastAsia" w:ascii="仿宋_GB2312" w:hAnsi="仿宋_GB2312" w:eastAsia="仿宋_GB2312" w:cs="仿宋_GB2312"/>
          <w:color w:val="404040"/>
          <w:sz w:val="32"/>
          <w:szCs w:val="32"/>
          <w:shd w:val="clear" w:color="auto" w:fill="FFFFFF"/>
        </w:rPr>
        <w:t>：审查员对新颖性、创造性、实用性等进行严格审查。通常会发出</w:t>
      </w:r>
      <w:r>
        <w:rPr>
          <w:rStyle w:val="10"/>
          <w:rFonts w:hint="eastAsia" w:ascii="仿宋_GB2312" w:hAnsi="仿宋_GB2312" w:eastAsia="仿宋_GB2312" w:cs="仿宋_GB2312"/>
          <w:b w:val="0"/>
          <w:color w:val="404040"/>
          <w:sz w:val="32"/>
          <w:szCs w:val="32"/>
          <w:shd w:val="clear" w:color="auto" w:fill="FFFFFF"/>
        </w:rPr>
        <w:t>审查意见通知书</w:t>
      </w:r>
      <w:r>
        <w:rPr>
          <w:rFonts w:hint="eastAsia" w:ascii="仿宋_GB2312" w:hAnsi="仿宋_GB2312" w:eastAsia="仿宋_GB2312" w:cs="仿宋_GB2312"/>
          <w:color w:val="404040"/>
          <w:sz w:val="32"/>
          <w:szCs w:val="32"/>
          <w:shd w:val="clear" w:color="auto" w:fill="FFFFFF"/>
        </w:rPr>
        <w:t>，申请人需在规定期限内（通常3个月，可延期）答复（意见书和/或修改书）。</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⑥</w:t>
      </w:r>
      <w:r>
        <w:rPr>
          <w:rStyle w:val="10"/>
          <w:rFonts w:hint="eastAsia" w:ascii="仿宋_GB2312" w:hAnsi="仿宋_GB2312" w:eastAsia="仿宋_GB2312" w:cs="仿宋_GB2312"/>
          <w:b w:val="0"/>
          <w:color w:val="404040"/>
          <w:sz w:val="32"/>
          <w:szCs w:val="32"/>
          <w:shd w:val="clear" w:color="auto" w:fill="FFFFFF"/>
        </w:rPr>
        <w:t>授权/驳回</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通过审查后，JPO发出</w:t>
      </w:r>
      <w:r>
        <w:rPr>
          <w:rStyle w:val="10"/>
          <w:rFonts w:hint="eastAsia" w:ascii="仿宋_GB2312" w:hAnsi="仿宋_GB2312" w:eastAsia="仿宋_GB2312" w:cs="仿宋_GB2312"/>
          <w:b w:val="0"/>
          <w:color w:val="404040"/>
          <w:sz w:val="32"/>
          <w:szCs w:val="32"/>
          <w:shd w:val="clear" w:color="auto" w:fill="FFFFFF"/>
        </w:rPr>
        <w:t>授权通知</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Fonts w:hint="eastAsia" w:ascii="仿宋_GB2312" w:hAnsi="仿宋_GB2312" w:eastAsia="仿宋_GB2312" w:cs="仿宋_GB2312"/>
          <w:color w:val="404040"/>
          <w:sz w:val="32"/>
          <w:szCs w:val="32"/>
          <w:shd w:val="clear" w:color="auto" w:fill="FFFFFF"/>
        </w:rPr>
        <w:t>被驳回时，申请人可在</w:t>
      </w:r>
      <w:r>
        <w:rPr>
          <w:rStyle w:val="10"/>
          <w:rFonts w:hint="eastAsia" w:ascii="仿宋_GB2312" w:hAnsi="仿宋_GB2312" w:eastAsia="仿宋_GB2312" w:cs="仿宋_GB2312"/>
          <w:b w:val="0"/>
          <w:color w:val="404040"/>
          <w:sz w:val="32"/>
          <w:szCs w:val="32"/>
          <w:shd w:val="clear" w:color="auto" w:fill="FFFFFF"/>
        </w:rPr>
        <w:t>收到驳回通知后3个月内</w:t>
      </w:r>
      <w:r>
        <w:rPr>
          <w:rFonts w:hint="eastAsia" w:ascii="仿宋_GB2312" w:hAnsi="仿宋_GB2312" w:eastAsia="仿宋_GB2312" w:cs="仿宋_GB2312"/>
          <w:color w:val="404040"/>
          <w:sz w:val="32"/>
          <w:szCs w:val="32"/>
          <w:shd w:val="clear" w:color="auto" w:fill="FFFFFF"/>
        </w:rPr>
        <w:t>请求</w:t>
      </w:r>
      <w:r>
        <w:rPr>
          <w:rStyle w:val="10"/>
          <w:rFonts w:hint="eastAsia" w:ascii="仿宋_GB2312" w:hAnsi="仿宋_GB2312" w:eastAsia="仿宋_GB2312" w:cs="仿宋_GB2312"/>
          <w:b w:val="0"/>
          <w:color w:val="404040"/>
          <w:sz w:val="32"/>
          <w:szCs w:val="32"/>
          <w:shd w:val="clear" w:color="auto" w:fill="FFFFFF"/>
        </w:rPr>
        <w:t>复审</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lang w:val="en-US" w:eastAsia="zh-CN"/>
        </w:rPr>
        <w:t>⑦</w:t>
      </w:r>
      <w:r>
        <w:rPr>
          <w:rStyle w:val="10"/>
          <w:rFonts w:hint="eastAsia" w:ascii="仿宋_GB2312" w:hAnsi="仿宋_GB2312" w:eastAsia="仿宋_GB2312" w:cs="仿宋_GB2312"/>
          <w:b w:val="0"/>
          <w:color w:val="404040"/>
          <w:sz w:val="32"/>
          <w:szCs w:val="32"/>
          <w:shd w:val="clear" w:color="auto" w:fill="FFFFFF"/>
        </w:rPr>
        <w:t>注册登记</w:t>
      </w:r>
      <w:r>
        <w:rPr>
          <w:rFonts w:hint="eastAsia" w:ascii="仿宋_GB2312" w:hAnsi="仿宋_GB2312" w:eastAsia="仿宋_GB2312" w:cs="仿宋_GB2312"/>
          <w:color w:val="404040"/>
          <w:sz w:val="32"/>
          <w:szCs w:val="32"/>
          <w:shd w:val="clear" w:color="auto" w:fill="FFFFFF"/>
        </w:rPr>
        <w:t>：收到授权通知后，申请人需在</w:t>
      </w:r>
      <w:r>
        <w:rPr>
          <w:rStyle w:val="10"/>
          <w:rFonts w:hint="eastAsia" w:ascii="仿宋_GB2312" w:hAnsi="仿宋_GB2312" w:eastAsia="仿宋_GB2312" w:cs="仿宋_GB2312"/>
          <w:b w:val="0"/>
          <w:color w:val="404040"/>
          <w:sz w:val="32"/>
          <w:szCs w:val="32"/>
          <w:shd w:val="clear" w:color="auto" w:fill="FFFFFF"/>
        </w:rPr>
        <w:t>30日内</w:t>
      </w:r>
      <w:r>
        <w:rPr>
          <w:rFonts w:hint="eastAsia" w:ascii="仿宋_GB2312" w:hAnsi="仿宋_GB2312" w:eastAsia="仿宋_GB2312" w:cs="仿宋_GB2312"/>
          <w:color w:val="404040"/>
          <w:sz w:val="32"/>
          <w:szCs w:val="32"/>
          <w:shd w:val="clear" w:color="auto" w:fill="FFFFFF"/>
        </w:rPr>
        <w:t>缴纳第1-3年的年费，专利权自此正式生效。</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⑧</w:t>
      </w:r>
      <w:r>
        <w:rPr>
          <w:rStyle w:val="10"/>
          <w:rFonts w:hint="eastAsia" w:ascii="仿宋_GB2312" w:hAnsi="仿宋_GB2312" w:eastAsia="仿宋_GB2312" w:cs="仿宋_GB2312"/>
          <w:b w:val="0"/>
          <w:color w:val="404040"/>
          <w:sz w:val="32"/>
          <w:szCs w:val="32"/>
          <w:shd w:val="clear" w:color="auto" w:fill="FFFFFF"/>
        </w:rPr>
        <w:t>维持保护</w:t>
      </w:r>
      <w:r>
        <w:rPr>
          <w:rFonts w:hint="eastAsia" w:ascii="仿宋_GB2312" w:hAnsi="仿宋_GB2312" w:eastAsia="仿宋_GB2312" w:cs="仿宋_GB2312"/>
          <w:color w:val="404040"/>
          <w:sz w:val="32"/>
          <w:szCs w:val="32"/>
          <w:shd w:val="clear" w:color="auto" w:fill="FFFFFF"/>
        </w:rPr>
        <w:t>：此后需</w:t>
      </w:r>
      <w:r>
        <w:rPr>
          <w:rStyle w:val="10"/>
          <w:rFonts w:hint="eastAsia" w:ascii="仿宋_GB2312" w:hAnsi="仿宋_GB2312" w:eastAsia="仿宋_GB2312" w:cs="仿宋_GB2312"/>
          <w:b w:val="0"/>
          <w:color w:val="404040"/>
          <w:sz w:val="32"/>
          <w:szCs w:val="32"/>
          <w:shd w:val="clear" w:color="auto" w:fill="FFFFFF"/>
        </w:rPr>
        <w:t>每年缴纳年费</w:t>
      </w:r>
      <w:r>
        <w:rPr>
          <w:rFonts w:hint="eastAsia" w:ascii="仿宋_GB2312" w:hAnsi="仿宋_GB2312" w:eastAsia="仿宋_GB2312" w:cs="仿宋_GB2312"/>
          <w:color w:val="404040"/>
          <w:sz w:val="32"/>
          <w:szCs w:val="32"/>
          <w:shd w:val="clear" w:color="auto" w:fill="FFFFFF"/>
        </w:rPr>
        <w:t>以维持专利权有效。</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⑨</w:t>
      </w:r>
      <w:r>
        <w:rPr>
          <w:rStyle w:val="10"/>
          <w:rFonts w:hint="eastAsia" w:ascii="仿宋_GB2312" w:hAnsi="仿宋_GB2312" w:eastAsia="仿宋_GB2312" w:cs="仿宋_GB2312"/>
          <w:b w:val="0"/>
          <w:color w:val="404040"/>
          <w:sz w:val="32"/>
          <w:szCs w:val="32"/>
          <w:shd w:val="clear" w:color="auto" w:fill="FFFFFF"/>
        </w:rPr>
        <w:t>加速通道</w:t>
      </w:r>
      <w:r>
        <w:rPr>
          <w:rFonts w:hint="eastAsia" w:ascii="仿宋_GB2312" w:hAnsi="仿宋_GB2312" w:eastAsia="仿宋_GB2312" w:cs="仿宋_GB2312"/>
          <w:color w:val="404040"/>
          <w:sz w:val="32"/>
          <w:szCs w:val="32"/>
          <w:shd w:val="clear" w:color="auto" w:fill="FFFFFF"/>
        </w:rPr>
        <w:t>：可利用</w:t>
      </w:r>
      <w:r>
        <w:rPr>
          <w:rStyle w:val="10"/>
          <w:rFonts w:hint="eastAsia" w:ascii="仿宋_GB2312" w:hAnsi="仿宋_GB2312" w:eastAsia="仿宋_GB2312" w:cs="仿宋_GB2312"/>
          <w:b w:val="0"/>
          <w:color w:val="404040"/>
          <w:sz w:val="32"/>
          <w:szCs w:val="32"/>
          <w:shd w:val="clear" w:color="auto" w:fill="FFFFFF"/>
        </w:rPr>
        <w:t>专利审查高速路（PPH）</w:t>
      </w:r>
      <w:r>
        <w:rPr>
          <w:rFonts w:hint="eastAsia" w:ascii="仿宋_GB2312" w:hAnsi="仿宋_GB2312" w:eastAsia="仿宋_GB2312" w:cs="仿宋_GB2312"/>
          <w:color w:val="404040"/>
          <w:sz w:val="32"/>
          <w:szCs w:val="32"/>
          <w:shd w:val="clear" w:color="auto" w:fill="FFFFFF"/>
        </w:rPr>
        <w:t>（基于国外对应申请已获授权的结果）或</w:t>
      </w:r>
      <w:r>
        <w:rPr>
          <w:rStyle w:val="10"/>
          <w:rFonts w:hint="eastAsia" w:ascii="仿宋_GB2312" w:hAnsi="仿宋_GB2312" w:eastAsia="仿宋_GB2312" w:cs="仿宋_GB2312"/>
          <w:b w:val="0"/>
          <w:color w:val="404040"/>
          <w:sz w:val="32"/>
          <w:szCs w:val="32"/>
          <w:shd w:val="clear" w:color="auto" w:fill="FFFFFF"/>
        </w:rPr>
        <w:t>优先审查</w:t>
      </w:r>
      <w:r>
        <w:rPr>
          <w:rFonts w:hint="eastAsia" w:ascii="仿宋_GB2312" w:hAnsi="仿宋_GB2312" w:eastAsia="仿宋_GB2312" w:cs="仿宋_GB2312"/>
          <w:color w:val="404040"/>
          <w:sz w:val="32"/>
          <w:szCs w:val="32"/>
          <w:shd w:val="clear" w:color="auto" w:fill="FFFFFF"/>
        </w:rPr>
        <w:t>程序大幅缩短审查周期。</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（2）实用新型</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left="638" w:leftChars="304" w:firstLine="0" w:firstLineChars="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流程特点：登记制、无实质审查、获权快但权利不稳定。</w:t>
      </w:r>
      <w:r>
        <w:rPr>
          <w:rFonts w:hint="eastAsia" w:ascii="仿宋_GB2312" w:hAnsi="仿宋_GB2312" w:eastAsia="仿宋_GB2312" w:cs="仿宋_GB2312"/>
          <w:color w:val="404040"/>
          <w:sz w:val="32"/>
          <w:szCs w:val="32"/>
          <w:shd w:val="clear" w:color="auto" w:fill="FFFFFF"/>
        </w:rPr>
        <w:br w:type="textWrapping"/>
      </w:r>
      <w:r>
        <w:rPr>
          <w:rStyle w:val="10"/>
          <w:rFonts w:hint="eastAsia" w:ascii="仿宋_GB2312" w:hAnsi="仿宋_GB2312" w:eastAsia="仿宋_GB2312" w:cs="仿宋_GB2312"/>
          <w:b w:val="0"/>
          <w:color w:val="404040"/>
          <w:sz w:val="32"/>
          <w:szCs w:val="32"/>
          <w:shd w:val="clear" w:color="auto" w:fill="FFFFFF"/>
        </w:rPr>
        <w:t>保护期限：自申请日起10年。</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①</w:t>
      </w:r>
      <w:r>
        <w:rPr>
          <w:rStyle w:val="10"/>
          <w:rFonts w:hint="eastAsia" w:ascii="仿宋_GB2312" w:hAnsi="仿宋_GB2312" w:eastAsia="仿宋_GB2312" w:cs="仿宋_GB2312"/>
          <w:b w:val="0"/>
          <w:color w:val="404040"/>
          <w:sz w:val="32"/>
          <w:szCs w:val="32"/>
          <w:shd w:val="clear" w:color="auto" w:fill="FFFFFF"/>
        </w:rPr>
        <w:t>提交申请</w:t>
      </w:r>
      <w:r>
        <w:rPr>
          <w:rFonts w:hint="eastAsia" w:ascii="仿宋_GB2312" w:hAnsi="仿宋_GB2312" w:eastAsia="仿宋_GB2312" w:cs="仿宋_GB2312"/>
          <w:color w:val="404040"/>
          <w:sz w:val="32"/>
          <w:szCs w:val="32"/>
          <w:shd w:val="clear" w:color="auto" w:fill="FFFFFF"/>
        </w:rPr>
        <w:t>：所需文件与发明专利类似。</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②</w:t>
      </w:r>
      <w:r>
        <w:rPr>
          <w:rStyle w:val="10"/>
          <w:rFonts w:hint="eastAsia" w:ascii="仿宋_GB2312" w:hAnsi="仿宋_GB2312" w:eastAsia="仿宋_GB2312" w:cs="仿宋_GB2312"/>
          <w:b w:val="0"/>
          <w:color w:val="404040"/>
          <w:sz w:val="32"/>
          <w:szCs w:val="32"/>
          <w:shd w:val="clear" w:color="auto" w:fill="FFFFFF"/>
        </w:rPr>
        <w:t>形式审查</w:t>
      </w:r>
      <w:r>
        <w:rPr>
          <w:rFonts w:hint="eastAsia" w:ascii="仿宋_GB2312" w:hAnsi="仿宋_GB2312" w:eastAsia="仿宋_GB2312" w:cs="仿宋_GB2312"/>
          <w:color w:val="404040"/>
          <w:sz w:val="32"/>
          <w:szCs w:val="32"/>
          <w:shd w:val="clear" w:color="auto" w:fill="FFFFFF"/>
        </w:rPr>
        <w:t>：JPO仅对文件进行格式审查，</w:t>
      </w:r>
      <w:r>
        <w:rPr>
          <w:rStyle w:val="10"/>
          <w:rFonts w:hint="eastAsia" w:ascii="仿宋_GB2312" w:hAnsi="仿宋_GB2312" w:eastAsia="仿宋_GB2312" w:cs="仿宋_GB2312"/>
          <w:b w:val="0"/>
          <w:color w:val="404040"/>
          <w:sz w:val="32"/>
          <w:szCs w:val="32"/>
          <w:shd w:val="clear" w:color="auto" w:fill="FFFFFF"/>
        </w:rPr>
        <w:t>不进行新颖性、创造性的实质审查</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③</w:t>
      </w:r>
      <w:r>
        <w:rPr>
          <w:rStyle w:val="10"/>
          <w:rFonts w:hint="eastAsia" w:ascii="仿宋_GB2312" w:hAnsi="仿宋_GB2312" w:eastAsia="仿宋_GB2312" w:cs="仿宋_GB2312"/>
          <w:b w:val="0"/>
          <w:color w:val="404040"/>
          <w:sz w:val="32"/>
          <w:szCs w:val="32"/>
          <w:shd w:val="clear" w:color="auto" w:fill="FFFFFF"/>
        </w:rPr>
        <w:t>注册登记</w:t>
      </w:r>
      <w:r>
        <w:rPr>
          <w:rFonts w:hint="eastAsia" w:ascii="仿宋_GB2312" w:hAnsi="仿宋_GB2312" w:eastAsia="仿宋_GB2312" w:cs="仿宋_GB2312"/>
          <w:color w:val="404040"/>
          <w:sz w:val="32"/>
          <w:szCs w:val="32"/>
          <w:shd w:val="clear" w:color="auto" w:fill="FFFFFF"/>
        </w:rPr>
        <w:t>：形式审查通过后即予以注册并公告。整个过程约</w:t>
      </w:r>
      <w:r>
        <w:rPr>
          <w:rStyle w:val="10"/>
          <w:rFonts w:hint="eastAsia" w:ascii="仿宋_GB2312" w:hAnsi="仿宋_GB2312" w:eastAsia="仿宋_GB2312" w:cs="仿宋_GB2312"/>
          <w:b w:val="0"/>
          <w:color w:val="404040"/>
          <w:sz w:val="32"/>
          <w:szCs w:val="32"/>
          <w:shd w:val="clear" w:color="auto" w:fill="FFFFFF"/>
        </w:rPr>
        <w:t>3-6个月</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lang w:val="en-US" w:eastAsia="zh-CN"/>
        </w:rPr>
        <w:t>④</w:t>
      </w:r>
      <w:r>
        <w:rPr>
          <w:rStyle w:val="10"/>
          <w:rFonts w:hint="eastAsia" w:ascii="仿宋_GB2312" w:hAnsi="仿宋_GB2312" w:eastAsia="仿宋_GB2312" w:cs="仿宋_GB2312"/>
          <w:b w:val="0"/>
          <w:color w:val="404040"/>
          <w:sz w:val="32"/>
          <w:szCs w:val="32"/>
          <w:shd w:val="clear" w:color="auto" w:fill="FFFFFF"/>
        </w:rPr>
        <w:t>缴纳年费</w:t>
      </w:r>
      <w:r>
        <w:rPr>
          <w:rFonts w:hint="eastAsia" w:ascii="仿宋_GB2312" w:hAnsi="仿宋_GB2312" w:eastAsia="仿宋_GB2312" w:cs="仿宋_GB2312"/>
          <w:color w:val="404040"/>
          <w:sz w:val="32"/>
          <w:szCs w:val="32"/>
          <w:shd w:val="clear" w:color="auto" w:fill="FFFFFF"/>
        </w:rPr>
        <w:t>：需缴纳年费以维持权利。</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lang w:val="en-US" w:eastAsia="zh-CN"/>
        </w:rPr>
        <w:t>⑤</w:t>
      </w:r>
      <w:r>
        <w:rPr>
          <w:rStyle w:val="10"/>
          <w:rFonts w:hint="eastAsia" w:ascii="仿宋_GB2312" w:hAnsi="仿宋_GB2312" w:eastAsia="仿宋_GB2312" w:cs="仿宋_GB2312"/>
          <w:b w:val="0"/>
          <w:color w:val="404040"/>
          <w:sz w:val="32"/>
          <w:szCs w:val="32"/>
          <w:shd w:val="clear" w:color="auto" w:fill="FFFFFF"/>
        </w:rPr>
        <w:t>重要特点：</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技术评价书</w:t>
      </w:r>
      <w:r>
        <w:rPr>
          <w:rFonts w:hint="eastAsia" w:ascii="仿宋_GB2312" w:hAnsi="仿宋_GB2312" w:eastAsia="仿宋_GB2312" w:cs="仿宋_GB2312"/>
          <w:color w:val="404040"/>
          <w:sz w:val="32"/>
          <w:szCs w:val="32"/>
          <w:shd w:val="clear" w:color="auto" w:fill="FFFFFF"/>
        </w:rPr>
        <w:t>：实用新型专利权人在行使权利（如警告或诉讼）前，必须向JPO请求出具《技术评价书》。此评价书类似于审查报告，会评估该实用新型的新颖性和创造性。</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如果《技术评价书》结论为负面</w:t>
      </w:r>
      <w:r>
        <w:rPr>
          <w:rFonts w:hint="eastAsia" w:ascii="仿宋_GB2312" w:hAnsi="仿宋_GB2312" w:eastAsia="仿宋_GB2312" w:cs="仿宋_GB2312"/>
          <w:color w:val="404040"/>
          <w:sz w:val="32"/>
          <w:szCs w:val="32"/>
          <w:shd w:val="clear" w:color="auto" w:fill="FFFFFF"/>
        </w:rPr>
        <w:t>，专利权人仍可主张权利，但很难胜诉，且可能被对方反诉无效。这使得实用新型权利本身</w:t>
      </w:r>
      <w:r>
        <w:rPr>
          <w:rStyle w:val="10"/>
          <w:rFonts w:hint="eastAsia" w:ascii="仿宋_GB2312" w:hAnsi="仿宋_GB2312" w:eastAsia="仿宋_GB2312" w:cs="仿宋_GB2312"/>
          <w:b w:val="0"/>
          <w:color w:val="404040"/>
          <w:sz w:val="32"/>
          <w:szCs w:val="32"/>
          <w:shd w:val="clear" w:color="auto" w:fill="FFFFFF"/>
        </w:rPr>
        <w:t>非常不稳定</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转换制度</w:t>
      </w:r>
      <w:r>
        <w:rPr>
          <w:rFonts w:hint="eastAsia" w:ascii="仿宋_GB2312" w:hAnsi="仿宋_GB2312" w:eastAsia="仿宋_GB2312" w:cs="仿宋_GB2312"/>
          <w:color w:val="404040"/>
          <w:sz w:val="32"/>
          <w:szCs w:val="32"/>
          <w:shd w:val="clear" w:color="auto" w:fill="FFFFFF"/>
        </w:rPr>
        <w:t>：发明专利申请可在未授权前转换为实用新型申请（但反之不可）。</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适用场景</w:t>
      </w:r>
      <w:r>
        <w:rPr>
          <w:rFonts w:hint="eastAsia" w:ascii="仿宋_GB2312" w:hAnsi="仿宋_GB2312" w:eastAsia="仿宋_GB2312" w:cs="仿宋_GB2312"/>
          <w:color w:val="404040"/>
          <w:sz w:val="32"/>
          <w:szCs w:val="32"/>
          <w:shd w:val="clear" w:color="auto" w:fill="FFFFFF"/>
        </w:rPr>
        <w:t>：生命周期较短的产品结构创新、或作为发明专利的补充保护。</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（3）外观设计</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left="638" w:leftChars="304" w:firstLine="0" w:firstLineChars="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流程特点：实质审查制、审查周期适中</w:t>
      </w:r>
      <w:r>
        <w:rPr>
          <w:rFonts w:hint="eastAsia" w:ascii="仿宋_GB2312" w:hAnsi="仿宋_GB2312" w:eastAsia="仿宋_GB2312" w:cs="仿宋_GB2312"/>
          <w:color w:val="404040"/>
          <w:sz w:val="32"/>
          <w:szCs w:val="32"/>
          <w:shd w:val="clear" w:color="auto" w:fill="FFFFFF"/>
        </w:rPr>
        <w:br w:type="textWrapping"/>
      </w:r>
      <w:r>
        <w:rPr>
          <w:rStyle w:val="10"/>
          <w:rFonts w:hint="eastAsia" w:ascii="仿宋_GB2312" w:hAnsi="仿宋_GB2312" w:eastAsia="仿宋_GB2312" w:cs="仿宋_GB2312"/>
          <w:b w:val="0"/>
          <w:color w:val="404040"/>
          <w:sz w:val="32"/>
          <w:szCs w:val="32"/>
          <w:shd w:val="clear" w:color="auto" w:fill="FFFFFF"/>
        </w:rPr>
        <w:t>保护期限：自注册日起25年</w:t>
      </w:r>
      <w:r>
        <w:rPr>
          <w:rFonts w:hint="eastAsia" w:ascii="仿宋_GB2312" w:hAnsi="仿宋_GB2312" w:eastAsia="仿宋_GB2312" w:cs="仿宋_GB2312"/>
          <w:color w:val="404040"/>
          <w:sz w:val="32"/>
          <w:szCs w:val="32"/>
          <w:shd w:val="clear" w:color="auto" w:fill="FFFFFF"/>
        </w:rPr>
        <w:t>（2020年4月1日后申请的设计，之前为20年）</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①</w:t>
      </w:r>
      <w:r>
        <w:rPr>
          <w:rStyle w:val="10"/>
          <w:rFonts w:hint="eastAsia" w:ascii="仿宋_GB2312" w:hAnsi="仿宋_GB2312" w:eastAsia="仿宋_GB2312" w:cs="仿宋_GB2312"/>
          <w:b w:val="0"/>
          <w:color w:val="404040"/>
          <w:sz w:val="32"/>
          <w:szCs w:val="32"/>
          <w:shd w:val="clear" w:color="auto" w:fill="FFFFFF"/>
        </w:rPr>
        <w:t>提交申请</w:t>
      </w:r>
      <w:r>
        <w:rPr>
          <w:rFonts w:hint="eastAsia" w:ascii="仿宋_GB2312" w:hAnsi="仿宋_GB2312" w:eastAsia="仿宋_GB2312" w:cs="仿宋_GB2312"/>
          <w:color w:val="404040"/>
          <w:sz w:val="32"/>
          <w:szCs w:val="32"/>
          <w:shd w:val="clear" w:color="auto" w:fill="FFFFFF"/>
        </w:rPr>
        <w:t>：提交申请文件、外观设计图片或照片、以及说明。</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②</w:t>
      </w:r>
      <w:r>
        <w:rPr>
          <w:rStyle w:val="10"/>
          <w:rFonts w:hint="eastAsia" w:ascii="仿宋_GB2312" w:hAnsi="仿宋_GB2312" w:eastAsia="仿宋_GB2312" w:cs="仿宋_GB2312"/>
          <w:b w:val="0"/>
          <w:color w:val="404040"/>
          <w:sz w:val="32"/>
          <w:szCs w:val="32"/>
          <w:shd w:val="clear" w:color="auto" w:fill="FFFFFF"/>
        </w:rPr>
        <w:t>形式审查</w:t>
      </w:r>
      <w:r>
        <w:rPr>
          <w:rFonts w:hint="eastAsia" w:ascii="仿宋_GB2312" w:hAnsi="仿宋_GB2312" w:eastAsia="仿宋_GB2312" w:cs="仿宋_GB2312"/>
          <w:color w:val="404040"/>
          <w:sz w:val="32"/>
          <w:szCs w:val="32"/>
          <w:shd w:val="clear" w:color="auto" w:fill="FFFFFF"/>
        </w:rPr>
        <w:t>：JPO检查文件格式。</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③</w:t>
      </w:r>
      <w:r>
        <w:rPr>
          <w:rStyle w:val="10"/>
          <w:rFonts w:hint="eastAsia" w:ascii="仿宋_GB2312" w:hAnsi="仿宋_GB2312" w:eastAsia="仿宋_GB2312" w:cs="仿宋_GB2312"/>
          <w:b w:val="0"/>
          <w:color w:val="404040"/>
          <w:sz w:val="32"/>
          <w:szCs w:val="32"/>
          <w:shd w:val="clear" w:color="auto" w:fill="FFFFFF"/>
        </w:rPr>
        <w:t>实质审查</w:t>
      </w:r>
      <w:r>
        <w:rPr>
          <w:rFonts w:hint="eastAsia" w:ascii="仿宋_GB2312" w:hAnsi="仿宋_GB2312" w:eastAsia="仿宋_GB2312" w:cs="仿宋_GB2312"/>
          <w:color w:val="404040"/>
          <w:sz w:val="32"/>
          <w:szCs w:val="32"/>
          <w:shd w:val="clear" w:color="auto" w:fill="FFFFFF"/>
        </w:rPr>
        <w:t>：审查员对新颖性、创造性（非容易创作）等进行审查。也可能发出</w:t>
      </w:r>
      <w:r>
        <w:rPr>
          <w:rStyle w:val="10"/>
          <w:rFonts w:hint="eastAsia" w:ascii="仿宋_GB2312" w:hAnsi="仿宋_GB2312" w:eastAsia="仿宋_GB2312" w:cs="仿宋_GB2312"/>
          <w:b w:val="0"/>
          <w:color w:val="404040"/>
          <w:sz w:val="32"/>
          <w:szCs w:val="32"/>
          <w:shd w:val="clear" w:color="auto" w:fill="FFFFFF"/>
        </w:rPr>
        <w:t>驳回理由通知书</w:t>
      </w:r>
      <w:r>
        <w:rPr>
          <w:rFonts w:hint="eastAsia" w:ascii="仿宋_GB2312" w:hAnsi="仿宋_GB2312" w:eastAsia="仿宋_GB2312" w:cs="仿宋_GB2312"/>
          <w:color w:val="404040"/>
          <w:sz w:val="32"/>
          <w:szCs w:val="32"/>
          <w:shd w:val="clear" w:color="auto" w:fill="FFFFFF"/>
        </w:rPr>
        <w:t>，申请人需在期限内答复。</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④</w:t>
      </w:r>
      <w:r>
        <w:rPr>
          <w:rStyle w:val="10"/>
          <w:rFonts w:hint="eastAsia" w:ascii="仿宋_GB2312" w:hAnsi="仿宋_GB2312" w:eastAsia="仿宋_GB2312" w:cs="仿宋_GB2312"/>
          <w:b w:val="0"/>
          <w:color w:val="404040"/>
          <w:sz w:val="32"/>
          <w:szCs w:val="32"/>
          <w:shd w:val="clear" w:color="auto" w:fill="FFFFFF"/>
        </w:rPr>
        <w:t>注册登记</w:t>
      </w:r>
      <w:r>
        <w:rPr>
          <w:rFonts w:hint="eastAsia" w:ascii="仿宋_GB2312" w:hAnsi="仿宋_GB2312" w:eastAsia="仿宋_GB2312" w:cs="仿宋_GB2312"/>
          <w:color w:val="404040"/>
          <w:sz w:val="32"/>
          <w:szCs w:val="32"/>
          <w:shd w:val="clear" w:color="auto" w:fill="FFFFFF"/>
        </w:rPr>
        <w:t>：通过审查后，申请人缴纳首年注册费，外观设计权自此生效。</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⑤</w:t>
      </w:r>
      <w:r>
        <w:rPr>
          <w:rStyle w:val="10"/>
          <w:rFonts w:hint="eastAsia" w:ascii="仿宋_GB2312" w:hAnsi="仿宋_GB2312" w:eastAsia="仿宋_GB2312" w:cs="仿宋_GB2312"/>
          <w:b w:val="0"/>
          <w:color w:val="404040"/>
          <w:sz w:val="32"/>
          <w:szCs w:val="32"/>
          <w:shd w:val="clear" w:color="auto" w:fill="FFFFFF"/>
        </w:rPr>
        <w:t>缴纳年费</w:t>
      </w:r>
      <w:r>
        <w:rPr>
          <w:rFonts w:hint="eastAsia" w:ascii="仿宋_GB2312" w:hAnsi="仿宋_GB2312" w:eastAsia="仿宋_GB2312" w:cs="仿宋_GB2312"/>
          <w:color w:val="404040"/>
          <w:sz w:val="32"/>
          <w:szCs w:val="32"/>
          <w:shd w:val="clear" w:color="auto" w:fill="FFFFFF"/>
        </w:rPr>
        <w:t>：外观设计年费需</w:t>
      </w:r>
      <w:r>
        <w:rPr>
          <w:rStyle w:val="10"/>
          <w:rFonts w:hint="eastAsia" w:ascii="仿宋_GB2312" w:hAnsi="仿宋_GB2312" w:eastAsia="仿宋_GB2312" w:cs="仿宋_GB2312"/>
          <w:b w:val="0"/>
          <w:color w:val="404040"/>
          <w:sz w:val="32"/>
          <w:szCs w:val="32"/>
          <w:shd w:val="clear" w:color="auto" w:fill="FFFFFF"/>
        </w:rPr>
        <w:t>每笔一次性缴纳</w:t>
      </w:r>
      <w:r>
        <w:rPr>
          <w:rFonts w:hint="eastAsia" w:ascii="仿宋_GB2312" w:hAnsi="仿宋_GB2312" w:eastAsia="仿宋_GB2312" w:cs="仿宋_GB2312"/>
          <w:color w:val="404040"/>
          <w:sz w:val="32"/>
          <w:szCs w:val="32"/>
          <w:shd w:val="clear" w:color="auto" w:fill="FFFFFF"/>
        </w:rPr>
        <w:t>（如1-10年，11-15年，16-20年，21-25年）。</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日本外观设计的特点：</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相关外观设计制度</w:t>
      </w:r>
      <w:r>
        <w:rPr>
          <w:rFonts w:hint="eastAsia" w:ascii="仿宋_GB2312" w:hAnsi="仿宋_GB2312" w:eastAsia="仿宋_GB2312" w:cs="仿宋_GB2312"/>
          <w:color w:val="404040"/>
          <w:sz w:val="32"/>
          <w:szCs w:val="32"/>
          <w:shd w:val="clear" w:color="auto" w:fill="FFFFFF"/>
        </w:rPr>
        <w:t>：允许在同一主旨下注册多个相似的设计，有效保护设计上的微小变化，防止他人通过细微修改进行仿冒。</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部分外观设计</w:t>
      </w:r>
      <w:r>
        <w:rPr>
          <w:rFonts w:hint="eastAsia" w:ascii="仿宋_GB2312" w:hAnsi="仿宋_GB2312" w:eastAsia="仿宋_GB2312" w:cs="仿宋_GB2312"/>
          <w:color w:val="404040"/>
          <w:sz w:val="32"/>
          <w:szCs w:val="32"/>
          <w:shd w:val="clear" w:color="auto" w:fill="FFFFFF"/>
        </w:rPr>
        <w:t>：可以只保护产品的一部分（如手机的Home键设计）。</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动态GUI保护</w:t>
      </w:r>
      <w:r>
        <w:rPr>
          <w:rFonts w:hint="eastAsia" w:ascii="仿宋_GB2312" w:hAnsi="仿宋_GB2312" w:eastAsia="仿宋_GB2312" w:cs="仿宋_GB2312"/>
          <w:color w:val="404040"/>
          <w:sz w:val="32"/>
          <w:szCs w:val="32"/>
          <w:shd w:val="clear" w:color="auto" w:fill="FFFFFF"/>
        </w:rPr>
        <w:t>：可以申请保护动态变化的图形用户界面。</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（二）日本专利申请官方费用</w:t>
      </w:r>
    </w:p>
    <w:p>
      <w:pPr>
        <w:keepNext w:val="0"/>
        <w:keepLines w:val="0"/>
        <w:pageBreakBefore w:val="0"/>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val="0"/>
          <w:color w:val="404040"/>
          <w:sz w:val="32"/>
          <w:szCs w:val="32"/>
        </w:rPr>
      </w:pPr>
      <w:r>
        <w:rPr>
          <w:rFonts w:hint="eastAsia" w:ascii="仿宋_GB2312" w:hAnsi="仿宋_GB2312" w:eastAsia="仿宋_GB2312" w:cs="仿宋_GB2312"/>
          <w:b/>
          <w:bCs w:val="0"/>
          <w:sz w:val="32"/>
          <w:szCs w:val="32"/>
        </w:rPr>
        <w:t>1.</w:t>
      </w:r>
      <w:r>
        <w:rPr>
          <w:rStyle w:val="10"/>
          <w:rFonts w:hint="eastAsia" w:ascii="仿宋_GB2312" w:hAnsi="仿宋_GB2312" w:eastAsia="仿宋_GB2312" w:cs="仿宋_GB2312"/>
          <w:b/>
          <w:bCs w:val="0"/>
          <w:color w:val="404040"/>
          <w:sz w:val="32"/>
          <w:szCs w:val="32"/>
          <w:shd w:val="clear" w:color="auto" w:fill="FFFFFF"/>
        </w:rPr>
        <w:t xml:space="preserve"> 发明（特许）官方费用</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Fonts w:hint="eastAsia" w:ascii="仿宋_GB2312" w:hAnsi="仿宋_GB2312" w:eastAsia="仿宋_GB2312" w:cs="仿宋_GB2312"/>
          <w:bCs/>
          <w:color w:val="404040"/>
          <w:sz w:val="32"/>
          <w:szCs w:val="32"/>
          <w:shd w:val="clear" w:color="auto" w:fill="FFFFFF"/>
        </w:rPr>
        <w:t>发明专利申请的费用最高，且需分阶段缴纳。</w:t>
      </w:r>
    </w:p>
    <w:tbl>
      <w:tblPr>
        <w:tblStyle w:val="8"/>
        <w:tblW w:w="88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848"/>
        <w:gridCol w:w="2559"/>
        <w:gridCol w:w="44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trPr>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费用项目</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金额（日元）</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说明与缴纳时限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申请费</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14,000</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提交申请时缴纳。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实审请求费</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118,000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4,000）</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申请日起3年内</w:t>
            </w:r>
            <w:r>
              <w:rPr>
                <w:rFonts w:hint="eastAsia" w:asciiTheme="minorEastAsia" w:hAnsiTheme="minorEastAsia" w:eastAsiaTheme="minorEastAsia" w:cstheme="minorEastAsia"/>
                <w:bCs/>
                <w:kern w:val="0"/>
                <w:sz w:val="24"/>
                <w:szCs w:val="24"/>
                <w:lang w:bidi="ar"/>
              </w:rPr>
              <w:t>必须缴纳。这是除年费外最大的一笔官费。费用随权利要求项数增加而增加。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第1-3年年费</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2,300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200）</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收到</w:t>
            </w:r>
            <w:r>
              <w:rPr>
                <w:rStyle w:val="10"/>
                <w:rFonts w:hint="eastAsia" w:asciiTheme="minorEastAsia" w:hAnsiTheme="minorEastAsia" w:eastAsiaTheme="minorEastAsia" w:cstheme="minorEastAsia"/>
                <w:b w:val="0"/>
                <w:bCs/>
                <w:kern w:val="0"/>
                <w:sz w:val="24"/>
                <w:szCs w:val="24"/>
                <w:lang w:bidi="ar"/>
              </w:rPr>
              <w:t>授权决定通知后30天内</w:t>
            </w:r>
            <w:r>
              <w:rPr>
                <w:rFonts w:hint="eastAsia" w:asciiTheme="minorEastAsia" w:hAnsiTheme="minorEastAsia" w:eastAsiaTheme="minorEastAsia" w:cstheme="minorEastAsia"/>
                <w:bCs/>
                <w:kern w:val="0"/>
                <w:sz w:val="24"/>
                <w:szCs w:val="24"/>
                <w:lang w:bidi="ar"/>
              </w:rPr>
              <w:t>一次性缴纳前三年的费用。这是获得专利权的前提。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第4-6年年费</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7,100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600）</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需</w:t>
            </w:r>
            <w:r>
              <w:rPr>
                <w:rStyle w:val="10"/>
                <w:rFonts w:hint="eastAsia" w:asciiTheme="minorEastAsia" w:hAnsiTheme="minorEastAsia" w:eastAsiaTheme="minorEastAsia" w:cstheme="minorEastAsia"/>
                <w:b w:val="0"/>
                <w:bCs/>
                <w:kern w:val="0"/>
                <w:sz w:val="24"/>
                <w:szCs w:val="24"/>
                <w:lang w:bidi="ar"/>
              </w:rPr>
              <w:t>提前一年</w:t>
            </w:r>
            <w:r>
              <w:rPr>
                <w:rFonts w:hint="eastAsia" w:asciiTheme="minorEastAsia" w:hAnsiTheme="minorEastAsia" w:eastAsiaTheme="minorEastAsia" w:cstheme="minorEastAsia"/>
                <w:bCs/>
                <w:kern w:val="0"/>
                <w:sz w:val="24"/>
                <w:szCs w:val="24"/>
                <w:lang w:bidi="ar"/>
              </w:rPr>
              <w:t>缴纳。例如，第4年的年费需在第3年到期前缴纳。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第7-9年年费</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21,400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1,800）</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同上，需提前一年缴纳。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第10年及以后</w:t>
            </w:r>
          </w:p>
        </w:tc>
        <w:tc>
          <w:tcPr>
            <w:tcW w:w="2559"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逐年大幅递增</w:t>
            </w:r>
          </w:p>
        </w:tc>
        <w:tc>
          <w:tcPr>
            <w:tcW w:w="4441"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第10年：约42,800/项；第20年：约55,600/项。</w:t>
            </w:r>
          </w:p>
        </w:tc>
      </w:tr>
    </w:tbl>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val="0"/>
          <w:color w:val="404040"/>
          <w:sz w:val="32"/>
          <w:szCs w:val="32"/>
        </w:rPr>
      </w:pPr>
      <w:r>
        <w:rPr>
          <w:rStyle w:val="10"/>
          <w:rFonts w:hint="eastAsia" w:ascii="仿宋_GB2312" w:hAnsi="仿宋_GB2312" w:eastAsia="仿宋_GB2312" w:cs="仿宋_GB2312"/>
          <w:b/>
          <w:bCs w:val="0"/>
          <w:color w:val="404040"/>
          <w:sz w:val="32"/>
          <w:szCs w:val="32"/>
          <w:shd w:val="clear" w:color="auto" w:fill="FFFFFF"/>
        </w:rPr>
        <w:t>2. 实用新型（実用新案）官方费用</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Fonts w:hint="eastAsia" w:ascii="仿宋_GB2312" w:hAnsi="仿宋_GB2312" w:eastAsia="仿宋_GB2312" w:cs="仿宋_GB2312"/>
          <w:bCs/>
          <w:color w:val="404040"/>
          <w:sz w:val="32"/>
          <w:szCs w:val="32"/>
          <w:shd w:val="clear" w:color="auto" w:fill="FFFFFF"/>
        </w:rPr>
        <w:t>实用新型无实质审查，因此费用低很多，但需注意年费。</w:t>
      </w:r>
    </w:p>
    <w:tbl>
      <w:tblPr>
        <w:tblStyle w:val="8"/>
        <w:tblW w:w="89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706"/>
        <w:gridCol w:w="3115"/>
        <w:gridCol w:w="4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trPr>
        <w:tc>
          <w:tcPr>
            <w:tcW w:w="1706"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费用项目</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金额（日元）</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说明与缴纳时限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706"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申请费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14,000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提交申请时缴纳。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706"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第1-3年年费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2,100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100）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注册时（即申请通过形式审查后）一次性缴纳前三年的费用。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706"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第4-6年年费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6,400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300）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需</w:t>
            </w:r>
            <w:r>
              <w:rPr>
                <w:rStyle w:val="10"/>
                <w:rFonts w:hint="eastAsia" w:asciiTheme="minorEastAsia" w:hAnsiTheme="minorEastAsia" w:eastAsiaTheme="minorEastAsia" w:cstheme="minorEastAsia"/>
                <w:b w:val="0"/>
                <w:bCs/>
                <w:kern w:val="0"/>
                <w:sz w:val="24"/>
                <w:szCs w:val="24"/>
                <w:lang w:bidi="ar"/>
              </w:rPr>
              <w:t>提前一年</w:t>
            </w:r>
            <w:r>
              <w:rPr>
                <w:rFonts w:hint="eastAsia" w:asciiTheme="minorEastAsia" w:hAnsiTheme="minorEastAsia" w:eastAsiaTheme="minorEastAsia" w:cstheme="minorEastAsia"/>
                <w:bCs/>
                <w:kern w:val="0"/>
                <w:sz w:val="24"/>
                <w:szCs w:val="24"/>
                <w:lang w:bidi="ar"/>
              </w:rPr>
              <w:t>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706"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第7-10年年费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每年 18,900 + （</w:t>
            </w:r>
            <w:r>
              <w:rPr>
                <w:rStyle w:val="10"/>
                <w:rFonts w:hint="eastAsia" w:asciiTheme="minorEastAsia" w:hAnsiTheme="minorEastAsia" w:eastAsiaTheme="minorEastAsia" w:cstheme="minorEastAsia"/>
                <w:b w:val="0"/>
                <w:bCs/>
                <w:kern w:val="0"/>
                <w:sz w:val="24"/>
                <w:szCs w:val="24"/>
                <w:lang w:bidi="ar"/>
              </w:rPr>
              <w:t>每项权利要求</w:t>
            </w:r>
            <w:r>
              <w:rPr>
                <w:rFonts w:hint="eastAsia" w:asciiTheme="minorEastAsia" w:hAnsiTheme="minorEastAsia" w:eastAsiaTheme="minorEastAsia" w:cstheme="minorEastAsia"/>
                <w:bCs/>
                <w:kern w:val="0"/>
                <w:sz w:val="24"/>
                <w:szCs w:val="24"/>
                <w:lang w:bidi="ar"/>
              </w:rPr>
              <w:t> 900）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同上，需提前一年缴纳。</w:t>
            </w:r>
          </w:p>
        </w:tc>
      </w:tr>
    </w:tbl>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Style w:val="10"/>
          <w:rFonts w:hint="eastAsia" w:ascii="仿宋_GB2312" w:hAnsi="仿宋_GB2312" w:eastAsia="仿宋_GB2312" w:cs="仿宋_GB2312"/>
          <w:b w:val="0"/>
          <w:bCs/>
          <w:color w:val="404040"/>
          <w:sz w:val="32"/>
          <w:szCs w:val="32"/>
          <w:shd w:val="clear" w:color="auto" w:fill="FFFFFF"/>
        </w:rPr>
        <w:t>额外重要费用：《技术评价书》请求费</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sz w:val="32"/>
          <w:szCs w:val="32"/>
        </w:rPr>
      </w:pPr>
      <w:r>
        <w:rPr>
          <w:rStyle w:val="10"/>
          <w:rFonts w:hint="eastAsia" w:ascii="仿宋_GB2312" w:hAnsi="仿宋_GB2312" w:eastAsia="仿宋_GB2312" w:cs="仿宋_GB2312"/>
          <w:b w:val="0"/>
          <w:bCs/>
          <w:color w:val="404040"/>
          <w:sz w:val="32"/>
          <w:szCs w:val="32"/>
          <w:shd w:val="clear" w:color="auto" w:fill="FFFFFF"/>
        </w:rPr>
        <w:t>费用：</w:t>
      </w:r>
      <w:r>
        <w:rPr>
          <w:rFonts w:hint="eastAsia" w:ascii="仿宋_GB2312" w:hAnsi="仿宋_GB2312" w:eastAsia="仿宋_GB2312" w:cs="仿宋_GB2312"/>
          <w:bCs/>
          <w:color w:val="404040"/>
          <w:sz w:val="32"/>
          <w:szCs w:val="32"/>
          <w:shd w:val="clear" w:color="auto" w:fill="FFFFFF"/>
        </w:rPr>
        <w:t> 42,000 +（</w:t>
      </w:r>
      <w:r>
        <w:rPr>
          <w:rStyle w:val="10"/>
          <w:rFonts w:hint="eastAsia" w:ascii="仿宋_GB2312" w:hAnsi="仿宋_GB2312" w:eastAsia="仿宋_GB2312" w:cs="仿宋_GB2312"/>
          <w:b w:val="0"/>
          <w:bCs/>
          <w:color w:val="404040"/>
          <w:sz w:val="32"/>
          <w:szCs w:val="32"/>
          <w:shd w:val="clear" w:color="auto" w:fill="FFFFFF"/>
        </w:rPr>
        <w:t>每项权利要求</w:t>
      </w:r>
      <w:r>
        <w:rPr>
          <w:rFonts w:hint="eastAsia" w:ascii="仿宋_GB2312" w:hAnsi="仿宋_GB2312" w:eastAsia="仿宋_GB2312" w:cs="仿宋_GB2312"/>
          <w:bCs/>
          <w:color w:val="404040"/>
          <w:sz w:val="32"/>
          <w:szCs w:val="32"/>
          <w:shd w:val="clear" w:color="auto" w:fill="FFFFFF"/>
        </w:rPr>
        <w:t> 1,600）</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shd w:val="clear" w:color="auto" w:fill="FFFFFF"/>
        </w:rPr>
      </w:pPr>
      <w:r>
        <w:rPr>
          <w:rStyle w:val="10"/>
          <w:rFonts w:hint="eastAsia" w:ascii="仿宋_GB2312" w:hAnsi="仿宋_GB2312" w:eastAsia="仿宋_GB2312" w:cs="仿宋_GB2312"/>
          <w:b w:val="0"/>
          <w:bCs/>
          <w:color w:val="404040"/>
          <w:sz w:val="32"/>
          <w:szCs w:val="32"/>
          <w:shd w:val="clear" w:color="auto" w:fill="FFFFFF"/>
        </w:rPr>
        <w:t>说明：</w:t>
      </w:r>
      <w:r>
        <w:rPr>
          <w:rFonts w:hint="eastAsia" w:ascii="仿宋_GB2312" w:hAnsi="仿宋_GB2312" w:eastAsia="仿宋_GB2312" w:cs="仿宋_GB2312"/>
          <w:bCs/>
          <w:color w:val="404040"/>
          <w:sz w:val="32"/>
          <w:szCs w:val="32"/>
          <w:shd w:val="clear" w:color="auto" w:fill="FFFFFF"/>
        </w:rPr>
        <w:t> 这是实用新型专利权人</w:t>
      </w:r>
      <w:r>
        <w:rPr>
          <w:rStyle w:val="10"/>
          <w:rFonts w:hint="eastAsia" w:ascii="仿宋_GB2312" w:hAnsi="仿宋_GB2312" w:eastAsia="仿宋_GB2312" w:cs="仿宋_GB2312"/>
          <w:b w:val="0"/>
          <w:bCs/>
          <w:color w:val="404040"/>
          <w:sz w:val="32"/>
          <w:szCs w:val="32"/>
          <w:shd w:val="clear" w:color="auto" w:fill="FFFFFF"/>
        </w:rPr>
        <w:t>在维权前必须请求</w:t>
      </w:r>
      <w:r>
        <w:rPr>
          <w:rFonts w:hint="eastAsia" w:ascii="仿宋_GB2312" w:hAnsi="仿宋_GB2312" w:eastAsia="仿宋_GB2312" w:cs="仿宋_GB2312"/>
          <w:bCs/>
          <w:color w:val="404040"/>
          <w:sz w:val="32"/>
          <w:szCs w:val="32"/>
          <w:shd w:val="clear" w:color="auto" w:fill="FFFFFF"/>
        </w:rPr>
        <w:t>的文件，用于评估其权利的稳定性。这笔费用是实用新型专利实际行使权利时的必要成本。</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val="0"/>
          <w:color w:val="404040"/>
          <w:sz w:val="32"/>
          <w:szCs w:val="32"/>
        </w:rPr>
      </w:pPr>
      <w:r>
        <w:rPr>
          <w:rStyle w:val="10"/>
          <w:rFonts w:hint="eastAsia" w:ascii="仿宋_GB2312" w:hAnsi="仿宋_GB2312" w:eastAsia="仿宋_GB2312" w:cs="仿宋_GB2312"/>
          <w:b/>
          <w:bCs w:val="0"/>
          <w:color w:val="404040"/>
          <w:sz w:val="32"/>
          <w:szCs w:val="32"/>
          <w:shd w:val="clear" w:color="auto" w:fill="FFFFFF"/>
        </w:rPr>
        <w:t>3.外观设计（意匠）官方费用</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Fonts w:hint="eastAsia" w:ascii="仿宋_GB2312" w:hAnsi="仿宋_GB2312" w:eastAsia="仿宋_GB2312" w:cs="仿宋_GB2312"/>
          <w:bCs/>
          <w:color w:val="404040"/>
          <w:sz w:val="32"/>
          <w:szCs w:val="32"/>
          <w:shd w:val="clear" w:color="auto" w:fill="FFFFFF"/>
        </w:rPr>
        <w:t>外观设计采用</w:t>
      </w:r>
      <w:r>
        <w:rPr>
          <w:rStyle w:val="10"/>
          <w:rFonts w:hint="eastAsia" w:ascii="仿宋_GB2312" w:hAnsi="仿宋_GB2312" w:eastAsia="仿宋_GB2312" w:cs="仿宋_GB2312"/>
          <w:b w:val="0"/>
          <w:bCs/>
          <w:color w:val="404040"/>
          <w:sz w:val="32"/>
          <w:szCs w:val="32"/>
          <w:shd w:val="clear" w:color="auto" w:fill="FFFFFF"/>
        </w:rPr>
        <w:t>分类别、分年限</w:t>
      </w:r>
      <w:r>
        <w:rPr>
          <w:rFonts w:hint="eastAsia" w:ascii="仿宋_GB2312" w:hAnsi="仿宋_GB2312" w:eastAsia="仿宋_GB2312" w:cs="仿宋_GB2312"/>
          <w:bCs/>
          <w:color w:val="404040"/>
          <w:sz w:val="32"/>
          <w:szCs w:val="32"/>
          <w:shd w:val="clear" w:color="auto" w:fill="FFFFFF"/>
        </w:rPr>
        <w:t>的收费方式，费用与产品的</w:t>
      </w:r>
      <w:r>
        <w:rPr>
          <w:rStyle w:val="10"/>
          <w:rFonts w:hint="eastAsia" w:ascii="仿宋_GB2312" w:hAnsi="仿宋_GB2312" w:eastAsia="仿宋_GB2312" w:cs="仿宋_GB2312"/>
          <w:b w:val="0"/>
          <w:bCs/>
          <w:color w:val="404040"/>
          <w:sz w:val="32"/>
          <w:szCs w:val="32"/>
          <w:shd w:val="clear" w:color="auto" w:fill="FFFFFF"/>
        </w:rPr>
        <w:t>类别数量</w:t>
      </w:r>
      <w:r>
        <w:rPr>
          <w:rFonts w:hint="eastAsia" w:ascii="仿宋_GB2312" w:hAnsi="仿宋_GB2312" w:eastAsia="仿宋_GB2312" w:cs="仿宋_GB2312"/>
          <w:bCs/>
          <w:color w:val="404040"/>
          <w:sz w:val="32"/>
          <w:szCs w:val="32"/>
          <w:shd w:val="clear" w:color="auto" w:fill="FFFFFF"/>
        </w:rPr>
        <w:t>和</w:t>
      </w:r>
      <w:r>
        <w:rPr>
          <w:rStyle w:val="10"/>
          <w:rFonts w:hint="eastAsia" w:ascii="仿宋_GB2312" w:hAnsi="仿宋_GB2312" w:eastAsia="仿宋_GB2312" w:cs="仿宋_GB2312"/>
          <w:b w:val="0"/>
          <w:bCs/>
          <w:color w:val="404040"/>
          <w:sz w:val="32"/>
          <w:szCs w:val="32"/>
          <w:shd w:val="clear" w:color="auto" w:fill="FFFFFF"/>
        </w:rPr>
        <w:t>保护年限</w:t>
      </w:r>
      <w:r>
        <w:rPr>
          <w:rFonts w:hint="eastAsia" w:ascii="仿宋_GB2312" w:hAnsi="仿宋_GB2312" w:eastAsia="仿宋_GB2312" w:cs="仿宋_GB2312"/>
          <w:bCs/>
          <w:color w:val="404040"/>
          <w:sz w:val="32"/>
          <w:szCs w:val="32"/>
          <w:shd w:val="clear" w:color="auto" w:fill="FFFFFF"/>
        </w:rPr>
        <w:t>直接相关。</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Style w:val="10"/>
          <w:rFonts w:hint="eastAsia" w:ascii="仿宋_GB2312" w:hAnsi="仿宋_GB2312" w:eastAsia="仿宋_GB2312" w:cs="仿宋_GB2312"/>
          <w:b w:val="0"/>
          <w:bCs/>
          <w:color w:val="404040"/>
          <w:sz w:val="32"/>
          <w:szCs w:val="32"/>
          <w:shd w:val="clear" w:color="auto" w:fill="FFFFFF"/>
        </w:rPr>
        <w:t>基础费用（第1类产品）：</w:t>
      </w:r>
    </w:p>
    <w:tbl>
      <w:tblPr>
        <w:tblStyle w:val="8"/>
        <w:tblW w:w="84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2969"/>
        <w:gridCol w:w="1738"/>
        <w:gridCol w:w="37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68" w:hRule="atLeast"/>
          <w:tblHeader/>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费用项目</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金额（日元）</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bCs/>
                <w:color w:val="404040"/>
                <w:sz w:val="24"/>
                <w:szCs w:val="24"/>
              </w:rPr>
            </w:pPr>
            <w:r>
              <w:rPr>
                <w:rFonts w:hint="eastAsia" w:ascii="黑体" w:hAnsi="黑体" w:eastAsia="黑体" w:cs="黑体"/>
                <w:bCs/>
                <w:color w:val="404040"/>
                <w:kern w:val="0"/>
                <w:sz w:val="24"/>
                <w:szCs w:val="24"/>
                <w:lang w:bidi="ar"/>
              </w:rPr>
              <w:t>说明与缴纳时限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98" w:hRule="atLeast"/>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申请费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16,000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提交申请时缴纳。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50" w:hRule="atLeast"/>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第1期注册费（1-10年）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28,500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收到</w:t>
            </w:r>
            <w:r>
              <w:rPr>
                <w:rStyle w:val="10"/>
                <w:rFonts w:hint="eastAsia" w:asciiTheme="minorEastAsia" w:hAnsiTheme="minorEastAsia" w:eastAsiaTheme="minorEastAsia" w:cstheme="minorEastAsia"/>
                <w:b w:val="0"/>
                <w:bCs/>
                <w:kern w:val="0"/>
                <w:sz w:val="24"/>
                <w:szCs w:val="24"/>
                <w:lang w:bidi="ar"/>
              </w:rPr>
              <w:t>授权通知后30天内</w:t>
            </w:r>
            <w:r>
              <w:rPr>
                <w:rFonts w:hint="eastAsia" w:asciiTheme="minorEastAsia" w:hAnsiTheme="minorEastAsia" w:eastAsiaTheme="minorEastAsia" w:cstheme="minorEastAsia"/>
                <w:bCs/>
                <w:kern w:val="0"/>
                <w:sz w:val="24"/>
                <w:szCs w:val="24"/>
                <w:lang w:bidi="ar"/>
              </w:rPr>
              <w:t>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5" w:hRule="atLeast"/>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第2期注册费（11-15年）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34,500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需在第10年保护期届满前缴纳。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32" w:hRule="atLeast"/>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第3期注册费（16-20年）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50,500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需在第15年保护期届满前缴纳。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3" w:hRule="atLeast"/>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bCs/>
                <w:sz w:val="24"/>
                <w:szCs w:val="24"/>
              </w:rPr>
            </w:pPr>
            <w:r>
              <w:rPr>
                <w:rStyle w:val="10"/>
                <w:rFonts w:hint="eastAsia" w:asciiTheme="minorEastAsia" w:hAnsiTheme="minorEastAsia" w:eastAsiaTheme="minorEastAsia" w:cstheme="minorEastAsia"/>
                <w:b w:val="0"/>
                <w:bCs/>
                <w:kern w:val="0"/>
                <w:sz w:val="24"/>
                <w:szCs w:val="24"/>
                <w:lang w:bidi="ar"/>
              </w:rPr>
              <w:t>第4期注册费（21-25年）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67,500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kern w:val="0"/>
                <w:sz w:val="24"/>
                <w:szCs w:val="24"/>
                <w:lang w:bidi="ar"/>
              </w:rPr>
              <w:t>需在第20年保护期届满前缴纳。</w:t>
            </w:r>
          </w:p>
        </w:tc>
      </w:tr>
    </w:tbl>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rPr>
      </w:pPr>
      <w:r>
        <w:rPr>
          <w:rStyle w:val="10"/>
          <w:rFonts w:hint="eastAsia" w:ascii="仿宋_GB2312" w:hAnsi="仿宋_GB2312" w:eastAsia="仿宋_GB2312" w:cs="仿宋_GB2312"/>
          <w:b w:val="0"/>
          <w:bCs/>
          <w:color w:val="404040"/>
          <w:sz w:val="32"/>
          <w:szCs w:val="32"/>
          <w:shd w:val="clear" w:color="auto" w:fill="FFFFFF"/>
        </w:rPr>
        <w:t>多项类别附加费：</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bCs/>
          <w:color w:val="404040"/>
          <w:sz w:val="32"/>
          <w:szCs w:val="32"/>
          <w:shd w:val="clear" w:color="auto" w:fill="FFFFFF"/>
        </w:rPr>
      </w:pPr>
      <w:r>
        <w:rPr>
          <w:rFonts w:hint="eastAsia" w:ascii="仿宋_GB2312" w:hAnsi="仿宋_GB2312" w:eastAsia="仿宋_GB2312" w:cs="仿宋_GB2312"/>
          <w:bCs/>
          <w:color w:val="404040"/>
          <w:sz w:val="32"/>
          <w:szCs w:val="32"/>
          <w:shd w:val="clear" w:color="auto" w:fill="FFFFFF"/>
        </w:rPr>
        <w:t>如果一项外观设计申请指定了</w:t>
      </w:r>
      <w:r>
        <w:rPr>
          <w:rStyle w:val="10"/>
          <w:rFonts w:hint="eastAsia" w:ascii="仿宋_GB2312" w:hAnsi="仿宋_GB2312" w:eastAsia="仿宋_GB2312" w:cs="仿宋_GB2312"/>
          <w:b w:val="0"/>
          <w:bCs/>
          <w:color w:val="404040"/>
          <w:sz w:val="32"/>
          <w:szCs w:val="32"/>
          <w:shd w:val="clear" w:color="auto" w:fill="FFFFFF"/>
        </w:rPr>
        <w:t>多个产品类别（洛迦诺分类）</w:t>
      </w:r>
      <w:r>
        <w:rPr>
          <w:rFonts w:hint="eastAsia" w:ascii="仿宋_GB2312" w:hAnsi="仿宋_GB2312" w:eastAsia="仿宋_GB2312" w:cs="仿宋_GB2312"/>
          <w:bCs/>
          <w:color w:val="404040"/>
          <w:sz w:val="32"/>
          <w:szCs w:val="32"/>
          <w:shd w:val="clear" w:color="auto" w:fill="FFFFFF"/>
        </w:rPr>
        <w:t>，从</w:t>
      </w:r>
      <w:r>
        <w:rPr>
          <w:rStyle w:val="10"/>
          <w:rFonts w:hint="eastAsia" w:ascii="仿宋_GB2312" w:hAnsi="仿宋_GB2312" w:eastAsia="仿宋_GB2312" w:cs="仿宋_GB2312"/>
          <w:b w:val="0"/>
          <w:bCs/>
          <w:color w:val="404040"/>
          <w:sz w:val="32"/>
          <w:szCs w:val="32"/>
          <w:shd w:val="clear" w:color="auto" w:fill="FFFFFF"/>
        </w:rPr>
        <w:t>第2个类别起</w:t>
      </w:r>
      <w:r>
        <w:rPr>
          <w:rFonts w:hint="eastAsia" w:ascii="仿宋_GB2312" w:hAnsi="仿宋_GB2312" w:eastAsia="仿宋_GB2312" w:cs="仿宋_GB2312"/>
          <w:bCs/>
          <w:color w:val="404040"/>
          <w:sz w:val="32"/>
          <w:szCs w:val="32"/>
          <w:shd w:val="clear" w:color="auto" w:fill="FFFFFF"/>
        </w:rPr>
        <w:t>，每个类别需加收</w:t>
      </w:r>
      <w:r>
        <w:rPr>
          <w:rStyle w:val="10"/>
          <w:rFonts w:hint="eastAsia" w:ascii="仿宋_GB2312" w:hAnsi="仿宋_GB2312" w:eastAsia="仿宋_GB2312" w:cs="仿宋_GB2312"/>
          <w:b w:val="0"/>
          <w:bCs/>
          <w:color w:val="404040"/>
          <w:sz w:val="32"/>
          <w:szCs w:val="32"/>
          <w:shd w:val="clear" w:color="auto" w:fill="FFFFFF"/>
        </w:rPr>
        <w:t>16,000</w:t>
      </w:r>
      <w:r>
        <w:rPr>
          <w:rFonts w:hint="eastAsia" w:ascii="仿宋_GB2312" w:hAnsi="仿宋_GB2312" w:eastAsia="仿宋_GB2312" w:cs="仿宋_GB2312"/>
          <w:bCs/>
          <w:color w:val="404040"/>
          <w:sz w:val="32"/>
          <w:szCs w:val="32"/>
          <w:shd w:val="clear" w:color="auto" w:fill="FFFFFF"/>
        </w:rPr>
        <w:t>日元的申请费。</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（三）日本申请专利路径</w:t>
      </w:r>
    </w:p>
    <w:p>
      <w:pPr>
        <w:keepNext w:val="0"/>
        <w:keepLines w:val="0"/>
        <w:pageBreakBefore w:val="0"/>
        <w:kinsoku/>
        <w:wordWrap/>
        <w:overflowPunct/>
        <w:topLinePunct w:val="0"/>
        <w:autoSpaceDE/>
        <w:bidi w:val="0"/>
        <w:adjustRightInd/>
        <w:snapToGrid/>
        <w:spacing w:afterAutospacing="0"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向日本申请专利有以下途径：</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途径一：直接向日本特许厅（JPO）申请</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这是最直接的途径，适用于明确将日本作为首要目标市场的申请人。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流程</w:t>
      </w:r>
      <w:r>
        <w:rPr>
          <w:rFonts w:hint="eastAsia" w:ascii="仿宋_GB2312" w:hAnsi="仿宋_GB2312" w:eastAsia="仿宋_GB2312" w:cs="仿宋_GB2312"/>
          <w:color w:val="404040"/>
          <w:sz w:val="32"/>
          <w:szCs w:val="32"/>
          <w:shd w:val="clear" w:color="auto" w:fill="FFFFFF"/>
        </w:rPr>
        <w:t>：准备日语申请文件 → 通过日本专利代理人（弁理士）提交至JPO。</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：市场目标非常明确，专注于日本市场的申请人。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流程简洁</w:t>
      </w:r>
      <w:r>
        <w:rPr>
          <w:rFonts w:hint="eastAsia" w:ascii="仿宋_GB2312" w:hAnsi="仿宋_GB2312" w:eastAsia="仿宋_GB2312" w:cs="仿宋_GB2312"/>
          <w:color w:val="404040"/>
          <w:sz w:val="32"/>
          <w:szCs w:val="32"/>
          <w:shd w:val="clear" w:color="auto" w:fill="FFFFFF"/>
        </w:rPr>
        <w:t>：无需考虑优先权或国际阶段，直接进入日本国家体系。</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可快速获权</w:t>
      </w:r>
      <w:r>
        <w:rPr>
          <w:rFonts w:hint="eastAsia" w:ascii="仿宋_GB2312" w:hAnsi="仿宋_GB2312" w:eastAsia="仿宋_GB2312" w:cs="仿宋_GB2312"/>
          <w:color w:val="404040"/>
          <w:sz w:val="32"/>
          <w:szCs w:val="32"/>
          <w:shd w:val="clear" w:color="auto" w:fill="FFFFFF"/>
        </w:rPr>
        <w:t>：符合条件者可利用JPO的</w:t>
      </w:r>
      <w:r>
        <w:rPr>
          <w:rStyle w:val="10"/>
          <w:rFonts w:hint="eastAsia" w:ascii="仿宋_GB2312" w:hAnsi="仿宋_GB2312" w:eastAsia="仿宋_GB2312" w:cs="仿宋_GB2312"/>
          <w:b w:val="0"/>
          <w:color w:val="404040"/>
          <w:sz w:val="32"/>
          <w:szCs w:val="32"/>
          <w:shd w:val="clear" w:color="auto" w:fill="FFFFFF"/>
        </w:rPr>
        <w:t>优先审查</w:t>
      </w:r>
      <w:r>
        <w:rPr>
          <w:rFonts w:hint="eastAsia" w:ascii="仿宋_GB2312" w:hAnsi="仿宋_GB2312" w:eastAsia="仿宋_GB2312" w:cs="仿宋_GB2312"/>
          <w:color w:val="404040"/>
          <w:sz w:val="32"/>
          <w:szCs w:val="32"/>
          <w:shd w:val="clear" w:color="auto" w:fill="FFFFFF"/>
        </w:rPr>
        <w:t>或</w:t>
      </w:r>
      <w:r>
        <w:rPr>
          <w:rStyle w:val="10"/>
          <w:rFonts w:hint="eastAsia" w:ascii="仿宋_GB2312" w:hAnsi="仿宋_GB2312" w:eastAsia="仿宋_GB2312" w:cs="仿宋_GB2312"/>
          <w:b w:val="0"/>
          <w:color w:val="404040"/>
          <w:sz w:val="32"/>
          <w:szCs w:val="32"/>
          <w:shd w:val="clear" w:color="auto" w:fill="FFFFFF"/>
        </w:rPr>
        <w:t>超级加速审查</w:t>
      </w:r>
      <w:r>
        <w:rPr>
          <w:rFonts w:hint="eastAsia" w:ascii="仿宋_GB2312" w:hAnsi="仿宋_GB2312" w:eastAsia="仿宋_GB2312" w:cs="仿宋_GB2312"/>
          <w:color w:val="404040"/>
          <w:sz w:val="32"/>
          <w:szCs w:val="32"/>
          <w:shd w:val="clear" w:color="auto" w:fill="FFFFFF"/>
        </w:rPr>
        <w:t>制度，极速获得审查结果。</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缺点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无优先权</w:t>
      </w:r>
      <w:r>
        <w:rPr>
          <w:rFonts w:hint="eastAsia" w:ascii="仿宋_GB2312" w:hAnsi="仿宋_GB2312" w:eastAsia="仿宋_GB2312" w:cs="仿宋_GB2312"/>
          <w:color w:val="404040"/>
          <w:sz w:val="32"/>
          <w:szCs w:val="32"/>
          <w:shd w:val="clear" w:color="auto" w:fill="FFFFFF"/>
        </w:rPr>
        <w:t>：如果后续想进入其他国家，无法享有此次申请的优先权。</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决策即时</w:t>
      </w:r>
      <w:r>
        <w:rPr>
          <w:rFonts w:hint="eastAsia" w:ascii="仿宋_GB2312" w:hAnsi="仿宋_GB2312" w:eastAsia="仿宋_GB2312" w:cs="仿宋_GB2312"/>
          <w:color w:val="404040"/>
          <w:sz w:val="32"/>
          <w:szCs w:val="32"/>
          <w:shd w:val="clear" w:color="auto" w:fill="FFFFFF"/>
        </w:rPr>
        <w:t>：需要立即决定并投入资金。</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途径二：巴黎公约途径</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这是传统的海外专利申请途径，适用于已在本国（如中国）提交了首次申请的申请人。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流程</w:t>
      </w:r>
      <w:r>
        <w:rPr>
          <w:rFonts w:hint="eastAsia" w:ascii="仿宋_GB2312" w:hAnsi="仿宋_GB2312" w:eastAsia="仿宋_GB2312" w:cs="仿宋_GB2312"/>
          <w:color w:val="404040"/>
          <w:sz w:val="32"/>
          <w:szCs w:val="32"/>
          <w:shd w:val="clear" w:color="auto" w:fill="FFFFFF"/>
        </w:rPr>
        <w:t>：在中国提交首次申请 → 自</w:t>
      </w:r>
      <w:r>
        <w:rPr>
          <w:rStyle w:val="10"/>
          <w:rFonts w:hint="eastAsia" w:ascii="仿宋_GB2312" w:hAnsi="仿宋_GB2312" w:eastAsia="仿宋_GB2312" w:cs="仿宋_GB2312"/>
          <w:b w:val="0"/>
          <w:color w:val="404040"/>
          <w:sz w:val="32"/>
          <w:szCs w:val="32"/>
          <w:shd w:val="clear" w:color="auto" w:fill="FFFFFF"/>
        </w:rPr>
        <w:t>首次申请日起12个月内</w:t>
      </w:r>
      <w:r>
        <w:rPr>
          <w:rFonts w:hint="eastAsia" w:ascii="仿宋_GB2312" w:hAnsi="仿宋_GB2312" w:eastAsia="仿宋_GB2312" w:cs="仿宋_GB2312"/>
          <w:color w:val="404040"/>
          <w:sz w:val="32"/>
          <w:szCs w:val="32"/>
          <w:shd w:val="clear" w:color="auto" w:fill="FFFFFF"/>
        </w:rPr>
        <w:t> → 向JPO提交专利申请并要求享有中国申请的优先权。</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：已在中国申请，并希望在传统优先权期限内进入日本的申请人。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享有12个月优先权</w:t>
      </w:r>
      <w:r>
        <w:rPr>
          <w:rFonts w:hint="eastAsia" w:ascii="仿宋_GB2312" w:hAnsi="仿宋_GB2312" w:eastAsia="仿宋_GB2312" w:cs="仿宋_GB2312"/>
          <w:color w:val="404040"/>
          <w:sz w:val="32"/>
          <w:szCs w:val="32"/>
          <w:shd w:val="clear" w:color="auto" w:fill="FFFFFF"/>
        </w:rPr>
        <w:t>：在12个月内，任何公开或他人的申请都不会影响您在日本申请的新颖性。</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准备时间充分</w:t>
      </w:r>
      <w:r>
        <w:rPr>
          <w:rFonts w:hint="eastAsia" w:ascii="仿宋_GB2312" w:hAnsi="仿宋_GB2312" w:eastAsia="仿宋_GB2312" w:cs="仿宋_GB2312"/>
          <w:color w:val="404040"/>
          <w:sz w:val="32"/>
          <w:szCs w:val="32"/>
          <w:shd w:val="clear" w:color="auto" w:fill="FFFFFF"/>
        </w:rPr>
        <w:t>：有近1年的时间来评估市场前景，再决定是否进入日本。</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缺点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时间窗口紧</w:t>
      </w:r>
      <w:r>
        <w:rPr>
          <w:rFonts w:hint="eastAsia" w:ascii="仿宋_GB2312" w:hAnsi="仿宋_GB2312" w:eastAsia="仿宋_GB2312" w:cs="仿宋_GB2312"/>
          <w:color w:val="404040"/>
          <w:sz w:val="32"/>
          <w:szCs w:val="32"/>
          <w:shd w:val="clear" w:color="auto" w:fill="FFFFFF"/>
        </w:rPr>
        <w:t>：必须在12个月内完成所有准备工作，包括翻译和文件准备。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国家化操作</w:t>
      </w:r>
      <w:r>
        <w:rPr>
          <w:rFonts w:hint="eastAsia" w:ascii="仿宋_GB2312" w:hAnsi="仿宋_GB2312" w:eastAsia="仿宋_GB2312" w:cs="仿宋_GB2312"/>
          <w:color w:val="404040"/>
          <w:sz w:val="32"/>
          <w:szCs w:val="32"/>
          <w:shd w:val="clear" w:color="auto" w:fill="FFFFFF"/>
        </w:rPr>
        <w:t>：若同时进入多个国家，需要分别委托各国代理机构，初期成本较高。</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途径三：PCT国际申请进入日本国家阶段</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这是目前最常用、最成熟的全球化专利布局途径，为您提供更长的决策时间。</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流程</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1.提交PCT国际申请（可以用中文在中国国家知识产权局提交）。</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2.经历国际检索（得到检索报告）和可选的国家初步审查。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Fonts w:hint="eastAsia" w:ascii="仿宋_GB2312" w:hAnsi="仿宋_GB2312" w:eastAsia="仿宋_GB2312" w:cs="仿宋_GB2312"/>
          <w:color w:val="404040"/>
          <w:sz w:val="32"/>
          <w:szCs w:val="32"/>
          <w:shd w:val="clear" w:color="auto" w:fill="FFFFFF"/>
        </w:rPr>
        <w:t>3.自</w:t>
      </w:r>
      <w:r>
        <w:rPr>
          <w:rStyle w:val="10"/>
          <w:rFonts w:hint="eastAsia" w:ascii="仿宋_GB2312" w:hAnsi="仿宋_GB2312" w:eastAsia="仿宋_GB2312" w:cs="仿宋_GB2312"/>
          <w:b w:val="0"/>
          <w:color w:val="404040"/>
          <w:sz w:val="32"/>
          <w:szCs w:val="32"/>
          <w:shd w:val="clear" w:color="auto" w:fill="FFFFFF"/>
        </w:rPr>
        <w:t>最早优先权日起30个月内</w:t>
      </w:r>
      <w:r>
        <w:rPr>
          <w:rFonts w:hint="eastAsia" w:ascii="仿宋_GB2312" w:hAnsi="仿宋_GB2312" w:eastAsia="仿宋_GB2312" w:cs="仿宋_GB2312"/>
          <w:color w:val="404040"/>
          <w:sz w:val="32"/>
          <w:szCs w:val="32"/>
          <w:shd w:val="clear" w:color="auto" w:fill="FFFFFF"/>
        </w:rPr>
        <w:t>，办理进入日本国家阶段的手续。</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：计划多国布局，希望有更长时间进行市场评估和资金准备的申请人。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决策时间充裕</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30个月</w:t>
      </w:r>
      <w:r>
        <w:rPr>
          <w:rFonts w:hint="eastAsia" w:ascii="仿宋_GB2312" w:hAnsi="仿宋_GB2312" w:eastAsia="仿宋_GB2312" w:cs="仿宋_GB2312"/>
          <w:color w:val="404040"/>
          <w:sz w:val="32"/>
          <w:szCs w:val="32"/>
          <w:shd w:val="clear" w:color="auto" w:fill="FFFFFF"/>
        </w:rPr>
        <w:t>的窗口期让您有足够时间评估技术价值和市场前景，再决定是否进入日本，避免盲目投入。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一份申请，多国入口</w:t>
      </w:r>
      <w:r>
        <w:rPr>
          <w:rFonts w:hint="eastAsia" w:ascii="仿宋_GB2312" w:hAnsi="仿宋_GB2312" w:eastAsia="仿宋_GB2312" w:cs="仿宋_GB2312"/>
          <w:color w:val="404040"/>
          <w:sz w:val="32"/>
          <w:szCs w:val="32"/>
          <w:shd w:val="clear" w:color="auto" w:fill="FFFFFF"/>
        </w:rPr>
        <w:t>：一份PCT申请可以作为进入全球150多个国家的跳板。</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国际检索报告参考价值高</w:t>
      </w:r>
      <w:r>
        <w:rPr>
          <w:rFonts w:hint="eastAsia" w:ascii="仿宋_GB2312" w:hAnsi="仿宋_GB2312" w:eastAsia="仿宋_GB2312" w:cs="仿宋_GB2312"/>
          <w:color w:val="404040"/>
          <w:sz w:val="32"/>
          <w:szCs w:val="32"/>
          <w:shd w:val="clear" w:color="auto" w:fill="FFFFFF"/>
        </w:rPr>
        <w:t>：提供的国际检索报告和书面意见有助于您预判在日本授权的可能性，从而做出更明智的决策。</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缺点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总体费用较高</w:t>
      </w:r>
      <w:r>
        <w:rPr>
          <w:rFonts w:hint="eastAsia" w:ascii="仿宋_GB2312" w:hAnsi="仿宋_GB2312" w:eastAsia="仿宋_GB2312" w:cs="仿宋_GB2312"/>
          <w:color w:val="404040"/>
          <w:sz w:val="32"/>
          <w:szCs w:val="32"/>
          <w:shd w:val="clear" w:color="auto" w:fill="FFFFFF"/>
        </w:rPr>
        <w:t>：需要支付国际阶段和国家阶段两部分的费用。</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流程相对复杂</w:t>
      </w:r>
      <w:r>
        <w:rPr>
          <w:rFonts w:hint="eastAsia" w:ascii="仿宋_GB2312" w:hAnsi="仿宋_GB2312" w:eastAsia="仿宋_GB2312" w:cs="仿宋_GB2312"/>
          <w:color w:val="404040"/>
          <w:sz w:val="32"/>
          <w:szCs w:val="32"/>
          <w:shd w:val="clear" w:color="auto" w:fill="FFFFFF"/>
        </w:rPr>
        <w:t>。</w:t>
      </w:r>
    </w:p>
    <w:p>
      <w:pPr>
        <w:keepNext w:val="0"/>
        <w:keepLines w:val="0"/>
        <w:pageBreakBefore w:val="0"/>
        <w:suppressAutoHyphens/>
        <w:kinsoku/>
        <w:wordWrap/>
        <w:overflowPunct/>
        <w:topLinePunct w:val="0"/>
        <w:autoSpaceDE/>
        <w:autoSpaceDN w:val="0"/>
        <w:bidi w:val="0"/>
        <w:adjustRightInd/>
        <w:snapToGrid/>
        <w:spacing w:afterAutospacing="0" w:line="560" w:lineRule="exact"/>
        <w:ind w:firstLine="640" w:firstLineChars="200"/>
        <w:textAlignment w:val="baseline"/>
        <w:rPr>
          <w:rFonts w:hint="eastAsia" w:ascii="黑体" w:hAnsi="黑体" w:eastAsia="黑体" w:cs="黑体"/>
          <w:b w:val="0"/>
          <w:bCs/>
          <w:kern w:val="3"/>
          <w:sz w:val="32"/>
          <w:szCs w:val="32"/>
        </w:rPr>
      </w:pPr>
      <w:r>
        <w:rPr>
          <w:rFonts w:hint="eastAsia" w:ascii="黑体" w:hAnsi="黑体" w:eastAsia="黑体" w:cs="黑体"/>
          <w:b w:val="0"/>
          <w:bCs/>
          <w:kern w:val="3"/>
          <w:sz w:val="32"/>
          <w:szCs w:val="32"/>
        </w:rPr>
        <w:t>三</w:t>
      </w:r>
      <w:r>
        <w:rPr>
          <w:rFonts w:hint="eastAsia" w:ascii="黑体" w:hAnsi="黑体" w:eastAsia="黑体" w:cs="黑体"/>
          <w:b w:val="0"/>
          <w:bCs/>
          <w:kern w:val="3"/>
          <w:sz w:val="32"/>
          <w:szCs w:val="32"/>
          <w:lang w:eastAsia="zh-CN"/>
        </w:rPr>
        <w:t>、</w:t>
      </w:r>
      <w:r>
        <w:rPr>
          <w:rFonts w:hint="eastAsia" w:ascii="黑体" w:hAnsi="黑体" w:eastAsia="黑体" w:cs="黑体"/>
          <w:b w:val="0"/>
          <w:bCs/>
          <w:kern w:val="3"/>
          <w:sz w:val="32"/>
          <w:szCs w:val="32"/>
        </w:rPr>
        <w:t>日本商标申请布局指南</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（一）日本商标申请流程及相关期限介绍</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1. 申请前准备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商标检索</w:t>
      </w:r>
      <w:r>
        <w:rPr>
          <w:rFonts w:hint="eastAsia" w:ascii="仿宋_GB2312" w:hAnsi="仿宋_GB2312" w:eastAsia="仿宋_GB2312" w:cs="仿宋_GB2312"/>
          <w:color w:val="404040"/>
          <w:sz w:val="32"/>
          <w:szCs w:val="32"/>
          <w:shd w:val="clear" w:color="auto" w:fill="FFFFFF"/>
        </w:rPr>
        <w:t>：强烈建议在申请前进行检索，查询JPO的商标数据库，评估是否存在相同或近似的在先注册商标，以规避风险。可以自行检索，但更推荐委托专业代理进行深度检索。</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确定商品/服务</w:t>
      </w:r>
      <w:r>
        <w:rPr>
          <w:rFonts w:hint="eastAsia" w:ascii="仿宋_GB2312" w:hAnsi="仿宋_GB2312" w:eastAsia="仿宋_GB2312" w:cs="仿宋_GB2312"/>
          <w:color w:val="404040"/>
          <w:sz w:val="32"/>
          <w:szCs w:val="32"/>
          <w:shd w:val="clear" w:color="auto" w:fill="FFFFFF"/>
        </w:rPr>
        <w:t>：根据</w:t>
      </w:r>
      <w:r>
        <w:rPr>
          <w:rStyle w:val="10"/>
          <w:rFonts w:hint="eastAsia" w:ascii="仿宋_GB2312" w:hAnsi="仿宋_GB2312" w:eastAsia="仿宋_GB2312" w:cs="仿宋_GB2312"/>
          <w:b w:val="0"/>
          <w:color w:val="404040"/>
          <w:sz w:val="32"/>
          <w:szCs w:val="32"/>
          <w:shd w:val="clear" w:color="auto" w:fill="FFFFFF"/>
        </w:rPr>
        <w:t>尼斯分类</w:t>
      </w:r>
      <w:r>
        <w:rPr>
          <w:rFonts w:hint="eastAsia" w:ascii="仿宋_GB2312" w:hAnsi="仿宋_GB2312" w:eastAsia="仿宋_GB2312" w:cs="仿宋_GB2312"/>
          <w:color w:val="404040"/>
          <w:sz w:val="32"/>
          <w:szCs w:val="32"/>
          <w:shd w:val="clear" w:color="auto" w:fill="FFFFFF"/>
        </w:rPr>
        <w:t>第12版确定需要保护的商品或服务项目。日本对商品/服务的描述要求非常严格，必须足够清晰和具体。</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2. 提交申请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提交途径</w:t>
      </w:r>
      <w:r>
        <w:rPr>
          <w:rFonts w:hint="eastAsia" w:ascii="仿宋_GB2312" w:hAnsi="仿宋_GB2312" w:eastAsia="仿宋_GB2312" w:cs="仿宋_GB2312"/>
          <w:color w:val="404040"/>
          <w:sz w:val="32"/>
          <w:szCs w:val="32"/>
          <w:shd w:val="clear" w:color="auto" w:fill="FFFFFF"/>
        </w:rPr>
        <w:t>：通过JPO的在线系统或纸质文件提交申请。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申请语言</w:t>
      </w:r>
      <w:r>
        <w:rPr>
          <w:rFonts w:hint="eastAsia" w:ascii="仿宋_GB2312" w:hAnsi="仿宋_GB2312" w:eastAsia="仿宋_GB2312" w:cs="仿宋_GB2312"/>
          <w:color w:val="404040"/>
          <w:sz w:val="32"/>
          <w:szCs w:val="32"/>
          <w:shd w:val="clear" w:color="auto" w:fill="FFFFFF"/>
        </w:rPr>
        <w:t>：必须是</w:t>
      </w:r>
      <w:r>
        <w:rPr>
          <w:rStyle w:val="10"/>
          <w:rFonts w:hint="eastAsia" w:ascii="仿宋_GB2312" w:hAnsi="仿宋_GB2312" w:eastAsia="仿宋_GB2312" w:cs="仿宋_GB2312"/>
          <w:b w:val="0"/>
          <w:color w:val="404040"/>
          <w:sz w:val="32"/>
          <w:szCs w:val="32"/>
          <w:shd w:val="clear" w:color="auto" w:fill="FFFFFF"/>
        </w:rPr>
        <w:t>日语</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所需文件/信息</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申请人名称、地址（中英文即可，代理会处理翻译）。</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清晰的商标图样。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指定的商品和服务类别及具体项目。</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委托书：通常由日本代理机构提供模板，申请人签署即可，</w:t>
      </w:r>
      <w:r>
        <w:rPr>
          <w:rStyle w:val="10"/>
          <w:rFonts w:hint="eastAsia" w:ascii="仿宋_GB2312" w:hAnsi="仿宋_GB2312" w:eastAsia="仿宋_GB2312" w:cs="仿宋_GB2312"/>
          <w:b w:val="0"/>
          <w:color w:val="404040"/>
          <w:sz w:val="32"/>
          <w:szCs w:val="32"/>
          <w:shd w:val="clear" w:color="auto" w:fill="FFFFFF"/>
        </w:rPr>
        <w:t>无需公证或认证</w:t>
      </w:r>
      <w:r>
        <w:rPr>
          <w:rFonts w:hint="eastAsia" w:ascii="仿宋_GB2312" w:hAnsi="仿宋_GB2312" w:eastAsia="仿宋_GB2312" w:cs="仿宋_GB2312"/>
          <w:color w:val="404040"/>
          <w:sz w:val="32"/>
          <w:szCs w:val="32"/>
          <w:shd w:val="clear" w:color="auto" w:fill="FFFFFF"/>
        </w:rPr>
        <w:t>。</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3. 形式审查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内容</w:t>
      </w:r>
      <w:r>
        <w:rPr>
          <w:rFonts w:hint="eastAsia" w:ascii="仿宋_GB2312" w:hAnsi="仿宋_GB2312" w:eastAsia="仿宋_GB2312" w:cs="仿宋_GB2312"/>
          <w:color w:val="404040"/>
          <w:sz w:val="32"/>
          <w:szCs w:val="32"/>
          <w:shd w:val="clear" w:color="auto" w:fill="FFFFFF"/>
        </w:rPr>
        <w:t>：JPO检查申请文件是否齐全、格式是否正确、分类是否准确。</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期限</w:t>
      </w:r>
      <w:r>
        <w:rPr>
          <w:rFonts w:hint="eastAsia" w:ascii="仿宋_GB2312" w:hAnsi="仿宋_GB2312" w:eastAsia="仿宋_GB2312" w:cs="仿宋_GB2312"/>
          <w:color w:val="404040"/>
          <w:sz w:val="32"/>
          <w:szCs w:val="32"/>
          <w:shd w:val="clear" w:color="auto" w:fill="FFFFFF"/>
        </w:rPr>
        <w:t>：约</w:t>
      </w:r>
      <w:r>
        <w:rPr>
          <w:rStyle w:val="10"/>
          <w:rFonts w:hint="eastAsia" w:ascii="仿宋_GB2312" w:hAnsi="仿宋_GB2312" w:eastAsia="仿宋_GB2312" w:cs="仿宋_GB2312"/>
          <w:b w:val="0"/>
          <w:color w:val="404040"/>
          <w:sz w:val="32"/>
          <w:szCs w:val="32"/>
          <w:shd w:val="clear" w:color="auto" w:fill="FFFFFF"/>
        </w:rPr>
        <w:t>1-2个月</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结果</w:t>
      </w:r>
      <w:r>
        <w:rPr>
          <w:rFonts w:hint="eastAsia" w:ascii="仿宋_GB2312" w:hAnsi="仿宋_GB2312" w:eastAsia="仿宋_GB2312" w:cs="仿宋_GB2312"/>
          <w:color w:val="404040"/>
          <w:sz w:val="32"/>
          <w:szCs w:val="32"/>
          <w:shd w:val="clear" w:color="auto" w:fill="FFFFFF"/>
        </w:rPr>
        <w:t>：通过后，会发出《受理通知书》，并获得</w:t>
      </w:r>
      <w:r>
        <w:rPr>
          <w:rStyle w:val="10"/>
          <w:rFonts w:hint="eastAsia" w:ascii="仿宋_GB2312" w:hAnsi="仿宋_GB2312" w:eastAsia="仿宋_GB2312" w:cs="仿宋_GB2312"/>
          <w:b w:val="0"/>
          <w:color w:val="404040"/>
          <w:sz w:val="32"/>
          <w:szCs w:val="32"/>
          <w:shd w:val="clear" w:color="auto" w:fill="FFFFFF"/>
        </w:rPr>
        <w:t>申请号</w:t>
      </w:r>
      <w:r>
        <w:rPr>
          <w:rFonts w:hint="eastAsia" w:ascii="仿宋_GB2312" w:hAnsi="仿宋_GB2312" w:eastAsia="仿宋_GB2312" w:cs="仿宋_GB2312"/>
          <w:color w:val="404040"/>
          <w:sz w:val="32"/>
          <w:szCs w:val="32"/>
          <w:shd w:val="clear" w:color="auto" w:fill="FFFFFF"/>
        </w:rPr>
        <w:t>和</w:t>
      </w:r>
      <w:r>
        <w:rPr>
          <w:rStyle w:val="10"/>
          <w:rFonts w:hint="eastAsia" w:ascii="仿宋_GB2312" w:hAnsi="仿宋_GB2312" w:eastAsia="仿宋_GB2312" w:cs="仿宋_GB2312"/>
          <w:b w:val="0"/>
          <w:color w:val="404040"/>
          <w:sz w:val="32"/>
          <w:szCs w:val="32"/>
          <w:shd w:val="clear" w:color="auto" w:fill="FFFFFF"/>
        </w:rPr>
        <w:t>申请日</w:t>
      </w:r>
      <w:r>
        <w:rPr>
          <w:rFonts w:hint="eastAsia" w:ascii="仿宋_GB2312" w:hAnsi="仿宋_GB2312" w:eastAsia="仿宋_GB2312" w:cs="仿宋_GB2312"/>
          <w:color w:val="404040"/>
          <w:sz w:val="32"/>
          <w:szCs w:val="32"/>
          <w:shd w:val="clear" w:color="auto" w:fill="FFFFFF"/>
        </w:rPr>
        <w:t>。</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4. 实质审查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内容</w:t>
      </w:r>
      <w:r>
        <w:rPr>
          <w:rFonts w:hint="eastAsia" w:ascii="仿宋_GB2312" w:hAnsi="仿宋_GB2312" w:eastAsia="仿宋_GB2312" w:cs="仿宋_GB2312"/>
          <w:color w:val="404040"/>
          <w:sz w:val="32"/>
          <w:szCs w:val="32"/>
          <w:shd w:val="clear" w:color="auto" w:fill="FFFFFF"/>
        </w:rPr>
        <w:t>：审查员审查商标是否具有显著性，是否违反禁止注册条款（如描述性、通用名称、国名等），并检索是否存在与在先申请或注册的商标构成冲突（近似商标）。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期限</w:t>
      </w:r>
      <w:r>
        <w:rPr>
          <w:rFonts w:hint="eastAsia" w:ascii="仿宋_GB2312" w:hAnsi="仿宋_GB2312" w:eastAsia="仿宋_GB2312" w:cs="仿宋_GB2312"/>
          <w:color w:val="404040"/>
          <w:sz w:val="32"/>
          <w:szCs w:val="32"/>
          <w:shd w:val="clear" w:color="auto" w:fill="FFFFFF"/>
        </w:rPr>
        <w:t>：约</w:t>
      </w:r>
      <w:r>
        <w:rPr>
          <w:rStyle w:val="10"/>
          <w:rFonts w:hint="eastAsia" w:ascii="仿宋_GB2312" w:hAnsi="仿宋_GB2312" w:eastAsia="仿宋_GB2312" w:cs="仿宋_GB2312"/>
          <w:b w:val="0"/>
          <w:color w:val="404040"/>
          <w:sz w:val="32"/>
          <w:szCs w:val="32"/>
          <w:shd w:val="clear" w:color="auto" w:fill="FFFFFF"/>
        </w:rPr>
        <w:t>5-8个月</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可能结果</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顺利通过</w:t>
      </w:r>
      <w:r>
        <w:rPr>
          <w:rFonts w:hint="eastAsia" w:ascii="仿宋_GB2312" w:hAnsi="仿宋_GB2312" w:eastAsia="仿宋_GB2312" w:cs="仿宋_GB2312"/>
          <w:color w:val="404040"/>
          <w:sz w:val="32"/>
          <w:szCs w:val="32"/>
          <w:shd w:val="clear" w:color="auto" w:fill="FFFFFF"/>
        </w:rPr>
        <w:t>：进入下一阶段。</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发出驳回理由通知书</w:t>
      </w:r>
      <w:r>
        <w:rPr>
          <w:rFonts w:hint="eastAsia" w:ascii="仿宋_GB2312" w:hAnsi="仿宋_GB2312" w:eastAsia="仿宋_GB2312" w:cs="仿宋_GB2312"/>
          <w:color w:val="404040"/>
          <w:sz w:val="32"/>
          <w:szCs w:val="32"/>
          <w:shd w:val="clear" w:color="auto" w:fill="FFFFFF"/>
        </w:rPr>
        <w:t>：如果审查员认为存在驳回理由，会发出官方意见。</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答复期限</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自通知发出日起3个月内</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此期限非常重要，逾期未答复，申请将被视为撤回。</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应对</w:t>
      </w:r>
      <w:r>
        <w:rPr>
          <w:rFonts w:hint="eastAsia" w:ascii="仿宋_GB2312" w:hAnsi="仿宋_GB2312" w:eastAsia="仿宋_GB2312" w:cs="仿宋_GB2312"/>
          <w:color w:val="404040"/>
          <w:sz w:val="32"/>
          <w:szCs w:val="32"/>
          <w:shd w:val="clear" w:color="auto" w:fill="FFFFFF"/>
        </w:rPr>
        <w:t>：通常由代理人撰写书面意见进行抗辩，或提交同意书或限制商品/服务范围来克服驳回。</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5. 注册核准</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通过实质审查后，JPO将做出核准注册的决定。</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sz w:val="32"/>
          <w:szCs w:val="32"/>
        </w:rPr>
      </w:pPr>
      <w:r>
        <w:rPr>
          <w:rStyle w:val="10"/>
          <w:rFonts w:hint="eastAsia" w:ascii="仿宋_GB2312" w:hAnsi="仿宋_GB2312" w:eastAsia="仿宋_GB2312" w:cs="仿宋_GB2312"/>
          <w:b/>
          <w:bCs/>
          <w:color w:val="404040"/>
          <w:sz w:val="32"/>
          <w:szCs w:val="32"/>
          <w:shd w:val="clear" w:color="auto" w:fill="FFFFFF"/>
        </w:rPr>
        <w:t>6. 公告</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内容</w:t>
      </w:r>
      <w:r>
        <w:rPr>
          <w:rFonts w:hint="eastAsia" w:ascii="仿宋_GB2312" w:hAnsi="仿宋_GB2312" w:eastAsia="仿宋_GB2312" w:cs="仿宋_GB2312"/>
          <w:color w:val="404040"/>
          <w:sz w:val="32"/>
          <w:szCs w:val="32"/>
          <w:shd w:val="clear" w:color="auto" w:fill="FFFFFF"/>
        </w:rPr>
        <w:t>：被核准的商标将刊登在JPO的《商标公报》上。</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异议期</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自公告日起2个月内</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流程</w:t>
      </w:r>
      <w:r>
        <w:rPr>
          <w:rFonts w:hint="eastAsia" w:ascii="仿宋_GB2312" w:hAnsi="仿宋_GB2312" w:eastAsia="仿宋_GB2312" w:cs="仿宋_GB2312"/>
          <w:color w:val="404040"/>
          <w:sz w:val="32"/>
          <w:szCs w:val="32"/>
          <w:shd w:val="clear" w:color="auto" w:fill="FFFFFF"/>
        </w:rPr>
        <w:t>：任何利害关系人或第三方均可在公告期内提出异议。若遇异议，申请人需进行异议答辩程序，该程序可能耗时数月甚至更久。</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7. 缴纳注册费</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时限</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自核准注册决定发出日起30天内</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必须在期限内缴费，专利权才正式生效。</w:t>
      </w:r>
      <w:r>
        <w:rPr>
          <w:rFonts w:hint="eastAsia" w:ascii="仿宋_GB2312" w:hAnsi="仿宋_GB2312" w:eastAsia="仿宋_GB2312" w:cs="仿宋_GB2312"/>
          <w:color w:val="404040"/>
          <w:sz w:val="32"/>
          <w:szCs w:val="32"/>
          <w:shd w:val="clear" w:color="auto" w:fill="FFFFFF"/>
        </w:rPr>
        <w:t> 逾期未缴纳，申请将被视为放弃。</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8. 商标权设立</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缴纳注册费后，商标正式注册，权利生效。相关信息将被记入商标注册簿。</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颁发注册证</w:t>
      </w:r>
      <w:r>
        <w:rPr>
          <w:rFonts w:hint="eastAsia" w:ascii="仿宋_GB2312" w:hAnsi="仿宋_GB2312" w:eastAsia="仿宋_GB2312" w:cs="仿宋_GB2312"/>
          <w:color w:val="404040"/>
          <w:sz w:val="32"/>
          <w:szCs w:val="32"/>
          <w:shd w:val="clear" w:color="auto" w:fill="FFFFFF"/>
        </w:rPr>
        <w:t>：约1-2个月后，JPO会颁发电子版的商标注册证书。</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9. 注册后维护</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有效期</w:t>
      </w:r>
      <w:r>
        <w:rPr>
          <w:rFonts w:hint="eastAsia" w:ascii="仿宋_GB2312" w:hAnsi="仿宋_GB2312" w:eastAsia="仿宋_GB2312" w:cs="仿宋_GB2312"/>
          <w:color w:val="404040"/>
          <w:sz w:val="32"/>
          <w:szCs w:val="32"/>
          <w:shd w:val="clear" w:color="auto" w:fill="FFFFFF"/>
        </w:rPr>
        <w:t>：自注册日起</w:t>
      </w:r>
      <w:r>
        <w:rPr>
          <w:rStyle w:val="10"/>
          <w:rFonts w:hint="eastAsia" w:ascii="仿宋_GB2312" w:hAnsi="仿宋_GB2312" w:eastAsia="仿宋_GB2312" w:cs="仿宋_GB2312"/>
          <w:b w:val="0"/>
          <w:color w:val="404040"/>
          <w:sz w:val="32"/>
          <w:szCs w:val="32"/>
          <w:shd w:val="clear" w:color="auto" w:fill="FFFFFF"/>
        </w:rPr>
        <w:t>10年</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续展</w:t>
      </w:r>
      <w:r>
        <w:rPr>
          <w:rFonts w:hint="eastAsia" w:ascii="仿宋_GB2312" w:hAnsi="仿宋_GB2312" w:eastAsia="仿宋_GB2312" w:cs="仿宋_GB2312"/>
          <w:color w:val="404040"/>
          <w:sz w:val="32"/>
          <w:szCs w:val="32"/>
          <w:shd w:val="clear" w:color="auto" w:fill="FFFFFF"/>
        </w:rPr>
        <w:t>：可在期满前</w:t>
      </w:r>
      <w:r>
        <w:rPr>
          <w:rStyle w:val="10"/>
          <w:rFonts w:hint="eastAsia" w:ascii="仿宋_GB2312" w:hAnsi="仿宋_GB2312" w:eastAsia="仿宋_GB2312" w:cs="仿宋_GB2312"/>
          <w:b w:val="0"/>
          <w:color w:val="404040"/>
          <w:sz w:val="32"/>
          <w:szCs w:val="32"/>
          <w:shd w:val="clear" w:color="auto" w:fill="FFFFFF"/>
        </w:rPr>
        <w:t>6个月内</w:t>
      </w:r>
      <w:r>
        <w:rPr>
          <w:rFonts w:hint="eastAsia" w:ascii="仿宋_GB2312" w:hAnsi="仿宋_GB2312" w:eastAsia="仿宋_GB2312" w:cs="仿宋_GB2312"/>
          <w:color w:val="404040"/>
          <w:sz w:val="32"/>
          <w:szCs w:val="32"/>
          <w:shd w:val="clear" w:color="auto" w:fill="FFFFFF"/>
        </w:rPr>
        <w:t>申请续展，每次续展延长10年。期满后另有</w:t>
      </w:r>
      <w:r>
        <w:rPr>
          <w:rStyle w:val="10"/>
          <w:rFonts w:hint="eastAsia" w:ascii="仿宋_GB2312" w:hAnsi="仿宋_GB2312" w:eastAsia="仿宋_GB2312" w:cs="仿宋_GB2312"/>
          <w:b w:val="0"/>
          <w:color w:val="404040"/>
          <w:sz w:val="32"/>
          <w:szCs w:val="32"/>
          <w:shd w:val="clear" w:color="auto" w:fill="FFFFFF"/>
        </w:rPr>
        <w:t>6个月的宽展期</w:t>
      </w:r>
      <w:r>
        <w:rPr>
          <w:rFonts w:hint="eastAsia" w:ascii="仿宋_GB2312" w:hAnsi="仿宋_GB2312" w:eastAsia="仿宋_GB2312" w:cs="仿宋_GB2312"/>
          <w:color w:val="404040"/>
          <w:sz w:val="32"/>
          <w:szCs w:val="32"/>
          <w:shd w:val="clear" w:color="auto" w:fill="FFFFFF"/>
        </w:rPr>
        <w:t>，但需缴纳额外费用。</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使用要求</w:t>
      </w:r>
      <w:r>
        <w:rPr>
          <w:rFonts w:hint="eastAsia" w:ascii="仿宋_GB2312" w:hAnsi="仿宋_GB2312" w:eastAsia="仿宋_GB2312" w:cs="仿宋_GB2312"/>
          <w:color w:val="404040"/>
          <w:sz w:val="32"/>
          <w:szCs w:val="32"/>
          <w:shd w:val="clear" w:color="auto" w:fill="FFFFFF"/>
        </w:rPr>
        <w:t>：商标注册后，连续</w:t>
      </w:r>
      <w:r>
        <w:rPr>
          <w:rStyle w:val="10"/>
          <w:rFonts w:hint="eastAsia" w:ascii="仿宋_GB2312" w:hAnsi="仿宋_GB2312" w:eastAsia="仿宋_GB2312" w:cs="仿宋_GB2312"/>
          <w:b w:val="0"/>
          <w:color w:val="404040"/>
          <w:sz w:val="32"/>
          <w:szCs w:val="32"/>
          <w:shd w:val="clear" w:color="auto" w:fill="FFFFFF"/>
        </w:rPr>
        <w:t>3年</w:t>
      </w:r>
      <w:r>
        <w:rPr>
          <w:rFonts w:hint="eastAsia" w:ascii="仿宋_GB2312" w:hAnsi="仿宋_GB2312" w:eastAsia="仿宋_GB2312" w:cs="仿宋_GB2312"/>
          <w:color w:val="404040"/>
          <w:sz w:val="32"/>
          <w:szCs w:val="32"/>
          <w:shd w:val="clear" w:color="auto" w:fill="FFFFFF"/>
        </w:rPr>
        <w:t>未在日本实际使用，可能会被他人以“未使用”为由申请撤销。</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变更备案</w:t>
      </w:r>
      <w:r>
        <w:rPr>
          <w:rFonts w:hint="eastAsia" w:ascii="仿宋_GB2312" w:hAnsi="仿宋_GB2312" w:eastAsia="仿宋_GB2312" w:cs="仿宋_GB2312"/>
          <w:color w:val="404040"/>
          <w:sz w:val="32"/>
          <w:szCs w:val="32"/>
          <w:shd w:val="clear" w:color="auto" w:fill="FFFFFF"/>
        </w:rPr>
        <w:t>：如申请人名称、地址变更，应及时向JPO办理变更备案。</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（二）日本商标申请途径及官费</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Style w:val="10"/>
          <w:rFonts w:hint="eastAsia" w:ascii="仿宋_GB2312" w:hAnsi="仿宋_GB2312" w:eastAsia="仿宋_GB2312" w:cs="仿宋_GB2312"/>
          <w:b w:val="0"/>
          <w:color w:val="404040"/>
          <w:sz w:val="32"/>
          <w:szCs w:val="32"/>
          <w:shd w:val="clear" w:color="auto" w:fill="FFFFFF"/>
        </w:rPr>
      </w:pPr>
      <w:r>
        <w:rPr>
          <w:rStyle w:val="10"/>
          <w:rFonts w:hint="eastAsia" w:ascii="仿宋_GB2312" w:hAnsi="仿宋_GB2312" w:eastAsia="仿宋_GB2312" w:cs="仿宋_GB2312"/>
          <w:bCs/>
          <w:color w:val="404040"/>
          <w:sz w:val="32"/>
          <w:szCs w:val="32"/>
          <w:shd w:val="clear" w:color="auto" w:fill="FFFFFF"/>
        </w:rPr>
        <w:t>1.商标申请途径</w:t>
      </w:r>
      <w:r>
        <w:rPr>
          <w:rStyle w:val="10"/>
          <w:rFonts w:hint="eastAsia" w:ascii="仿宋_GB2312" w:hAnsi="仿宋_GB2312" w:eastAsia="仿宋_GB2312" w:cs="仿宋_GB2312"/>
          <w:b w:val="0"/>
          <w:color w:val="404040"/>
          <w:sz w:val="32"/>
          <w:szCs w:val="32"/>
          <w:shd w:val="clear" w:color="auto" w:fill="FFFFFF"/>
        </w:rPr>
        <w:t>：</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 xml:space="preserve">    （1）</w:t>
      </w:r>
      <w:r>
        <w:rPr>
          <w:rStyle w:val="10"/>
          <w:rFonts w:hint="eastAsia" w:ascii="仿宋_GB2312" w:hAnsi="仿宋_GB2312" w:eastAsia="仿宋_GB2312" w:cs="仿宋_GB2312"/>
          <w:b w:val="0"/>
          <w:color w:val="404040"/>
          <w:sz w:val="32"/>
          <w:szCs w:val="32"/>
          <w:shd w:val="clear" w:color="auto" w:fill="FFFFFF"/>
        </w:rPr>
        <w:t>直接向日本特许厅（JPO）申请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描述</w:t>
      </w:r>
      <w:r>
        <w:rPr>
          <w:rFonts w:hint="eastAsia" w:ascii="仿宋_GB2312" w:hAnsi="仿宋_GB2312" w:eastAsia="仿宋_GB2312" w:cs="仿宋_GB2312"/>
          <w:color w:val="404040"/>
          <w:sz w:val="32"/>
          <w:szCs w:val="32"/>
          <w:shd w:val="clear" w:color="auto" w:fill="FFFFFF"/>
        </w:rPr>
        <w:t>：这是最直接的方式，委托日本的商标代理人（弁理士）向JPO提交申请。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：明确以日本市场为主要目标的申请人。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流程控制力强，直接与JPO沟通。</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可充分利用日本的加速审查制度。</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缺点</w:t>
      </w:r>
      <w:r>
        <w:rPr>
          <w:rFonts w:hint="eastAsia" w:ascii="仿宋_GB2312" w:hAnsi="仿宋_GB2312" w:eastAsia="仿宋_GB2312" w:cs="仿宋_GB2312"/>
          <w:color w:val="404040"/>
          <w:sz w:val="32"/>
          <w:szCs w:val="32"/>
          <w:shd w:val="clear" w:color="auto" w:fill="FFFFFF"/>
        </w:rPr>
        <w:t>：若需申请多国，需单独向各国提交，成本可能较高。</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2</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通过《巴黎公约》途径申请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描述</w:t>
      </w:r>
      <w:r>
        <w:rPr>
          <w:rFonts w:hint="eastAsia" w:ascii="仿宋_GB2312" w:hAnsi="仿宋_GB2312" w:eastAsia="仿宋_GB2312" w:cs="仿宋_GB2312"/>
          <w:color w:val="404040"/>
          <w:sz w:val="32"/>
          <w:szCs w:val="32"/>
          <w:shd w:val="clear" w:color="auto" w:fill="FFFFFF"/>
        </w:rPr>
        <w:t>：如果您已在中国首次提交了商标申请，可以在</w:t>
      </w:r>
      <w:r>
        <w:rPr>
          <w:rStyle w:val="10"/>
          <w:rFonts w:hint="eastAsia" w:ascii="仿宋_GB2312" w:hAnsi="仿宋_GB2312" w:eastAsia="仿宋_GB2312" w:cs="仿宋_GB2312"/>
          <w:b w:val="0"/>
          <w:color w:val="404040"/>
          <w:sz w:val="32"/>
          <w:szCs w:val="32"/>
          <w:shd w:val="clear" w:color="auto" w:fill="FFFFFF"/>
        </w:rPr>
        <w:t>自中国申请日起6个月内</w:t>
      </w:r>
      <w:r>
        <w:rPr>
          <w:rFonts w:hint="eastAsia" w:ascii="仿宋_GB2312" w:hAnsi="仿宋_GB2312" w:eastAsia="仿宋_GB2312" w:cs="仿宋_GB2312"/>
          <w:color w:val="404040"/>
          <w:sz w:val="32"/>
          <w:szCs w:val="32"/>
          <w:shd w:val="clear" w:color="auto" w:fill="FFFFFF"/>
        </w:rPr>
        <w:t>，向JPO提交同样的申请，并要求享有在中国的优先权。</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：已在中国申请，并希望在优先权期限内进入日本的申请人。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享有6个月的优先权，期间的他人申请不影响您的新颖性。</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有充足的时间准备日本申请。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关键点</w:t>
      </w:r>
      <w:r>
        <w:rPr>
          <w:rFonts w:hint="eastAsia" w:ascii="仿宋_GB2312" w:hAnsi="仿宋_GB2312" w:eastAsia="仿宋_GB2312" w:cs="仿宋_GB2312"/>
          <w:color w:val="404040"/>
          <w:sz w:val="32"/>
          <w:szCs w:val="32"/>
          <w:shd w:val="clear" w:color="auto" w:fill="FFFFFF"/>
        </w:rPr>
        <w:t>：必须严格遵守</w:t>
      </w:r>
      <w:r>
        <w:rPr>
          <w:rStyle w:val="10"/>
          <w:rFonts w:hint="eastAsia" w:ascii="仿宋_GB2312" w:hAnsi="仿宋_GB2312" w:eastAsia="仿宋_GB2312" w:cs="仿宋_GB2312"/>
          <w:b w:val="0"/>
          <w:color w:val="404040"/>
          <w:sz w:val="32"/>
          <w:szCs w:val="32"/>
          <w:shd w:val="clear" w:color="auto" w:fill="FFFFFF"/>
        </w:rPr>
        <w:t>6个月</w:t>
      </w:r>
      <w:r>
        <w:rPr>
          <w:rFonts w:hint="eastAsia" w:ascii="仿宋_GB2312" w:hAnsi="仿宋_GB2312" w:eastAsia="仿宋_GB2312" w:cs="仿宋_GB2312"/>
          <w:color w:val="404040"/>
          <w:sz w:val="32"/>
          <w:szCs w:val="32"/>
          <w:shd w:val="clear" w:color="auto" w:fill="FFFFFF"/>
        </w:rPr>
        <w:t>的期限。</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3</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通过马德里体系指定日本</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描述</w:t>
      </w:r>
      <w:r>
        <w:rPr>
          <w:rFonts w:hint="eastAsia" w:ascii="仿宋_GB2312" w:hAnsi="仿宋_GB2312" w:eastAsia="仿宋_GB2312" w:cs="仿宋_GB2312"/>
          <w:color w:val="404040"/>
          <w:sz w:val="32"/>
          <w:szCs w:val="32"/>
          <w:shd w:val="clear" w:color="auto" w:fill="FFFFFF"/>
        </w:rPr>
        <w:t>：通过中国国家知识产权局（CNIPA）提交马德里国际注册申请，并在申请中指定日本。</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适用对象</w:t>
      </w:r>
      <w:r>
        <w:rPr>
          <w:rFonts w:hint="eastAsia" w:ascii="仿宋_GB2312" w:hAnsi="仿宋_GB2312" w:eastAsia="仿宋_GB2312" w:cs="仿宋_GB2312"/>
          <w:color w:val="404040"/>
          <w:sz w:val="32"/>
          <w:szCs w:val="32"/>
          <w:shd w:val="clear" w:color="auto" w:fill="FFFFFF"/>
        </w:rPr>
        <w:t>：计划在多个马德里体系成员国进行保护的申请人。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优点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一份申请</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一种语言</w:t>
      </w:r>
      <w:r>
        <w:rPr>
          <w:rFonts w:hint="eastAsia" w:ascii="仿宋_GB2312" w:hAnsi="仿宋_GB2312" w:eastAsia="仿宋_GB2312" w:cs="仿宋_GB2312"/>
          <w:color w:val="404040"/>
          <w:sz w:val="32"/>
          <w:szCs w:val="32"/>
          <w:shd w:val="clear" w:color="auto" w:fill="FFFFFF"/>
        </w:rPr>
        <w:t>（英语或法语）、</w:t>
      </w:r>
      <w:r>
        <w:rPr>
          <w:rStyle w:val="10"/>
          <w:rFonts w:hint="eastAsia" w:ascii="仿宋_GB2312" w:hAnsi="仿宋_GB2312" w:eastAsia="仿宋_GB2312" w:cs="仿宋_GB2312"/>
          <w:b w:val="0"/>
          <w:color w:val="404040"/>
          <w:sz w:val="32"/>
          <w:szCs w:val="32"/>
          <w:shd w:val="clear" w:color="auto" w:fill="FFFFFF"/>
        </w:rPr>
        <w:t>缴纳一次费用</w:t>
      </w:r>
      <w:r>
        <w:rPr>
          <w:rFonts w:hint="eastAsia" w:ascii="仿宋_GB2312" w:hAnsi="仿宋_GB2312" w:eastAsia="仿宋_GB2312" w:cs="仿宋_GB2312"/>
          <w:color w:val="404040"/>
          <w:sz w:val="32"/>
          <w:szCs w:val="32"/>
          <w:shd w:val="clear" w:color="auto" w:fill="FFFFFF"/>
        </w:rPr>
        <w:t>，即可指定多个成员国，初期成本较低，管理方便。</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缺点</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后续任何变更（如地址、转让、续展）也需通过国际局办理。</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在</w:t>
      </w:r>
      <w:r>
        <w:rPr>
          <w:rStyle w:val="10"/>
          <w:rFonts w:hint="eastAsia" w:ascii="仿宋_GB2312" w:hAnsi="仿宋_GB2312" w:eastAsia="仿宋_GB2312" w:cs="仿宋_GB2312"/>
          <w:b w:val="0"/>
          <w:color w:val="404040"/>
          <w:sz w:val="32"/>
          <w:szCs w:val="32"/>
          <w:shd w:val="clear" w:color="auto" w:fill="FFFFFF"/>
        </w:rPr>
        <w:t>核准注册后的5年内</w:t>
      </w:r>
      <w:r>
        <w:rPr>
          <w:rFonts w:hint="eastAsia" w:ascii="仿宋_GB2312" w:hAnsi="仿宋_GB2312" w:eastAsia="仿宋_GB2312" w:cs="仿宋_GB2312"/>
          <w:color w:val="404040"/>
          <w:sz w:val="32"/>
          <w:szCs w:val="32"/>
          <w:shd w:val="clear" w:color="auto" w:fill="FFFFFF"/>
        </w:rPr>
        <w:t>，如果基础申请（中国的商标）因故失效（如被撤销或驳回），国际注册在日本也会随之失效（称为“中心打击”原则）。</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审查标准完全依照日本国内法，JPO可能会发出驳回通知，仍需委托日本代理人进行答复。</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Cs/>
          <w:color w:val="404040"/>
          <w:sz w:val="32"/>
          <w:szCs w:val="32"/>
          <w:shd w:val="clear" w:color="auto" w:fill="FFFFFF"/>
        </w:rPr>
        <w:t xml:space="preserve">2.官方费用 </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以下为日本特许厅（JPO）收取的官方费用（2024年标准，电子申请费用）。</w:t>
      </w:r>
      <w:r>
        <w:rPr>
          <w:rStyle w:val="10"/>
          <w:rFonts w:hint="eastAsia" w:ascii="仿宋_GB2312" w:hAnsi="仿宋_GB2312" w:eastAsia="仿宋_GB2312" w:cs="仿宋_GB2312"/>
          <w:b w:val="0"/>
          <w:color w:val="404040"/>
          <w:sz w:val="32"/>
          <w:szCs w:val="32"/>
          <w:shd w:val="clear" w:color="auto" w:fill="FFFFFF"/>
        </w:rPr>
        <w:t>费用均以日元（JPY）计算</w:t>
      </w:r>
      <w:r>
        <w:rPr>
          <w:rFonts w:hint="eastAsia" w:ascii="仿宋_GB2312" w:hAnsi="仿宋_GB2312" w:eastAsia="仿宋_GB2312" w:cs="仿宋_GB2312"/>
          <w:color w:val="404040"/>
          <w:sz w:val="32"/>
          <w:szCs w:val="32"/>
          <w:shd w:val="clear" w:color="auto" w:fill="FFFFFF"/>
        </w:rPr>
        <w:t>。</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1</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申请阶段费用</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947"/>
        <w:gridCol w:w="1676"/>
        <w:gridCol w:w="53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trPr>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费用项目</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金额（日元）</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申请费（基础费）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12,000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指定1个类别</w:t>
            </w:r>
            <w:r>
              <w:rPr>
                <w:rFonts w:hint="eastAsia" w:asciiTheme="minorEastAsia" w:hAnsiTheme="minorEastAsia" w:eastAsiaTheme="minorEastAsia" w:cstheme="minorEastAsia"/>
                <w:kern w:val="0"/>
                <w:sz w:val="24"/>
                <w:szCs w:val="24"/>
                <w:lang w:bidi="ar"/>
              </w:rPr>
              <w:t>的费用。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附加类别费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每类 8,600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从第2个类别开始，每增加一个类别需缴纳此费用。</w:t>
            </w:r>
          </w:p>
        </w:tc>
      </w:tr>
    </w:tbl>
    <w:p>
      <w:pPr>
        <w:keepNext w:val="0"/>
        <w:keepLines w:val="0"/>
        <w:pageBreakBefore w:val="0"/>
        <w:widowControl/>
        <w:shd w:val="clear" w:color="auto" w:fill="FFFFFF"/>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2</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注册登记阶段费用</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商标通过审查并公告后，需缴纳注册费才能获得商标权。注册费可按</w:t>
      </w:r>
      <w:r>
        <w:rPr>
          <w:rStyle w:val="10"/>
          <w:rFonts w:hint="eastAsia" w:ascii="仿宋_GB2312" w:hAnsi="仿宋_GB2312" w:eastAsia="仿宋_GB2312" w:cs="仿宋_GB2312"/>
          <w:b w:val="0"/>
          <w:color w:val="404040"/>
          <w:sz w:val="32"/>
          <w:szCs w:val="32"/>
          <w:shd w:val="clear" w:color="auto" w:fill="FFFFFF"/>
        </w:rPr>
        <w:t>5年</w:t>
      </w:r>
      <w:r>
        <w:rPr>
          <w:rFonts w:hint="eastAsia" w:ascii="仿宋_GB2312" w:hAnsi="仿宋_GB2312" w:eastAsia="仿宋_GB2312" w:cs="仿宋_GB2312"/>
          <w:color w:val="404040"/>
          <w:sz w:val="32"/>
          <w:szCs w:val="32"/>
          <w:shd w:val="clear" w:color="auto" w:fill="FFFFFF"/>
        </w:rPr>
        <w:t>或</w:t>
      </w:r>
      <w:r>
        <w:rPr>
          <w:rStyle w:val="10"/>
          <w:rFonts w:hint="eastAsia" w:ascii="仿宋_GB2312" w:hAnsi="仿宋_GB2312" w:eastAsia="仿宋_GB2312" w:cs="仿宋_GB2312"/>
          <w:b w:val="0"/>
          <w:color w:val="404040"/>
          <w:sz w:val="32"/>
          <w:szCs w:val="32"/>
          <w:shd w:val="clear" w:color="auto" w:fill="FFFFFF"/>
        </w:rPr>
        <w:t>10年</w:t>
      </w:r>
      <w:r>
        <w:rPr>
          <w:rFonts w:hint="eastAsia" w:ascii="仿宋_GB2312" w:hAnsi="仿宋_GB2312" w:eastAsia="仿宋_GB2312" w:cs="仿宋_GB2312"/>
          <w:color w:val="404040"/>
          <w:sz w:val="32"/>
          <w:szCs w:val="32"/>
          <w:shd w:val="clear" w:color="auto" w:fill="FFFFFF"/>
        </w:rPr>
        <w:t>一次性缴纳。</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994"/>
        <w:gridCol w:w="1636"/>
        <w:gridCol w:w="5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trPr>
        <w:tc>
          <w:tcPr>
            <w:tcW w:w="1994"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费用项目</w:t>
            </w:r>
          </w:p>
        </w:tc>
        <w:tc>
          <w:tcPr>
            <w:tcW w:w="1636"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金额（日元）</w:t>
            </w:r>
          </w:p>
        </w:tc>
        <w:tc>
          <w:tcPr>
            <w:tcW w:w="5100"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994"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注册费（5年）</w:t>
            </w:r>
          </w:p>
        </w:tc>
        <w:tc>
          <w:tcPr>
            <w:tcW w:w="1636"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17,100</w:t>
            </w:r>
          </w:p>
        </w:tc>
        <w:tc>
          <w:tcPr>
            <w:tcW w:w="5100"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每类</w:t>
            </w:r>
            <w:r>
              <w:rPr>
                <w:rFonts w:hint="eastAsia" w:asciiTheme="minorEastAsia" w:hAnsiTheme="minorEastAsia" w:eastAsiaTheme="minorEastAsia" w:cstheme="minorEastAsia"/>
                <w:kern w:val="0"/>
                <w:sz w:val="24"/>
                <w:szCs w:val="24"/>
                <w:lang w:bidi="ar"/>
              </w:rPr>
              <w:t>缴纳5年费用的价格。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994"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注册费（10年）</w:t>
            </w:r>
          </w:p>
        </w:tc>
        <w:tc>
          <w:tcPr>
            <w:tcW w:w="1636"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28,200</w:t>
            </w:r>
          </w:p>
        </w:tc>
        <w:tc>
          <w:tcPr>
            <w:tcW w:w="5100" w:type="dxa"/>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每类</w:t>
            </w:r>
            <w:r>
              <w:rPr>
                <w:rFonts w:hint="eastAsia" w:asciiTheme="minorEastAsia" w:hAnsiTheme="minorEastAsia" w:eastAsiaTheme="minorEastAsia" w:cstheme="minorEastAsia"/>
                <w:kern w:val="0"/>
                <w:sz w:val="24"/>
                <w:szCs w:val="24"/>
                <w:lang w:bidi="ar"/>
              </w:rPr>
              <w:t>缴纳10年费用的价格。</w:t>
            </w:r>
            <w:r>
              <w:rPr>
                <w:rFonts w:hint="eastAsia" w:asciiTheme="minorEastAsia" w:hAnsiTheme="minorEastAsia" w:eastAsiaTheme="minorEastAsia" w:cstheme="minorEastAsia"/>
                <w:kern w:val="0"/>
                <w:sz w:val="24"/>
                <w:szCs w:val="24"/>
                <w:lang w:bidi="ar"/>
              </w:rPr>
              <w:br w:type="textWrapping"/>
            </w:r>
            <w:r>
              <w:rPr>
                <w:rStyle w:val="10"/>
                <w:rFonts w:hint="eastAsia" w:asciiTheme="minorEastAsia" w:hAnsiTheme="minorEastAsia" w:eastAsiaTheme="minorEastAsia" w:cstheme="minorEastAsia"/>
                <w:b w:val="0"/>
                <w:kern w:val="0"/>
                <w:sz w:val="24"/>
                <w:szCs w:val="24"/>
                <w:lang w:bidi="ar"/>
              </w:rPr>
              <w:t>（比缴两次5年费用更划算）</w:t>
            </w:r>
          </w:p>
        </w:tc>
      </w:tr>
    </w:tbl>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3</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后期维护费用</w:t>
      </w:r>
    </w:p>
    <w:tbl>
      <w:tblPr>
        <w:tblStyle w:val="8"/>
        <w:tblW w:w="87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848"/>
        <w:gridCol w:w="1836"/>
        <w:gridCol w:w="5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blHeader/>
        </w:trPr>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费用项目</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金额（日元）</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黑体" w:hAnsi="黑体" w:eastAsia="黑体" w:cs="黑体"/>
                <w:color w:val="404040"/>
                <w:sz w:val="24"/>
                <w:szCs w:val="24"/>
              </w:rPr>
            </w:pPr>
            <w:r>
              <w:rPr>
                <w:rFonts w:hint="eastAsia" w:ascii="黑体" w:hAnsi="黑体" w:eastAsia="黑体" w:cs="黑体"/>
                <w:color w:val="404040"/>
                <w:kern w:val="0"/>
                <w:sz w:val="24"/>
                <w:szCs w:val="24"/>
                <w:lang w:bidi="ar"/>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Style w:val="10"/>
                <w:rFonts w:hint="eastAsia" w:asciiTheme="minorEastAsia" w:hAnsiTheme="minorEastAsia" w:eastAsiaTheme="minorEastAsia" w:cstheme="minorEastAsia"/>
                <w:b w:val="0"/>
                <w:kern w:val="0"/>
                <w:sz w:val="24"/>
                <w:szCs w:val="24"/>
                <w:lang w:bidi="ar"/>
              </w:rPr>
            </w:pPr>
            <w:r>
              <w:rPr>
                <w:rStyle w:val="10"/>
                <w:rFonts w:hint="eastAsia" w:asciiTheme="minorEastAsia" w:hAnsiTheme="minorEastAsia" w:eastAsiaTheme="minorEastAsia" w:cstheme="minorEastAsia"/>
                <w:b w:val="0"/>
                <w:kern w:val="0"/>
                <w:sz w:val="24"/>
                <w:szCs w:val="24"/>
                <w:lang w:bidi="ar"/>
              </w:rPr>
              <w:t>续展费</w:t>
            </w:r>
          </w:p>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（10年）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48,500</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每类</w:t>
            </w:r>
            <w:r>
              <w:rPr>
                <w:rFonts w:hint="eastAsia" w:asciiTheme="minorEastAsia" w:hAnsiTheme="minorEastAsia" w:eastAsiaTheme="minorEastAsia" w:cstheme="minorEastAsia"/>
                <w:kern w:val="0"/>
                <w:sz w:val="24"/>
                <w:szCs w:val="24"/>
                <w:lang w:bidi="ar"/>
              </w:rPr>
              <w:t>续展10年的费用。需在有效期届满前</w:t>
            </w:r>
            <w:r>
              <w:rPr>
                <w:rStyle w:val="10"/>
                <w:rFonts w:hint="eastAsia" w:asciiTheme="minorEastAsia" w:hAnsiTheme="minorEastAsia" w:eastAsiaTheme="minorEastAsia" w:cstheme="minorEastAsia"/>
                <w:b w:val="0"/>
                <w:kern w:val="0"/>
                <w:sz w:val="24"/>
                <w:szCs w:val="24"/>
                <w:lang w:bidi="ar"/>
              </w:rPr>
              <w:t>6个月内</w:t>
            </w:r>
            <w:r>
              <w:rPr>
                <w:rFonts w:hint="eastAsia" w:asciiTheme="minorEastAsia" w:hAnsiTheme="minorEastAsia" w:eastAsiaTheme="minorEastAsia" w:cstheme="minorEastAsia"/>
                <w:kern w:val="0"/>
                <w:sz w:val="24"/>
                <w:szCs w:val="24"/>
                <w:lang w:bidi="ar"/>
              </w:rPr>
              <w:t>缴纳。</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c>
          <w:tcPr>
            <w:tcW w:w="1848" w:type="dxa"/>
            <w:shd w:val="clear" w:color="auto" w:fill="auto"/>
            <w:tcMar>
              <w:top w:w="150" w:type="dxa"/>
              <w:left w:w="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Style w:val="10"/>
                <w:rFonts w:hint="eastAsia" w:asciiTheme="minorEastAsia" w:hAnsiTheme="minorEastAsia" w:eastAsiaTheme="minorEastAsia" w:cstheme="minorEastAsia"/>
                <w:b w:val="0"/>
                <w:kern w:val="0"/>
                <w:sz w:val="24"/>
                <w:szCs w:val="24"/>
                <w:lang w:bidi="ar"/>
              </w:rPr>
            </w:pPr>
            <w:r>
              <w:rPr>
                <w:rStyle w:val="10"/>
                <w:rFonts w:hint="eastAsia" w:asciiTheme="minorEastAsia" w:hAnsiTheme="minorEastAsia" w:eastAsiaTheme="minorEastAsia" w:cstheme="minorEastAsia"/>
                <w:b w:val="0"/>
                <w:kern w:val="0"/>
                <w:sz w:val="24"/>
                <w:szCs w:val="24"/>
                <w:lang w:bidi="ar"/>
              </w:rPr>
              <w:t>宽展费</w:t>
            </w:r>
          </w:p>
          <w:p>
            <w:pPr>
              <w:keepNext w:val="0"/>
              <w:keepLines w:val="0"/>
              <w:pageBreakBefore w:val="0"/>
              <w:widowControl/>
              <w:kinsoku/>
              <w:wordWrap/>
              <w:overflowPunct/>
              <w:topLinePunct w:val="0"/>
              <w:autoSpaceDE/>
              <w:autoSpaceDN/>
              <w:bidi w:val="0"/>
              <w:adjustRightInd/>
              <w:snapToGrid/>
              <w:spacing w:afterAutospacing="0" w:line="240" w:lineRule="auto"/>
              <w:jc w:val="center"/>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（10年）</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Style w:val="10"/>
                <w:rFonts w:hint="eastAsia" w:asciiTheme="minorEastAsia" w:hAnsiTheme="minorEastAsia" w:eastAsiaTheme="minorEastAsia" w:cstheme="minorEastAsia"/>
                <w:b w:val="0"/>
                <w:kern w:val="0"/>
                <w:sz w:val="24"/>
                <w:szCs w:val="24"/>
                <w:lang w:bidi="ar"/>
              </w:rPr>
              <w:t>48,500 + 额外费</w:t>
            </w:r>
          </w:p>
        </w:tc>
        <w:tc>
          <w:tcPr>
            <w:tcW w:w="0" w:type="auto"/>
            <w:shd w:val="clear" w:color="auto" w:fill="auto"/>
            <w:tcMar>
              <w:top w:w="150" w:type="dxa"/>
              <w:left w:w="150" w:type="dxa"/>
              <w:bottom w:w="150" w:type="dxa"/>
              <w:right w:w="150" w:type="dxa"/>
            </w:tcMar>
            <w:vAlign w:val="center"/>
          </w:tcPr>
          <w:p>
            <w:pPr>
              <w:keepNext w:val="0"/>
              <w:keepLines w:val="0"/>
              <w:pageBreakBefore w:val="0"/>
              <w:widowControl/>
              <w:kinsoku/>
              <w:wordWrap/>
              <w:overflowPunct/>
              <w:topLinePunct w:val="0"/>
              <w:autoSpaceDE/>
              <w:autoSpaceDN/>
              <w:bidi w:val="0"/>
              <w:adjustRightInd/>
              <w:snapToGrid/>
              <w:spacing w:afterAutospacing="0" w:line="240" w:lineRule="auto"/>
              <w:jc w:val="left"/>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bidi="ar"/>
              </w:rPr>
              <w:t>有效期届满后</w:t>
            </w:r>
            <w:r>
              <w:rPr>
                <w:rStyle w:val="10"/>
                <w:rFonts w:hint="eastAsia" w:asciiTheme="minorEastAsia" w:hAnsiTheme="minorEastAsia" w:eastAsiaTheme="minorEastAsia" w:cstheme="minorEastAsia"/>
                <w:b w:val="0"/>
                <w:kern w:val="0"/>
                <w:sz w:val="24"/>
                <w:szCs w:val="24"/>
                <w:lang w:bidi="ar"/>
              </w:rPr>
              <w:t>6个月</w:t>
            </w:r>
            <w:r>
              <w:rPr>
                <w:rFonts w:hint="eastAsia" w:asciiTheme="minorEastAsia" w:hAnsiTheme="minorEastAsia" w:eastAsiaTheme="minorEastAsia" w:cstheme="minorEastAsia"/>
                <w:kern w:val="0"/>
                <w:sz w:val="24"/>
                <w:szCs w:val="24"/>
                <w:lang w:bidi="ar"/>
              </w:rPr>
              <w:t>的宽展期内缴纳，需额外加收费用。</w:t>
            </w:r>
          </w:p>
        </w:tc>
      </w:tr>
    </w:tbl>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费用标准可能因政策调整变动，建议申请前通过官网确认最新通知 。</w:t>
      </w:r>
    </w:p>
    <w:p>
      <w:pPr>
        <w:keepNext w:val="0"/>
        <w:keepLines w:val="0"/>
        <w:pageBreakBefore w:val="0"/>
        <w:suppressAutoHyphens/>
        <w:kinsoku/>
        <w:wordWrap/>
        <w:overflowPunct/>
        <w:topLinePunct w:val="0"/>
        <w:autoSpaceDE/>
        <w:autoSpaceDN w:val="0"/>
        <w:bidi w:val="0"/>
        <w:adjustRightInd/>
        <w:snapToGrid/>
        <w:spacing w:afterAutospacing="0" w:line="560" w:lineRule="exact"/>
        <w:ind w:firstLine="640" w:firstLineChars="200"/>
        <w:textAlignment w:val="baseline"/>
        <w:rPr>
          <w:rFonts w:hint="eastAsia" w:ascii="黑体" w:hAnsi="黑体" w:eastAsia="黑体" w:cs="黑体"/>
          <w:b w:val="0"/>
          <w:bCs/>
          <w:kern w:val="3"/>
          <w:sz w:val="32"/>
          <w:szCs w:val="32"/>
        </w:rPr>
      </w:pPr>
      <w:r>
        <w:rPr>
          <w:rFonts w:hint="eastAsia" w:ascii="黑体" w:hAnsi="黑体" w:eastAsia="黑体" w:cs="黑体"/>
          <w:b w:val="0"/>
          <w:bCs/>
          <w:kern w:val="3"/>
          <w:sz w:val="32"/>
          <w:szCs w:val="32"/>
        </w:rPr>
        <w:t>四</w:t>
      </w:r>
      <w:r>
        <w:rPr>
          <w:rFonts w:hint="eastAsia" w:ascii="黑体" w:hAnsi="黑体" w:eastAsia="黑体" w:cs="黑体"/>
          <w:b w:val="0"/>
          <w:bCs/>
          <w:kern w:val="3"/>
          <w:sz w:val="32"/>
          <w:szCs w:val="32"/>
          <w:lang w:eastAsia="zh-CN"/>
        </w:rPr>
        <w:t>、</w:t>
      </w:r>
      <w:r>
        <w:rPr>
          <w:rFonts w:hint="eastAsia" w:ascii="黑体" w:hAnsi="黑体" w:eastAsia="黑体" w:cs="黑体"/>
          <w:b w:val="0"/>
          <w:bCs/>
          <w:kern w:val="3"/>
          <w:sz w:val="32"/>
          <w:szCs w:val="32"/>
        </w:rPr>
        <w:t>在日本申请专利、注册商标等知识产权方面注意事项</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（一）在日本申请专利时需要注意以下事项</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1.发明注意事项</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发明专利申请是保护技术的核心手段，审查最严格，权利也最稳定。</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1</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严格</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主动修改的时机限制</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：在日本，主动修改说明书和权利要求书的窗口期非常有限。主要机会仅在</w:t>
      </w:r>
      <w:r>
        <w:rPr>
          <w:rStyle w:val="10"/>
          <w:rFonts w:hint="eastAsia" w:ascii="仿宋_GB2312" w:hAnsi="仿宋_GB2312" w:eastAsia="仿宋_GB2312" w:cs="仿宋_GB2312"/>
          <w:b w:val="0"/>
          <w:color w:val="404040"/>
          <w:sz w:val="32"/>
          <w:szCs w:val="32"/>
          <w:shd w:val="clear" w:color="auto" w:fill="FFFFFF"/>
        </w:rPr>
        <w:t>提交实审请求时</w:t>
      </w:r>
      <w:r>
        <w:rPr>
          <w:rFonts w:hint="eastAsia" w:ascii="仿宋_GB2312" w:hAnsi="仿宋_GB2312" w:eastAsia="仿宋_GB2312" w:cs="仿宋_GB2312"/>
          <w:color w:val="404040"/>
          <w:sz w:val="32"/>
          <w:szCs w:val="32"/>
          <w:shd w:val="clear" w:color="auto" w:fill="FFFFFF"/>
        </w:rPr>
        <w:t>和</w:t>
      </w:r>
      <w:r>
        <w:rPr>
          <w:rStyle w:val="10"/>
          <w:rFonts w:hint="eastAsia" w:ascii="仿宋_GB2312" w:hAnsi="仿宋_GB2312" w:eastAsia="仿宋_GB2312" w:cs="仿宋_GB2312"/>
          <w:b w:val="0"/>
          <w:color w:val="404040"/>
          <w:sz w:val="32"/>
          <w:szCs w:val="32"/>
          <w:shd w:val="clear" w:color="auto" w:fill="FFFFFF"/>
        </w:rPr>
        <w:t>收到审查意见通知书后的答复期限内</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：必须在提交申请前就极致完善申请文件，减少后期修改的需求。委托经验丰富的日本代理人进行撰写至关重要。</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val="en-US" w:eastAsia="zh-CN"/>
        </w:rPr>
        <w:t xml:space="preserve">    （2）</w:t>
      </w:r>
      <w:r>
        <w:rPr>
          <w:rStyle w:val="10"/>
          <w:rFonts w:hint="eastAsia" w:ascii="仿宋_GB2312" w:hAnsi="仿宋_GB2312" w:eastAsia="仿宋_GB2312" w:cs="仿宋_GB2312"/>
          <w:b w:val="0"/>
          <w:color w:val="404040"/>
          <w:sz w:val="32"/>
          <w:szCs w:val="32"/>
          <w:shd w:val="clear" w:color="auto" w:fill="FFFFFF"/>
        </w:rPr>
        <w:t>苛刻</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对“创造性”的严苛审查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：JPO对创造性的审查标准非常严格。审查员极其看重发明是否产生了</w:t>
      </w:r>
      <w:r>
        <w:rPr>
          <w:rStyle w:val="10"/>
          <w:rFonts w:hint="eastAsia" w:ascii="仿宋_GB2312" w:hAnsi="仿宋_GB2312" w:eastAsia="仿宋_GB2312" w:cs="仿宋_GB2312"/>
          <w:b w:val="0"/>
          <w:color w:val="404040"/>
          <w:sz w:val="32"/>
          <w:szCs w:val="32"/>
          <w:shd w:val="clear" w:color="auto" w:fill="FFFFFF"/>
        </w:rPr>
        <w:t>预料不到的技术效果</w:t>
      </w:r>
      <w:r>
        <w:rPr>
          <w:rFonts w:hint="eastAsia" w:ascii="仿宋_GB2312" w:hAnsi="仿宋_GB2312" w:eastAsia="仿宋_GB2312" w:cs="仿宋_GB2312"/>
          <w:color w:val="404040"/>
          <w:sz w:val="32"/>
          <w:szCs w:val="32"/>
          <w:shd w:val="clear" w:color="auto" w:fill="FFFFFF"/>
        </w:rPr>
        <w:t>或是否克服了</w:t>
      </w:r>
      <w:r>
        <w:rPr>
          <w:rStyle w:val="10"/>
          <w:rFonts w:hint="eastAsia" w:ascii="仿宋_GB2312" w:hAnsi="仿宋_GB2312" w:eastAsia="仿宋_GB2312" w:cs="仿宋_GB2312"/>
          <w:b w:val="0"/>
          <w:color w:val="404040"/>
          <w:sz w:val="32"/>
          <w:szCs w:val="32"/>
          <w:shd w:val="clear" w:color="auto" w:fill="FFFFFF"/>
        </w:rPr>
        <w:t>技术偏见</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：在说明书中必须详细记载</w:t>
      </w:r>
      <w:r>
        <w:rPr>
          <w:rStyle w:val="10"/>
          <w:rFonts w:hint="eastAsia" w:ascii="仿宋_GB2312" w:hAnsi="仿宋_GB2312" w:eastAsia="仿宋_GB2312" w:cs="仿宋_GB2312"/>
          <w:b w:val="0"/>
          <w:color w:val="404040"/>
          <w:sz w:val="32"/>
          <w:szCs w:val="32"/>
          <w:shd w:val="clear" w:color="auto" w:fill="FFFFFF"/>
        </w:rPr>
        <w:t>发明所要解决的课题</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解决手段</w:t>
      </w:r>
      <w:r>
        <w:rPr>
          <w:rFonts w:hint="eastAsia" w:ascii="仿宋_GB2312" w:hAnsi="仿宋_GB2312" w:eastAsia="仿宋_GB2312" w:cs="仿宋_GB2312"/>
          <w:color w:val="404040"/>
          <w:sz w:val="32"/>
          <w:szCs w:val="32"/>
          <w:shd w:val="clear" w:color="auto" w:fill="FFFFFF"/>
        </w:rPr>
        <w:t>、以及</w:t>
      </w:r>
      <w:r>
        <w:rPr>
          <w:rStyle w:val="10"/>
          <w:rFonts w:hint="eastAsia" w:ascii="仿宋_GB2312" w:hAnsi="仿宋_GB2312" w:eastAsia="仿宋_GB2312" w:cs="仿宋_GB2312"/>
          <w:b w:val="0"/>
          <w:color w:val="404040"/>
          <w:sz w:val="32"/>
          <w:szCs w:val="32"/>
          <w:shd w:val="clear" w:color="auto" w:fill="FFFFFF"/>
        </w:rPr>
        <w:t>与现有技术对比的优异效果（最好提供实验数据证明）</w:t>
      </w:r>
      <w:r>
        <w:rPr>
          <w:rFonts w:hint="eastAsia" w:ascii="仿宋_GB2312" w:hAnsi="仿宋_GB2312" w:eastAsia="仿宋_GB2312" w:cs="仿宋_GB2312"/>
          <w:color w:val="404040"/>
          <w:sz w:val="32"/>
          <w:szCs w:val="32"/>
          <w:shd w:val="clear" w:color="auto" w:fill="FFFFFF"/>
        </w:rPr>
        <w:t>。答复审查意见时，重点论证该效果是“预料不到的”。</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3</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策略</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分案申请的策略运用</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：JPO对专利申请的“单一性”要求严格。审查员常会指出缺乏单一性，要求分案。</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：这可以转化为一种策略。可以将核心发明作为主申请，将一些关联的改进发明作为</w:t>
      </w:r>
      <w:r>
        <w:rPr>
          <w:rStyle w:val="10"/>
          <w:rFonts w:hint="eastAsia" w:ascii="仿宋_GB2312" w:hAnsi="仿宋_GB2312" w:eastAsia="仿宋_GB2312" w:cs="仿宋_GB2312"/>
          <w:b w:val="0"/>
          <w:color w:val="404040"/>
          <w:sz w:val="32"/>
          <w:szCs w:val="32"/>
          <w:shd w:val="clear" w:color="auto" w:fill="FFFFFF"/>
        </w:rPr>
        <w:t>分案申请</w:t>
      </w:r>
      <w:r>
        <w:rPr>
          <w:rFonts w:hint="eastAsia" w:ascii="仿宋_GB2312" w:hAnsi="仿宋_GB2312" w:eastAsia="仿宋_GB2312" w:cs="仿宋_GB2312"/>
          <w:color w:val="404040"/>
          <w:sz w:val="32"/>
          <w:szCs w:val="32"/>
          <w:shd w:val="clear" w:color="auto" w:fill="FFFFFF"/>
        </w:rPr>
        <w:t>适时提出，从而构建一个强大的专利组合，延长对产品的保护期。</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4</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程序</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授权后的异议程序</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：专利授权公告后，任何人可在</w:t>
      </w:r>
      <w:r>
        <w:rPr>
          <w:rStyle w:val="10"/>
          <w:rFonts w:hint="eastAsia" w:ascii="仿宋_GB2312" w:hAnsi="仿宋_GB2312" w:eastAsia="仿宋_GB2312" w:cs="仿宋_GB2312"/>
          <w:b w:val="0"/>
          <w:color w:val="404040"/>
          <w:sz w:val="32"/>
          <w:szCs w:val="32"/>
          <w:shd w:val="clear" w:color="auto" w:fill="FFFFFF"/>
        </w:rPr>
        <w:t>6个月内</w:t>
      </w:r>
      <w:r>
        <w:rPr>
          <w:rFonts w:hint="eastAsia" w:ascii="仿宋_GB2312" w:hAnsi="仿宋_GB2312" w:eastAsia="仿宋_GB2312" w:cs="仿宋_GB2312"/>
          <w:color w:val="404040"/>
          <w:sz w:val="32"/>
          <w:szCs w:val="32"/>
          <w:shd w:val="clear" w:color="auto" w:fill="FFFFFF"/>
        </w:rPr>
        <w:t>提出异议（無効審判）。这是一个低成本挑战专利有效性的途径。</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：作为权利人，授权后并非高枕无忧，需关注官方公告。作为第三方，可利用此程序清除障碍专利。</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2.实用新型注意事项</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rPr>
        <w:t>实用新型注重“型”，获权快，但权利天生脆弱。</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1</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致命弱点</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权利极度不稳定</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：实用新型</w:t>
      </w:r>
      <w:r>
        <w:rPr>
          <w:rStyle w:val="10"/>
          <w:rFonts w:hint="eastAsia" w:ascii="仿宋_GB2312" w:hAnsi="仿宋_GB2312" w:eastAsia="仿宋_GB2312" w:cs="仿宋_GB2312"/>
          <w:b w:val="0"/>
          <w:color w:val="404040"/>
          <w:sz w:val="32"/>
          <w:szCs w:val="32"/>
          <w:shd w:val="clear" w:color="auto" w:fill="FFFFFF"/>
        </w:rPr>
        <w:t>不经实质审查</w:t>
      </w:r>
      <w:r>
        <w:rPr>
          <w:rFonts w:hint="eastAsia" w:ascii="仿宋_GB2312" w:hAnsi="仿宋_GB2312" w:eastAsia="仿宋_GB2312" w:cs="仿宋_GB2312"/>
          <w:color w:val="404040"/>
          <w:sz w:val="32"/>
          <w:szCs w:val="32"/>
          <w:shd w:val="clear" w:color="auto" w:fill="FFFFFF"/>
        </w:rPr>
        <w:t>即可授权。这意味着其新颖性和创造性从未被官方审查过，权利基础非常脆弱。</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w:t>
      </w:r>
      <w:r>
        <w:rPr>
          <w:rStyle w:val="10"/>
          <w:rFonts w:hint="eastAsia" w:ascii="仿宋_GB2312" w:hAnsi="仿宋_GB2312" w:eastAsia="仿宋_GB2312" w:cs="仿宋_GB2312"/>
          <w:b w:val="0"/>
          <w:color w:val="404040"/>
          <w:sz w:val="32"/>
          <w:szCs w:val="32"/>
          <w:shd w:val="clear" w:color="auto" w:fill="FFFFFF"/>
        </w:rPr>
        <w:t>切勿将其作为保护核心技术的首选</w:t>
      </w:r>
      <w:r>
        <w:rPr>
          <w:rFonts w:hint="eastAsia" w:ascii="仿宋_GB2312" w:hAnsi="仿宋_GB2312" w:eastAsia="仿宋_GB2312" w:cs="仿宋_GB2312"/>
          <w:color w:val="404040"/>
          <w:sz w:val="32"/>
          <w:szCs w:val="32"/>
          <w:shd w:val="clear" w:color="auto" w:fill="FFFFFF"/>
        </w:rPr>
        <w:t>。仅适用于生命周期短、创新高度不高的产品结构改进。</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2</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必要前提</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行使权利前的《技术评价书》</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：法律规定，实用新型专利权人在发出警告或提起侵权诉讼</w:t>
      </w:r>
      <w:r>
        <w:rPr>
          <w:rStyle w:val="10"/>
          <w:rFonts w:hint="eastAsia" w:ascii="仿宋_GB2312" w:hAnsi="仿宋_GB2312" w:eastAsia="仿宋_GB2312" w:cs="仿宋_GB2312"/>
          <w:b w:val="0"/>
          <w:color w:val="404040"/>
          <w:sz w:val="32"/>
          <w:szCs w:val="32"/>
          <w:shd w:val="clear" w:color="auto" w:fill="FFFFFF"/>
        </w:rPr>
        <w:t>前</w:t>
      </w:r>
      <w:r>
        <w:rPr>
          <w:rFonts w:hint="eastAsia" w:ascii="仿宋_GB2312" w:hAnsi="仿宋_GB2312" w:eastAsia="仿宋_GB2312" w:cs="仿宋_GB2312"/>
          <w:color w:val="404040"/>
          <w:sz w:val="32"/>
          <w:szCs w:val="32"/>
          <w:shd w:val="clear" w:color="auto" w:fill="FFFFFF"/>
        </w:rPr>
        <w:t>，必须向JPO请求出具《技术评价书》（技術評価書）。该评价书类似于一份审查报告，会对其新颖性、创造性做出评估。</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：如果《技术评价书》的结论是负面的，仍可主张权利，但败诉风险极高，且可能被对方反诉无效。因此，在维权前必须请求此评价书并评估其结论。</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3</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保护客体</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只能保护“产品”的结构</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：实用新型只保护产品的形状、构造或其结合，</w:t>
      </w:r>
      <w:r>
        <w:rPr>
          <w:rStyle w:val="10"/>
          <w:rFonts w:hint="eastAsia" w:ascii="仿宋_GB2312" w:hAnsi="仿宋_GB2312" w:eastAsia="仿宋_GB2312" w:cs="仿宋_GB2312"/>
          <w:b w:val="0"/>
          <w:color w:val="404040"/>
          <w:sz w:val="32"/>
          <w:szCs w:val="32"/>
          <w:shd w:val="clear" w:color="auto" w:fill="FFFFFF"/>
        </w:rPr>
        <w:t>明确排除方法、工艺、物质配方等</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：如果创新点是一种制造方法或新材料，只能申请发明专利。</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4</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转换策略</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作为发明的“备份”</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：发明专利申请在授权前（如收到驳回决定时）可以转换为实用新型申请，以保留原申请日。</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：这可以作为一项保险策略。当发明专利申请前景不明时，可考虑转换为实用新型，至少能获得一项快速授权的权利。</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3" w:firstLineChars="200"/>
        <w:rPr>
          <w:rFonts w:hint="eastAsia" w:ascii="仿宋_GB2312" w:hAnsi="仿宋_GB2312" w:eastAsia="仿宋_GB2312" w:cs="仿宋_GB2312"/>
          <w:b/>
          <w:bCs/>
          <w:color w:val="404040"/>
          <w:sz w:val="32"/>
          <w:szCs w:val="32"/>
        </w:rPr>
      </w:pPr>
      <w:r>
        <w:rPr>
          <w:rStyle w:val="10"/>
          <w:rFonts w:hint="eastAsia" w:ascii="仿宋_GB2312" w:hAnsi="仿宋_GB2312" w:eastAsia="仿宋_GB2312" w:cs="仿宋_GB2312"/>
          <w:b/>
          <w:bCs/>
          <w:color w:val="404040"/>
          <w:sz w:val="32"/>
          <w:szCs w:val="32"/>
          <w:shd w:val="clear" w:color="auto" w:fill="FFFFFF"/>
        </w:rPr>
        <w:t>3.外观设计注意事项</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Fonts w:hint="eastAsia" w:ascii="仿宋_GB2312" w:hAnsi="仿宋_GB2312" w:eastAsia="仿宋_GB2312" w:cs="仿宋_GB2312"/>
          <w:color w:val="404040"/>
          <w:sz w:val="32"/>
          <w:szCs w:val="32"/>
          <w:shd w:val="clear" w:color="auto" w:fill="FFFFFF"/>
        </w:rPr>
        <w:t>外观设计保护产品的美感，审查侧重于视觉效果的新颖性。</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404040"/>
          <w:sz w:val="32"/>
          <w:szCs w:val="32"/>
          <w:shd w:val="clear" w:color="auto" w:fill="FFFFFF"/>
          <w:lang w:eastAsia="zh-CN"/>
        </w:rPr>
        <w:t>（</w:t>
      </w:r>
      <w:r>
        <w:rPr>
          <w:rFonts w:hint="eastAsia" w:ascii="仿宋_GB2312" w:hAnsi="仿宋_GB2312" w:eastAsia="仿宋_GB2312" w:cs="仿宋_GB2312"/>
          <w:color w:val="404040"/>
          <w:sz w:val="32"/>
          <w:szCs w:val="32"/>
          <w:shd w:val="clear" w:color="auto" w:fill="FFFFFF"/>
          <w:lang w:val="en-US" w:eastAsia="zh-CN"/>
        </w:rPr>
        <w:t>1</w:t>
      </w:r>
      <w:r>
        <w:rPr>
          <w:rFonts w:hint="eastAsia" w:ascii="仿宋_GB2312" w:hAnsi="仿宋_GB2312" w:eastAsia="仿宋_GB2312" w:cs="仿宋_GB2312"/>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严格</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视图提交的严格标准</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：JPO对外观设计专利申请的视图（照片或图纸）要求</w:t>
      </w:r>
      <w:r>
        <w:rPr>
          <w:rStyle w:val="10"/>
          <w:rFonts w:hint="eastAsia" w:ascii="仿宋_GB2312" w:hAnsi="仿宋_GB2312" w:eastAsia="仿宋_GB2312" w:cs="仿宋_GB2312"/>
          <w:b w:val="0"/>
          <w:color w:val="404040"/>
          <w:sz w:val="32"/>
          <w:szCs w:val="32"/>
          <w:shd w:val="clear" w:color="auto" w:fill="FFFFFF"/>
        </w:rPr>
        <w:t>极其严格</w:t>
      </w:r>
      <w:r>
        <w:rPr>
          <w:rFonts w:hint="eastAsia" w:ascii="仿宋_GB2312" w:hAnsi="仿宋_GB2312" w:eastAsia="仿宋_GB2312" w:cs="仿宋_GB2312"/>
          <w:color w:val="404040"/>
          <w:sz w:val="32"/>
          <w:szCs w:val="32"/>
          <w:shd w:val="clear" w:color="auto" w:fill="FFFFFF"/>
        </w:rPr>
        <w:t>。必须提供足够数量的视图（如六面图、立体图），且各视图必须</w:t>
      </w:r>
      <w:r>
        <w:rPr>
          <w:rStyle w:val="10"/>
          <w:rFonts w:hint="eastAsia" w:ascii="仿宋_GB2312" w:hAnsi="仿宋_GB2312" w:eastAsia="仿宋_GB2312" w:cs="仿宋_GB2312"/>
          <w:b w:val="0"/>
          <w:color w:val="404040"/>
          <w:sz w:val="32"/>
          <w:szCs w:val="32"/>
          <w:shd w:val="clear" w:color="auto" w:fill="FFFFFF"/>
        </w:rPr>
        <w:t>绝对一致</w:t>
      </w:r>
      <w:r>
        <w:rPr>
          <w:rFonts w:hint="eastAsia" w:ascii="仿宋_GB2312" w:hAnsi="仿宋_GB2312" w:eastAsia="仿宋_GB2312" w:cs="仿宋_GB2312"/>
          <w:color w:val="404040"/>
          <w:sz w:val="32"/>
          <w:szCs w:val="32"/>
          <w:shd w:val="clear" w:color="auto" w:fill="FFFFFF"/>
        </w:rPr>
        <w:t>，不能存在歧义或矛盾。</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：建议委托专业制图人员或机构制作符合JPO标准的视图，这是成功注册的基础。</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2</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策略</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“相关外观设计”制度的充分利用</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：日本有独特的“関連意匠”制度。允许申请人在主外观设计的基础上，注册多个与之相似但又略有不同的外观设计。</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：这是应对“山寨”和模仿的利器。通过申请一系列相关设计，可以形成一个保护网，防止竞争对手通过细微改动来规避侵权。</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3</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保护范围</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部分外观设计的申请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：可以不就整个产品，而仅就产品的某一部分（如手机的Home键、汽车的尾灯）申请外观设计保护。</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：对于组件产品或具有标志性设计部位的产品，部分外观设计是成本效益更高的保护方式。</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lang w:val="en-US" w:eastAsia="zh-CN"/>
        </w:rPr>
        <w:t>4</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主观性</w:t>
      </w:r>
      <w:r>
        <w:rPr>
          <w:rStyle w:val="10"/>
          <w:rFonts w:hint="eastAsia" w:ascii="仿宋_GB2312" w:hAnsi="仿宋_GB2312" w:eastAsia="仿宋_GB2312" w:cs="仿宋_GB2312"/>
          <w:b w:val="0"/>
          <w:color w:val="404040"/>
          <w:sz w:val="32"/>
          <w:szCs w:val="32"/>
          <w:shd w:val="clear" w:color="auto" w:fill="FFFFFF"/>
          <w:lang w:eastAsia="zh-CN"/>
        </w:rPr>
        <w:t>”</w:t>
      </w:r>
      <w:r>
        <w:rPr>
          <w:rStyle w:val="10"/>
          <w:rFonts w:hint="eastAsia" w:ascii="仿宋_GB2312" w:hAnsi="仿宋_GB2312" w:eastAsia="仿宋_GB2312" w:cs="仿宋_GB2312"/>
          <w:b w:val="0"/>
          <w:color w:val="404040"/>
          <w:sz w:val="32"/>
          <w:szCs w:val="32"/>
          <w:shd w:val="clear" w:color="auto" w:fill="FFFFFF"/>
        </w:rPr>
        <w:t>“创作非容易性”的判断</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：外观设计也要求创造性（日本称为“創作非容易性”）。审查员会主观判断该设计是否对于本领域从业人员来说是容易创作的。</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：在说明书中可简要陈述设计的创新点和高美感价值，为后续的审查意见答复做准备。</w:t>
      </w:r>
    </w:p>
    <w:p>
      <w:pPr>
        <w:keepNext w:val="0"/>
        <w:keepLines w:val="0"/>
        <w:pageBreakBefore w:val="0"/>
        <w:widowControl/>
        <w:shd w:val="clear" w:color="auto" w:fill="FFFFFF"/>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通用重要提醒：</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强制代理</w:t>
      </w:r>
      <w:r>
        <w:rPr>
          <w:rFonts w:hint="eastAsia" w:ascii="仿宋_GB2312" w:hAnsi="仿宋_GB2312" w:eastAsia="仿宋_GB2312" w:cs="仿宋_GB2312"/>
          <w:color w:val="404040"/>
          <w:sz w:val="32"/>
          <w:szCs w:val="32"/>
          <w:shd w:val="clear" w:color="auto" w:fill="FFFFFF"/>
        </w:rPr>
        <w:t>：外国申请人必须委托日本专利代理人（弁理士）办理。</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语言</w:t>
      </w:r>
      <w:r>
        <w:rPr>
          <w:rFonts w:hint="eastAsia" w:ascii="仿宋_GB2312" w:hAnsi="仿宋_GB2312" w:eastAsia="仿宋_GB2312" w:cs="仿宋_GB2312"/>
          <w:color w:val="404040"/>
          <w:sz w:val="32"/>
          <w:szCs w:val="32"/>
          <w:shd w:val="clear" w:color="auto" w:fill="FFFFFF"/>
        </w:rPr>
        <w:t>：所有材料必须为日语，翻译准确性至关重要。</w:t>
      </w:r>
    </w:p>
    <w:p>
      <w:pPr>
        <w:pStyle w:val="7"/>
        <w:keepNext w:val="0"/>
        <w:keepLines w:val="0"/>
        <w:pageBreakBefore w:val="0"/>
        <w:widowControl/>
        <w:kinsoku/>
        <w:wordWrap/>
        <w:overflowPunct/>
        <w:topLinePunct w:val="0"/>
        <w:autoSpaceDE/>
        <w:bidi w:val="0"/>
        <w:adjustRightInd/>
        <w:snapToGrid/>
        <w:spacing w:afterAutospacing="0" w:line="560" w:lineRule="exact"/>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加速审查</w:t>
      </w:r>
      <w:r>
        <w:rPr>
          <w:rFonts w:hint="eastAsia" w:ascii="仿宋_GB2312" w:hAnsi="仿宋_GB2312" w:eastAsia="仿宋_GB2312" w:cs="仿宋_GB2312"/>
          <w:color w:val="404040"/>
          <w:sz w:val="32"/>
          <w:szCs w:val="32"/>
          <w:shd w:val="clear" w:color="auto" w:fill="FFFFFF"/>
        </w:rPr>
        <w:t>：三种专利类型都有相应的加速审查通道（如PPH），可根据商业需求积极利用。</w:t>
      </w:r>
    </w:p>
    <w:p>
      <w:pPr>
        <w:keepNext w:val="0"/>
        <w:keepLines w:val="0"/>
        <w:pageBreakBefore w:val="0"/>
        <w:kinsoku/>
        <w:wordWrap/>
        <w:overflowPunct/>
        <w:topLinePunct w:val="0"/>
        <w:autoSpaceDE/>
        <w:bidi w:val="0"/>
        <w:adjustRightInd/>
        <w:snapToGrid/>
        <w:spacing w:afterAutospacing="0" w:line="560"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（二）在日本注册商标时需要注意以下要求</w:t>
      </w:r>
    </w:p>
    <w:p>
      <w:pPr>
        <w:pStyle w:val="7"/>
        <w:keepNext w:val="0"/>
        <w:keepLines w:val="0"/>
        <w:pageBreakBefore w:val="0"/>
        <w:widowControl/>
        <w:shd w:val="clear" w:color="auto" w:fill="FFFFFF"/>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rPr>
      </w:pPr>
      <w:r>
        <w:rPr>
          <w:rFonts w:hint="eastAsia" w:ascii="仿宋_GB2312" w:hAnsi="仿宋_GB2312" w:eastAsia="仿宋_GB2312" w:cs="仿宋_GB2312"/>
          <w:color w:val="404040"/>
          <w:sz w:val="32"/>
          <w:szCs w:val="32"/>
          <w:shd w:val="clear" w:color="auto" w:fill="FFFFFF"/>
        </w:rPr>
        <w:t>商标申请保护的是标识，审查侧重于显著性和混淆可能性。</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1.对商品/服务描述的严格要求</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：日本采用尼斯分类，但对商品/服务的</w:t>
      </w:r>
      <w:r>
        <w:rPr>
          <w:rStyle w:val="10"/>
          <w:rFonts w:hint="eastAsia" w:ascii="仿宋_GB2312" w:hAnsi="仿宋_GB2312" w:eastAsia="仿宋_GB2312" w:cs="仿宋_GB2312"/>
          <w:b w:val="0"/>
          <w:color w:val="404040"/>
          <w:sz w:val="32"/>
          <w:szCs w:val="32"/>
          <w:shd w:val="clear" w:color="auto" w:fill="FFFFFF"/>
        </w:rPr>
        <w:t>具体描述要求非常严格和精确</w:t>
      </w:r>
      <w:r>
        <w:rPr>
          <w:rFonts w:hint="eastAsia" w:ascii="仿宋_GB2312" w:hAnsi="仿宋_GB2312" w:eastAsia="仿宋_GB2312" w:cs="仿宋_GB2312"/>
          <w:color w:val="404040"/>
          <w:sz w:val="32"/>
          <w:szCs w:val="32"/>
          <w:shd w:val="clear" w:color="auto" w:fill="FFFFFF"/>
        </w:rPr>
        <w:t>，不接受过于宽泛或模糊的表述（如“家用电器”这类群组名称）。</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：必须参考JPO发布的《类似商品和服务审查基准》，</w:t>
      </w:r>
      <w:r>
        <w:rPr>
          <w:rFonts w:hint="eastAsia" w:ascii="仿宋_GB2312" w:hAnsi="仿宋_GB2312" w:eastAsia="仿宋_GB2312" w:cs="仿宋_GB2312"/>
          <w:color w:val="404040"/>
          <w:sz w:val="32"/>
          <w:szCs w:val="32"/>
          <w:shd w:val="clear" w:color="auto" w:fill="FFFFFF"/>
        </w:rPr>
        <w:br w:type="textWrapping"/>
      </w:r>
      <w:r>
        <w:rPr>
          <w:rFonts w:hint="eastAsia" w:ascii="仿宋_GB2312" w:hAnsi="仿宋_GB2312" w:eastAsia="仿宋_GB2312" w:cs="仿宋_GB2312"/>
          <w:color w:val="404040"/>
          <w:sz w:val="32"/>
          <w:szCs w:val="32"/>
          <w:shd w:val="clear" w:color="auto" w:fill="FFFFFF"/>
        </w:rPr>
        <w:t>使用标准、可接受的描述用语。例如，应写“智能手机”而非“通信设备”。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2.对“商标使用”的重视</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：商标获准注册后，如果</w:t>
      </w:r>
      <w:r>
        <w:rPr>
          <w:rStyle w:val="10"/>
          <w:rFonts w:hint="eastAsia" w:ascii="仿宋_GB2312" w:hAnsi="仿宋_GB2312" w:eastAsia="仿宋_GB2312" w:cs="仿宋_GB2312"/>
          <w:b w:val="0"/>
          <w:color w:val="404040"/>
          <w:sz w:val="32"/>
          <w:szCs w:val="32"/>
          <w:shd w:val="clear" w:color="auto" w:fill="FFFFFF"/>
        </w:rPr>
        <w:t>连续3年未在日本市场上进行真实、有效的商业使用</w:t>
      </w:r>
      <w:r>
        <w:rPr>
          <w:rFonts w:hint="eastAsia" w:ascii="仿宋_GB2312" w:hAnsi="仿宋_GB2312" w:eastAsia="仿宋_GB2312" w:cs="仿宋_GB2312"/>
          <w:color w:val="404040"/>
          <w:sz w:val="32"/>
          <w:szCs w:val="32"/>
          <w:shd w:val="clear" w:color="auto" w:fill="FFFFFF"/>
        </w:rPr>
        <w:t>，可能会被他人以“未使用”为由申请撤销。</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：保留好使用证据（如销售合同、发票、广告材料、带有商标的商品照片等），以备不时之需。这对于防御他人提出的撤销申请至关重要。</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3.独特的“部分驳回”制度</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：如果申请的商标在部分商品/服务上存在驳回理由（如与在先商标冲突），审查员会发出</w:t>
      </w:r>
      <w:r>
        <w:rPr>
          <w:rStyle w:val="10"/>
          <w:rFonts w:hint="eastAsia" w:ascii="仿宋_GB2312" w:hAnsi="仿宋_GB2312" w:eastAsia="仿宋_GB2312" w:cs="仿宋_GB2312"/>
          <w:b w:val="0"/>
          <w:color w:val="404040"/>
          <w:sz w:val="32"/>
          <w:szCs w:val="32"/>
          <w:shd w:val="clear" w:color="auto" w:fill="FFFFFF"/>
        </w:rPr>
        <w:t>部分驳回通知书</w:t>
      </w:r>
      <w:r>
        <w:rPr>
          <w:rFonts w:hint="eastAsia" w:ascii="仿宋_GB2312" w:hAnsi="仿宋_GB2312" w:eastAsia="仿宋_GB2312" w:cs="仿宋_GB2312"/>
          <w:color w:val="404040"/>
          <w:sz w:val="32"/>
          <w:szCs w:val="32"/>
          <w:shd w:val="clear" w:color="auto" w:fill="FFFFFF"/>
        </w:rPr>
        <w:t>，而不是直接驳回整个申请。</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：您可以</w:t>
      </w:r>
      <w:r>
        <w:rPr>
          <w:rStyle w:val="10"/>
          <w:rFonts w:hint="eastAsia" w:ascii="仿宋_GB2312" w:hAnsi="仿宋_GB2312" w:eastAsia="仿宋_GB2312" w:cs="仿宋_GB2312"/>
          <w:b w:val="0"/>
          <w:color w:val="404040"/>
          <w:sz w:val="32"/>
          <w:szCs w:val="32"/>
          <w:shd w:val="clear" w:color="auto" w:fill="FFFFFF"/>
        </w:rPr>
        <w:t>删除那些存在问题的商品/服务项目</w:t>
      </w:r>
      <w:r>
        <w:rPr>
          <w:rFonts w:hint="eastAsia" w:ascii="仿宋_GB2312" w:hAnsi="仿宋_GB2312" w:eastAsia="仿宋_GB2312" w:cs="仿宋_GB2312"/>
          <w:color w:val="404040"/>
          <w:sz w:val="32"/>
          <w:szCs w:val="32"/>
          <w:shd w:val="clear" w:color="auto" w:fill="FFFFFF"/>
        </w:rPr>
        <w:t>，从而使商标在剩余的商品/服务上获得注册。这是一个非常重要的补救机会。</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4.应对驳回的“同意书”制度</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color w:val="404040"/>
          <w:sz w:val="32"/>
          <w:szCs w:val="32"/>
          <w:shd w:val="clear" w:color="auto" w:fill="FFFFFF"/>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：如果驳回理由是基于与在先注册商标构成近似，申请人可以尝试提交由在先商标权利人签署的</w:t>
      </w:r>
      <w:r>
        <w:rPr>
          <w:rStyle w:val="10"/>
          <w:rFonts w:hint="eastAsia" w:ascii="仿宋_GB2312" w:hAnsi="仿宋_GB2312" w:eastAsia="仿宋_GB2312" w:cs="仿宋_GB2312"/>
          <w:b w:val="0"/>
          <w:color w:val="404040"/>
          <w:sz w:val="32"/>
          <w:szCs w:val="32"/>
          <w:shd w:val="clear" w:color="auto" w:fill="FFFFFF"/>
        </w:rPr>
        <w:t>同意书</w:t>
      </w:r>
      <w:r>
        <w:rPr>
          <w:rFonts w:hint="eastAsia" w:ascii="仿宋_GB2312" w:hAnsi="仿宋_GB2312" w:eastAsia="仿宋_GB2312" w:cs="仿宋_GB2312"/>
          <w:color w:val="404040"/>
          <w:sz w:val="32"/>
          <w:szCs w:val="32"/>
          <w:shd w:val="clear" w:color="auto" w:fill="FFFFFF"/>
        </w:rPr>
        <w:t>，以克服驳回。</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：虽然JPO并不总是采纳同意书，但这是一种可行的策略。如果能获得竞争对手的同意，有望使申请获得通过。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5.非传统商标的申请</w:t>
      </w:r>
      <w:r>
        <w:rPr>
          <w:rFonts w:hint="eastAsia" w:ascii="仿宋_GB2312" w:hAnsi="仿宋_GB2312" w:eastAsia="仿宋_GB2312" w:cs="仿宋_GB2312"/>
          <w:color w:val="404040"/>
          <w:sz w:val="32"/>
          <w:szCs w:val="32"/>
          <w:shd w:val="clear" w:color="auto" w:fill="FFFFFF"/>
        </w:rPr>
        <w:t>：</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注意</w:t>
      </w:r>
      <w:r>
        <w:rPr>
          <w:rFonts w:hint="eastAsia" w:ascii="仿宋_GB2312" w:hAnsi="仿宋_GB2312" w:eastAsia="仿宋_GB2312" w:cs="仿宋_GB2312"/>
          <w:color w:val="404040"/>
          <w:sz w:val="32"/>
          <w:szCs w:val="32"/>
          <w:shd w:val="clear" w:color="auto" w:fill="FFFFFF"/>
        </w:rPr>
        <w:t>：日本允许注册声音、全息图、颜色、位置等非传统商标。</w:t>
      </w:r>
    </w:p>
    <w:p>
      <w:pPr>
        <w:pStyle w:val="7"/>
        <w:keepNext w:val="0"/>
        <w:keepLines w:val="0"/>
        <w:pageBreakBefore w:val="0"/>
        <w:widowControl/>
        <w:kinsoku/>
        <w:wordWrap/>
        <w:overflowPunct/>
        <w:topLinePunct w:val="0"/>
        <w:autoSpaceDE/>
        <w:bidi w:val="0"/>
        <w:adjustRightInd/>
        <w:snapToGrid/>
        <w:spacing w:afterAutospacing="0" w:line="560" w:lineRule="exact"/>
        <w:ind w:firstLine="640" w:firstLineChars="200"/>
        <w:rPr>
          <w:rFonts w:hint="eastAsia" w:ascii="仿宋_GB2312" w:hAnsi="仿宋_GB2312" w:eastAsia="仿宋_GB2312" w:cs="仿宋_GB2312"/>
          <w:sz w:val="32"/>
          <w:szCs w:val="32"/>
        </w:rPr>
      </w:pPr>
      <w:r>
        <w:rPr>
          <w:rStyle w:val="10"/>
          <w:rFonts w:hint="eastAsia" w:ascii="仿宋_GB2312" w:hAnsi="仿宋_GB2312" w:eastAsia="仿宋_GB2312" w:cs="仿宋_GB2312"/>
          <w:b w:val="0"/>
          <w:color w:val="404040"/>
          <w:sz w:val="32"/>
          <w:szCs w:val="32"/>
          <w:shd w:val="clear" w:color="auto" w:fill="FFFFFF"/>
        </w:rPr>
        <w:t>对策</w:t>
      </w:r>
      <w:r>
        <w:rPr>
          <w:rFonts w:hint="eastAsia" w:ascii="仿宋_GB2312" w:hAnsi="仿宋_GB2312" w:eastAsia="仿宋_GB2312" w:cs="仿宋_GB2312"/>
          <w:color w:val="404040"/>
          <w:sz w:val="32"/>
          <w:szCs w:val="32"/>
          <w:shd w:val="clear" w:color="auto" w:fill="FFFFFF"/>
        </w:rPr>
        <w:t>：申请此类商标时，必须满足严格的表示要求。例如，声音商标需要提交五线谱或波形图，并附上详细的文字说明，证明其已通过使用获得了显著性。</w:t>
      </w:r>
    </w:p>
    <w:sectPr>
      <w:footerReference r:id="rId3" w:type="default"/>
      <w:pgSz w:w="11906" w:h="16838"/>
      <w:pgMar w:top="2098" w:right="1474" w:bottom="1984" w:left="1587" w:header="851" w:footer="992" w:gutter="0"/>
      <w:paperSrc/>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Segoe UI">
    <w:panose1 w:val="020B0502040204020203"/>
    <w:charset w:val="00"/>
    <w:family w:val="auto"/>
    <w:pitch w:val="default"/>
    <w:sig w:usb0="E4002EFF" w:usb1="C000E47F"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5"/>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B81134"/>
    <w:rsid w:val="00824069"/>
    <w:rsid w:val="00A305D6"/>
    <w:rsid w:val="00C66411"/>
    <w:rsid w:val="00DD0CE6"/>
    <w:rsid w:val="00E60A9C"/>
    <w:rsid w:val="01192C1F"/>
    <w:rsid w:val="02535CBD"/>
    <w:rsid w:val="030D0562"/>
    <w:rsid w:val="0449381C"/>
    <w:rsid w:val="04CD15D4"/>
    <w:rsid w:val="062E2CC9"/>
    <w:rsid w:val="06367DD0"/>
    <w:rsid w:val="06EC048E"/>
    <w:rsid w:val="07740BAF"/>
    <w:rsid w:val="07852DBD"/>
    <w:rsid w:val="0808579C"/>
    <w:rsid w:val="093C5705"/>
    <w:rsid w:val="0A7D7D7B"/>
    <w:rsid w:val="0B7C44D7"/>
    <w:rsid w:val="0DAE2941"/>
    <w:rsid w:val="0E56100F"/>
    <w:rsid w:val="0E9B2EC6"/>
    <w:rsid w:val="0F735BF1"/>
    <w:rsid w:val="0FC14BAE"/>
    <w:rsid w:val="129640D0"/>
    <w:rsid w:val="138403CC"/>
    <w:rsid w:val="138E2FF9"/>
    <w:rsid w:val="1763479D"/>
    <w:rsid w:val="183B1275"/>
    <w:rsid w:val="19831126"/>
    <w:rsid w:val="19BD4EF1"/>
    <w:rsid w:val="1A240213"/>
    <w:rsid w:val="1A2E1092"/>
    <w:rsid w:val="1B2E6E70"/>
    <w:rsid w:val="1B300E3A"/>
    <w:rsid w:val="1B5A4D31"/>
    <w:rsid w:val="1BA64C58"/>
    <w:rsid w:val="1BEC2FB3"/>
    <w:rsid w:val="1C3861F8"/>
    <w:rsid w:val="1C9D42AD"/>
    <w:rsid w:val="1D350989"/>
    <w:rsid w:val="1E950902"/>
    <w:rsid w:val="1EBD4792"/>
    <w:rsid w:val="1F43738D"/>
    <w:rsid w:val="1F8D46DC"/>
    <w:rsid w:val="206E043A"/>
    <w:rsid w:val="20CE712B"/>
    <w:rsid w:val="20EE3329"/>
    <w:rsid w:val="22001566"/>
    <w:rsid w:val="222D7E81"/>
    <w:rsid w:val="224C47AB"/>
    <w:rsid w:val="22676060"/>
    <w:rsid w:val="23B75C54"/>
    <w:rsid w:val="2426102C"/>
    <w:rsid w:val="254259F1"/>
    <w:rsid w:val="25445C0D"/>
    <w:rsid w:val="25695674"/>
    <w:rsid w:val="25BC1C48"/>
    <w:rsid w:val="27F356C9"/>
    <w:rsid w:val="28EF7C3E"/>
    <w:rsid w:val="29475CCC"/>
    <w:rsid w:val="298567F4"/>
    <w:rsid w:val="2D461466"/>
    <w:rsid w:val="2DD36202"/>
    <w:rsid w:val="2E3D769E"/>
    <w:rsid w:val="2EBB3892"/>
    <w:rsid w:val="2EC41B6D"/>
    <w:rsid w:val="2F3E36CD"/>
    <w:rsid w:val="2F416D1A"/>
    <w:rsid w:val="3002294D"/>
    <w:rsid w:val="31172428"/>
    <w:rsid w:val="32B36180"/>
    <w:rsid w:val="351F7AFD"/>
    <w:rsid w:val="35DD4ABB"/>
    <w:rsid w:val="36FA2D1B"/>
    <w:rsid w:val="37985945"/>
    <w:rsid w:val="37F35CB8"/>
    <w:rsid w:val="38B92017"/>
    <w:rsid w:val="3A0D261A"/>
    <w:rsid w:val="3A5E4C24"/>
    <w:rsid w:val="3AEB48FC"/>
    <w:rsid w:val="3AF61300"/>
    <w:rsid w:val="3CAB7EC8"/>
    <w:rsid w:val="3D3D3A3E"/>
    <w:rsid w:val="3E1026D9"/>
    <w:rsid w:val="3E46434D"/>
    <w:rsid w:val="3EC534C3"/>
    <w:rsid w:val="3ECD1BDB"/>
    <w:rsid w:val="42497F67"/>
    <w:rsid w:val="45BA2FF6"/>
    <w:rsid w:val="4642364B"/>
    <w:rsid w:val="46F801AE"/>
    <w:rsid w:val="47685334"/>
    <w:rsid w:val="47857C94"/>
    <w:rsid w:val="481E1E96"/>
    <w:rsid w:val="49F3145E"/>
    <w:rsid w:val="4A842484"/>
    <w:rsid w:val="4B552AA6"/>
    <w:rsid w:val="4B5D4A84"/>
    <w:rsid w:val="4B6E6C91"/>
    <w:rsid w:val="4B8464B4"/>
    <w:rsid w:val="4CBD1C7E"/>
    <w:rsid w:val="4CF80F08"/>
    <w:rsid w:val="4E557C94"/>
    <w:rsid w:val="4EB946C7"/>
    <w:rsid w:val="4EC04413"/>
    <w:rsid w:val="4ED96B17"/>
    <w:rsid w:val="50482D76"/>
    <w:rsid w:val="52E00474"/>
    <w:rsid w:val="530D4FE1"/>
    <w:rsid w:val="538232D9"/>
    <w:rsid w:val="53A2397B"/>
    <w:rsid w:val="53F32429"/>
    <w:rsid w:val="549A4B99"/>
    <w:rsid w:val="54BF0FE9"/>
    <w:rsid w:val="54F41FB5"/>
    <w:rsid w:val="55793B02"/>
    <w:rsid w:val="56327239"/>
    <w:rsid w:val="572F5526"/>
    <w:rsid w:val="5B885CC8"/>
    <w:rsid w:val="5CC46711"/>
    <w:rsid w:val="5E167440"/>
    <w:rsid w:val="5E47584B"/>
    <w:rsid w:val="5E783C56"/>
    <w:rsid w:val="5EAB44EB"/>
    <w:rsid w:val="5F0E6369"/>
    <w:rsid w:val="60AA0313"/>
    <w:rsid w:val="60D77DE2"/>
    <w:rsid w:val="61135EB8"/>
    <w:rsid w:val="61CA2A1B"/>
    <w:rsid w:val="62214605"/>
    <w:rsid w:val="624E484C"/>
    <w:rsid w:val="634265E1"/>
    <w:rsid w:val="635D166D"/>
    <w:rsid w:val="65B31A18"/>
    <w:rsid w:val="65F432E5"/>
    <w:rsid w:val="65F52031"/>
    <w:rsid w:val="663743F7"/>
    <w:rsid w:val="664663E8"/>
    <w:rsid w:val="66F422E8"/>
    <w:rsid w:val="66F66060"/>
    <w:rsid w:val="699D0A15"/>
    <w:rsid w:val="6A2353BE"/>
    <w:rsid w:val="6A5E63F6"/>
    <w:rsid w:val="6AAF6C52"/>
    <w:rsid w:val="6AED777A"/>
    <w:rsid w:val="6B910106"/>
    <w:rsid w:val="6BB81134"/>
    <w:rsid w:val="6BEE37AA"/>
    <w:rsid w:val="6C164AAF"/>
    <w:rsid w:val="6C936C27"/>
    <w:rsid w:val="6D396CA7"/>
    <w:rsid w:val="6E3B25AB"/>
    <w:rsid w:val="6E881C94"/>
    <w:rsid w:val="6ED053E9"/>
    <w:rsid w:val="6EDE7F5A"/>
    <w:rsid w:val="6F9B1553"/>
    <w:rsid w:val="70F03B20"/>
    <w:rsid w:val="70F21646"/>
    <w:rsid w:val="711F4406"/>
    <w:rsid w:val="722D3F11"/>
    <w:rsid w:val="73E262DD"/>
    <w:rsid w:val="754937FF"/>
    <w:rsid w:val="754E350B"/>
    <w:rsid w:val="76472434"/>
    <w:rsid w:val="76E77774"/>
    <w:rsid w:val="78212811"/>
    <w:rsid w:val="7879089F"/>
    <w:rsid w:val="7961380D"/>
    <w:rsid w:val="79C1605A"/>
    <w:rsid w:val="7BE67FFA"/>
    <w:rsid w:val="7C246D74"/>
    <w:rsid w:val="7DB87774"/>
    <w:rsid w:val="7DCB394B"/>
    <w:rsid w:val="7F3E3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qFormat/>
    <w:uiPriority w:val="9"/>
    <w:pPr>
      <w:keepNext/>
      <w:keepLines/>
      <w:spacing w:before="260" w:after="260" w:line="413" w:lineRule="auto"/>
      <w:outlineLvl w:val="1"/>
    </w:pPr>
    <w:rPr>
      <w:rFonts w:ascii="Arial" w:hAnsi="Arial" w:eastAsia="黑体" w:cs="Times New Roman"/>
      <w:b/>
      <w:sz w:val="32"/>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paragraph" w:styleId="4">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szCs w:val="24"/>
    </w:rPr>
  </w:style>
  <w:style w:type="character" w:default="1" w:styleId="9">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5">
    <w:name w:val="footer"/>
    <w:basedOn w:val="1"/>
    <w:link w:val="13"/>
    <w:uiPriority w:val="0"/>
    <w:pPr>
      <w:tabs>
        <w:tab w:val="center" w:pos="4153"/>
        <w:tab w:val="right" w:pos="8306"/>
      </w:tabs>
      <w:snapToGrid w:val="0"/>
      <w:jc w:val="left"/>
    </w:pPr>
    <w:rPr>
      <w:sz w:val="18"/>
      <w:szCs w:val="18"/>
    </w:rPr>
  </w:style>
  <w:style w:type="paragraph" w:styleId="6">
    <w:name w:val="header"/>
    <w:basedOn w:val="1"/>
    <w:link w:val="12"/>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rPr>
      <w:sz w:val="24"/>
    </w:rPr>
  </w:style>
  <w:style w:type="character" w:styleId="10">
    <w:name w:val="Strong"/>
    <w:basedOn w:val="9"/>
    <w:qFormat/>
    <w:uiPriority w:val="0"/>
    <w:rPr>
      <w:b/>
    </w:rPr>
  </w:style>
  <w:style w:type="character" w:styleId="11">
    <w:name w:val="Hyperlink"/>
    <w:basedOn w:val="9"/>
    <w:qFormat/>
    <w:uiPriority w:val="0"/>
    <w:rPr>
      <w:color w:val="0000FF"/>
      <w:u w:val="single"/>
    </w:rPr>
  </w:style>
  <w:style w:type="character" w:customStyle="1" w:styleId="12">
    <w:name w:val="页眉 Char"/>
    <w:basedOn w:val="9"/>
    <w:link w:val="6"/>
    <w:uiPriority w:val="0"/>
    <w:rPr>
      <w:rFonts w:asciiTheme="minorHAnsi" w:hAnsiTheme="minorHAnsi" w:eastAsiaTheme="minorEastAsia" w:cstheme="minorBidi"/>
      <w:kern w:val="2"/>
      <w:sz w:val="18"/>
      <w:szCs w:val="18"/>
    </w:rPr>
  </w:style>
  <w:style w:type="character" w:customStyle="1" w:styleId="13">
    <w:name w:val="页脚 Char"/>
    <w:basedOn w:val="9"/>
    <w:link w:val="5"/>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1494</Words>
  <Characters>8522</Characters>
  <Lines>71</Lines>
  <Paragraphs>19</Paragraphs>
  <TotalTime>7</TotalTime>
  <ScaleCrop>false</ScaleCrop>
  <LinksUpToDate>false</LinksUpToDate>
  <CharactersWithSpaces>9997</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2025-08-28T08:30:00Z</dcterms:created>
  <dc:creator>A茉草</dc:creator>
  <cp:lastModifiedBy>李小白</cp:lastModifiedBy>
  <dcterms:modified xsi:type="dcterms:W3CDTF">2025-10-14T01:44:07Z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B7222EA71A044DC4B1545CA3C8D5F762_11</vt:lpwstr>
  </property>
  <property fmtid="{D5CDD505-2E9C-101B-9397-08002B2CF9AE}" pid="4" name="KSOTemplateDocerSaveRecord">
    <vt:lpwstr>eyJoZGlkIjoiYTljZmJlMTY2MWZhYzUwY2RhNmUzYzg5MTQxZTkxYWYiLCJ1c2VySWQiOiI5NzM5OTg4NjcifQ==</vt:lpwstr>
  </property>
</Properties>
</file>