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  <w:t>淄川区地方金融监督管理局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黑体"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2019年政府信息公开工作年度报告</w:t>
      </w:r>
    </w:p>
    <w:bookmarkEnd w:id="0"/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黑体"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8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2019年区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地方金融监督管理局以习近平新时代中国特色社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会主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义思想为指导，认真贯彻《条例》及省、市、区关于推进政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务公开工作的部署要求和文件精神，高度重视政府信息公开工作，通过加强领导、落实责任，全年政府信息公开力度和公开实效性增强，信息公开内容重点突出，为各项工作开展发挥了积极作用。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一是政府信息公开的组织领导情况。我局政务公开工作领导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小组充分发挥职能作用，牵头抓好督促、协调、落实工作。通过召开领导小组会议等方式，专题研究推进政务公开。印发了局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关《2019年政务公开工作实施方案》和《关于进一步加强政务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开工作的通知》，就加强政策解读、主动公开等方面提出了明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要求。二是主动公开政府信息情况。2019年，主动公开政府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26条。公开途径：通过政府网站公开信息22条，手机大众网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开信息1条，淄川手机台公开信息1条，淄川工作公开信息1条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淄川新闻公开信息1条。公开类别：业务工作类15条，统计数据类1条，规划计划类1条，机构职能类4条，政策法规类3条，政府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息公开年报1条，政府信息公开指南1条。三是依申请公开信息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况。我局2019年无依申请公开信息情况。四是政府信息管理情况。我局建立了政务信息公开日常管理机制、信息发布保密审查机制和责任追究机制，对机构职能、政策文件、规划计划、财务预决算、日常信息动态和重点领域信息公开等内容的发布、更新、整理及相关责任进行了明确，确保政务信息公开工作准确、及时、高效。五是平台建设情况。1、政府网站。市民通过区政府门户网站的“政府信息公开”栏目可查看我单位主动公开的政府信息。2、信息查阅室。我局综合科是我单位信息查阅室及资料索取点，该科室明确一名工作人员为群众查阅信息服务。3、其他平台。我单位通过《淄川工作》、《淄川手机台》等平台，及时公开需要社会公众广泛知晓的信息。六是监督保障。为使政府信息公开工作落到实处，我单位通过投诉电话、电子邮箱等方式，广泛听取社会各界的意见和要求，充分发挥社会监督的作用，并积极接受区政府的检查督导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482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p>
      <w:pPr>
        <w:widowControl/>
        <w:shd w:val="clear" w:color="auto" w:fill="FFFFFF"/>
        <w:spacing w:line="560" w:lineRule="exact"/>
        <w:rPr>
          <w:rFonts w:ascii="Times New Roman" w:hAnsi="Times New Roman" w:eastAsia="黑体"/>
          <w:bCs/>
          <w:kern w:val="0"/>
          <w:sz w:val="32"/>
          <w:szCs w:val="32"/>
        </w:rPr>
      </w:pP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48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numPr>
          <w:ilvl w:val="0"/>
          <w:numId w:val="2"/>
        </w:numPr>
        <w:shd w:val="clear" w:color="auto" w:fill="FFFFFF"/>
        <w:ind w:firstLine="48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政府信息公开行政复议、行政诉讼情况</w:t>
      </w:r>
    </w:p>
    <w:p>
      <w:pPr>
        <w:widowControl/>
        <w:shd w:val="clear" w:color="auto" w:fill="FFFFFF"/>
        <w:rPr>
          <w:rFonts w:ascii="Times New Roman" w:hAnsi="Times New Roman" w:eastAsia="黑体"/>
          <w:bCs/>
          <w:kern w:val="0"/>
          <w:sz w:val="32"/>
          <w:szCs w:val="32"/>
        </w:rPr>
      </w:pP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是部分政府信息公开的时效性不强；二是政府信息公开制度有待完善。下一步，我局将做好以下工作：一是及时发布政府信息，确保信息时效性；二是健全完善政府信息公开相关工作制度，并严格按照制度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/>
          <w:kern w:val="0"/>
          <w:sz w:val="32"/>
          <w:szCs w:val="32"/>
        </w:rPr>
      </w:pPr>
      <w:r>
        <w:rPr>
          <w:rFonts w:hint="eastAsia" w:ascii="Times New Roman" w:hAnsi="Times New Roman" w:eastAsia="方正仿宋简体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/>
          <w:sz w:val="32"/>
          <w:szCs w:val="32"/>
        </w:rPr>
      </w:pPr>
    </w:p>
    <w:p>
      <w:pPr>
        <w:pStyle w:val="7"/>
        <w:rPr>
          <w:rFonts w:ascii="Times New Roman" w:hAnsi="Times New Roman" w:cs="Times New Roman"/>
          <w:color w:val="auto"/>
        </w:rPr>
      </w:pPr>
    </w:p>
    <w:p/>
    <w:sectPr>
      <w:footerReference r:id="rId3" w:type="default"/>
      <w:pgSz w:w="11907" w:h="16840"/>
      <w:pgMar w:top="2098" w:right="1474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9F83E"/>
    <w:multiLevelType w:val="singleLevel"/>
    <w:tmpl w:val="9979F8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6B5B65"/>
    <w:multiLevelType w:val="singleLevel"/>
    <w:tmpl w:val="2B6B5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A08F3"/>
    <w:rsid w:val="28CA0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2020-06-24T07:14:00Z</dcterms:created>
  <dc:creator>007</dc:creator>
  <cp:lastModifiedBy>007</cp:lastModifiedBy>
  <dcterms:modified xsi:type="dcterms:W3CDTF">2020-06-24T07:14:37Z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