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</w:rPr>
        <w:t>淄川区</w:t>
      </w:r>
      <w:r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  <w:lang w:eastAsia="zh-CN"/>
        </w:rPr>
        <w:t>寨里</w:t>
      </w:r>
      <w:r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</w:rPr>
        <w:t>镇人民政府</w:t>
      </w:r>
    </w:p>
    <w:p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bCs/>
          <w:kern w:val="0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</w:rPr>
        <w:t>2020年政府信息公开工作年度报告</w:t>
      </w:r>
    </w:p>
    <w:p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82"/>
        <w:jc w:val="both"/>
        <w:textAlignment w:val="auto"/>
        <w:rPr>
          <w:rFonts w:hint="eastAsia" w:ascii="仿宋_GB2312" w:hAnsi="仿宋_GB2312" w:eastAsia="仿宋_GB2312" w:cs="仿宋_GB2312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根据《中华人民共和国政府信息公开条例》，特向社会公布淄川区寨里镇人民政府2020年政府信息公开工作年度报告。本报告由总体情况、主动公开政府信息情况、收到和处理政府信息公开申请情况、政府信息公开行政复议和行政诉讼情况、存在的主要问题及改进情况、其他需要报告的事项组成。本报告中所列数据的统计期限自2020年1月1日起至2020年12月31日止。</w:t>
      </w:r>
    </w:p>
    <w:p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ascii="Times New Roman" w:hAnsi="Times New Roman" w:eastAsia="黑体"/>
          <w:kern w:val="0"/>
          <w:sz w:val="32"/>
          <w:szCs w:val="32"/>
        </w:rPr>
      </w:pPr>
      <w:r>
        <w:rPr>
          <w:rFonts w:ascii="Times New Roman" w:hAnsi="Times New Roman" w:eastAsia="黑体"/>
          <w:bCs/>
          <w:kern w:val="0"/>
          <w:sz w:val="32"/>
          <w:szCs w:val="32"/>
        </w:rPr>
        <w:t>一、总体情况</w:t>
      </w:r>
      <w:bookmarkStart w:id="0" w:name="_GoBack"/>
      <w:bookmarkEnd w:id="0"/>
    </w:p>
    <w:p>
      <w:pPr>
        <w:pStyle w:val="8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firstLine="640" w:firstLineChars="200"/>
        <w:jc w:val="both"/>
        <w:textAlignment w:val="auto"/>
        <w:rPr>
          <w:rFonts w:hint="eastAsia" w:ascii="仿宋" w:hAnsi="仿宋" w:eastAsia="仿宋" w:cs="仿宋"/>
          <w:color w:val="000000"/>
          <w:sz w:val="32"/>
          <w:szCs w:val="32"/>
          <w:shd w:val="clear" w:fill="FFFFFF"/>
          <w:lang w:val="en-US" w:eastAsia="zh-CN"/>
        </w:rPr>
      </w:pPr>
      <w:r>
        <w:rPr>
          <w:rFonts w:hint="default" w:ascii="Times New Roman" w:hAnsi="Times New Roman" w:eastAsia="仿宋_GB2312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2020年，我镇党委、政府高度重视政务公开工作，指定专人具体负责政务公开内容维护、组织协调等日常工作，确保信息公开发布全面、及时、准确，严格按照《中华人民共和国信息公开条例》规定的主动公开信息范围发布或更新信息。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shd w:val="clear" w:fill="FFFFFF"/>
        </w:rPr>
        <w:t>2020年， 我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shd w:val="clear" w:fill="FFFFFF"/>
          <w:lang w:eastAsia="zh-CN"/>
        </w:rPr>
        <w:t>镇</w:t>
      </w:r>
      <w:r>
        <w:rPr>
          <w:rFonts w:hint="default" w:ascii="Times New Roman" w:hAnsi="Times New Roman" w:eastAsia="仿宋_GB2312" w:cs="Times New Roman"/>
          <w:color w:val="333333"/>
          <w:sz w:val="32"/>
          <w:szCs w:val="32"/>
          <w:shd w:val="clear" w:fill="FFFFFF"/>
          <w:lang w:eastAsia="zh-CN"/>
        </w:rPr>
        <w:t>严格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shd w:val="clear" w:fill="FFFFFF"/>
        </w:rPr>
        <w:t>按照区委、区政府政务公开的要求，扎实做好各类信息的公开工作，及时更新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shd w:val="clear" w:fill="FFFFFF"/>
          <w:lang w:eastAsia="zh-CN"/>
        </w:rPr>
        <w:t>政府信息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shd w:val="clear" w:fill="FFFFFF"/>
        </w:rPr>
        <w:t>、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shd w:val="clear" w:fill="FFFFFF"/>
          <w:lang w:val="en-US" w:eastAsia="zh-CN"/>
        </w:rPr>
        <w:t>机构设置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shd w:val="clear" w:fill="FFFFFF"/>
        </w:rPr>
        <w:t>、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shd w:val="clear" w:fill="FFFFFF"/>
          <w:lang w:val="en-US" w:eastAsia="zh-CN"/>
        </w:rPr>
        <w:t>财政资金</w:t>
      </w:r>
      <w:r>
        <w:rPr>
          <w:rFonts w:hint="default" w:ascii="Times New Roman" w:hAnsi="Times New Roman" w:eastAsia="仿宋_GB2312" w:cs="Times New Roman"/>
          <w:color w:val="000000"/>
          <w:sz w:val="32"/>
          <w:szCs w:val="32"/>
          <w:shd w:val="clear" w:fill="FFFFFF"/>
        </w:rPr>
        <w:t>等相关情况，主动公开政府文件，实时发布民生工程、政府动态信息。</w:t>
      </w:r>
      <w:r>
        <w:rPr>
          <w:rFonts w:hint="eastAsia" w:ascii="仿宋" w:hAnsi="仿宋" w:eastAsia="仿宋" w:cs="仿宋"/>
          <w:sz w:val="32"/>
          <w:szCs w:val="32"/>
        </w:rPr>
        <w:t>2020年办理人大、政协建议提案2件，均圆满答复。全年未收到依申请公开事项。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ascii="Times New Roman" w:hAnsi="Times New Roman" w:eastAsia="黑体"/>
          <w:bCs/>
          <w:kern w:val="0"/>
          <w:sz w:val="32"/>
          <w:szCs w:val="32"/>
        </w:rPr>
      </w:pPr>
      <w:r>
        <w:rPr>
          <w:rFonts w:hint="eastAsia" w:ascii="Times New Roman" w:hAnsi="Times New Roman" w:eastAsia="黑体"/>
          <w:bCs/>
          <w:kern w:val="0"/>
          <w:sz w:val="32"/>
          <w:szCs w:val="32"/>
          <w:lang w:eastAsia="zh-CN"/>
        </w:rPr>
        <w:t>二、</w:t>
      </w:r>
      <w:r>
        <w:rPr>
          <w:rFonts w:ascii="Times New Roman" w:hAnsi="Times New Roman" w:eastAsia="黑体"/>
          <w:bCs/>
          <w:kern w:val="0"/>
          <w:sz w:val="32"/>
          <w:szCs w:val="32"/>
        </w:rPr>
        <w:t>主动公开政府信息情况</w:t>
      </w:r>
    </w:p>
    <w:tbl>
      <w:tblPr>
        <w:tblStyle w:val="10"/>
        <w:tblW w:w="90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66"/>
        <w:gridCol w:w="1957"/>
        <w:gridCol w:w="2001"/>
        <w:gridCol w:w="219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3" w:hRule="atLeast"/>
          <w:jc w:val="center"/>
        </w:trPr>
        <w:tc>
          <w:tcPr>
            <w:tcW w:w="9147" w:type="dxa"/>
            <w:gridSpan w:val="4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第二十条第（一）项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0" w:hRule="atLeast"/>
          <w:jc w:val="center"/>
        </w:trPr>
        <w:tc>
          <w:tcPr>
            <w:tcW w:w="2910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信息内容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本年新制作数量</w:t>
            </w:r>
          </w:p>
        </w:tc>
        <w:tc>
          <w:tcPr>
            <w:tcW w:w="2030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本年新</w:t>
            </w:r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公开数量</w:t>
            </w:r>
          </w:p>
        </w:tc>
        <w:tc>
          <w:tcPr>
            <w:tcW w:w="2222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对外公开</w:t>
            </w:r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总数量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8" w:hRule="atLeast"/>
          <w:jc w:val="center"/>
        </w:trPr>
        <w:tc>
          <w:tcPr>
            <w:tcW w:w="2910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规章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2030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2222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3" w:hRule="atLeast"/>
          <w:jc w:val="center"/>
        </w:trPr>
        <w:tc>
          <w:tcPr>
            <w:tcW w:w="2910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规范性文件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2030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2222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9" w:hRule="atLeast"/>
          <w:jc w:val="center"/>
        </w:trPr>
        <w:tc>
          <w:tcPr>
            <w:tcW w:w="9147" w:type="dxa"/>
            <w:gridSpan w:val="4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第二十条第（五）项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3" w:hRule="atLeast"/>
          <w:jc w:val="center"/>
        </w:trPr>
        <w:tc>
          <w:tcPr>
            <w:tcW w:w="2910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信息内容</w:t>
            </w:r>
          </w:p>
        </w:tc>
        <w:tc>
          <w:tcPr>
            <w:tcW w:w="1985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上一年项目数量</w:t>
            </w:r>
          </w:p>
        </w:tc>
        <w:tc>
          <w:tcPr>
            <w:tcW w:w="2030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本年增/减</w:t>
            </w:r>
          </w:p>
        </w:tc>
        <w:tc>
          <w:tcPr>
            <w:tcW w:w="2222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处理决定数量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  <w:jc w:val="center"/>
        </w:trPr>
        <w:tc>
          <w:tcPr>
            <w:tcW w:w="2910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行政许可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2030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2222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6" w:hRule="atLeast"/>
          <w:jc w:val="center"/>
        </w:trPr>
        <w:tc>
          <w:tcPr>
            <w:tcW w:w="2910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其他对外管理服务事项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2030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2222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8" w:hRule="atLeast"/>
          <w:jc w:val="center"/>
        </w:trPr>
        <w:tc>
          <w:tcPr>
            <w:tcW w:w="9147" w:type="dxa"/>
            <w:gridSpan w:val="4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第二十条第（六）项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1" w:hRule="atLeast"/>
          <w:jc w:val="center"/>
        </w:trPr>
        <w:tc>
          <w:tcPr>
            <w:tcW w:w="2910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信息内容</w:t>
            </w:r>
          </w:p>
        </w:tc>
        <w:tc>
          <w:tcPr>
            <w:tcW w:w="1985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上一年项目数量</w:t>
            </w:r>
          </w:p>
        </w:tc>
        <w:tc>
          <w:tcPr>
            <w:tcW w:w="2030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本年增/减</w:t>
            </w:r>
          </w:p>
        </w:tc>
        <w:tc>
          <w:tcPr>
            <w:tcW w:w="2222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处理决定数量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2910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行政处罚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2030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2222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9" w:hRule="atLeast"/>
          <w:jc w:val="center"/>
        </w:trPr>
        <w:tc>
          <w:tcPr>
            <w:tcW w:w="2910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行政强制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2030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2222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1" w:hRule="atLeast"/>
          <w:jc w:val="center"/>
        </w:trPr>
        <w:tc>
          <w:tcPr>
            <w:tcW w:w="9147" w:type="dxa"/>
            <w:gridSpan w:val="4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第二十条第（八）项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7" w:hRule="atLeast"/>
          <w:jc w:val="center"/>
        </w:trPr>
        <w:tc>
          <w:tcPr>
            <w:tcW w:w="2910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信息内容</w:t>
            </w:r>
          </w:p>
        </w:tc>
        <w:tc>
          <w:tcPr>
            <w:tcW w:w="1985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上一年项目数量</w:t>
            </w:r>
          </w:p>
        </w:tc>
        <w:tc>
          <w:tcPr>
            <w:tcW w:w="4252" w:type="dxa"/>
            <w:gridSpan w:val="2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本年增/减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7" w:hRule="atLeast"/>
          <w:jc w:val="center"/>
        </w:trPr>
        <w:tc>
          <w:tcPr>
            <w:tcW w:w="2910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行政事业性收费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4252" w:type="dxa"/>
            <w:gridSpan w:val="2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7" w:hRule="atLeast"/>
          <w:jc w:val="center"/>
        </w:trPr>
        <w:tc>
          <w:tcPr>
            <w:tcW w:w="9147" w:type="dxa"/>
            <w:gridSpan w:val="4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第二十条第（九）项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8" w:hRule="atLeast"/>
          <w:jc w:val="center"/>
        </w:trPr>
        <w:tc>
          <w:tcPr>
            <w:tcW w:w="2910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信息内容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采购项目数量</w:t>
            </w:r>
          </w:p>
        </w:tc>
        <w:tc>
          <w:tcPr>
            <w:tcW w:w="4252" w:type="dxa"/>
            <w:gridSpan w:val="2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采购总金额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  <w:jc w:val="center"/>
        </w:trPr>
        <w:tc>
          <w:tcPr>
            <w:tcW w:w="2910" w:type="dxa"/>
            <w:vAlign w:val="center"/>
          </w:tcPr>
          <w:p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政府集中采购</w:t>
            </w:r>
          </w:p>
        </w:tc>
        <w:tc>
          <w:tcPr>
            <w:tcW w:w="1985" w:type="dxa"/>
            <w:vAlign w:val="center"/>
          </w:tcPr>
          <w:p>
            <w:pPr>
              <w:jc w:val="center"/>
              <w:rPr>
                <w:rFonts w:hint="eastAsia" w:eastAsia="宋体"/>
                <w:sz w:val="24"/>
                <w:szCs w:val="24"/>
                <w:lang w:val="en-US" w:eastAsia="zh-CN"/>
              </w:rPr>
            </w:pPr>
          </w:p>
        </w:tc>
        <w:tc>
          <w:tcPr>
            <w:tcW w:w="4252" w:type="dxa"/>
            <w:gridSpan w:val="2"/>
            <w:vAlign w:val="center"/>
          </w:tcPr>
          <w:p>
            <w:pPr>
              <w:jc w:val="center"/>
              <w:rPr>
                <w:rFonts w:hint="default" w:eastAsia="宋体"/>
                <w:sz w:val="24"/>
                <w:szCs w:val="24"/>
                <w:lang w:val="en-US" w:eastAsia="zh-CN"/>
              </w:rPr>
            </w:pPr>
          </w:p>
        </w:tc>
      </w:tr>
    </w:tbl>
    <w:p>
      <w:pPr>
        <w:widowControl/>
        <w:shd w:val="clear" w:color="auto" w:fill="FFFFFF"/>
        <w:spacing w:after="240" w:line="560" w:lineRule="exact"/>
        <w:ind w:firstLine="640" w:firstLineChars="200"/>
        <w:rPr>
          <w:rFonts w:ascii="Times New Roman" w:hAnsi="Times New Roman" w:eastAsia="黑体"/>
          <w:kern w:val="0"/>
          <w:sz w:val="32"/>
          <w:szCs w:val="32"/>
        </w:rPr>
      </w:pPr>
      <w:r>
        <w:rPr>
          <w:rFonts w:ascii="Times New Roman" w:hAnsi="Times New Roman" w:eastAsia="黑体"/>
          <w:bCs/>
          <w:kern w:val="0"/>
          <w:sz w:val="32"/>
          <w:szCs w:val="32"/>
        </w:rPr>
        <w:t>三、收到和处理政府信息公开申请情况</w:t>
      </w:r>
    </w:p>
    <w:tbl>
      <w:tblPr>
        <w:tblStyle w:val="10"/>
        <w:tblW w:w="90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58"/>
        <w:gridCol w:w="1527"/>
        <w:gridCol w:w="2632"/>
        <w:gridCol w:w="559"/>
        <w:gridCol w:w="530"/>
        <w:gridCol w:w="559"/>
        <w:gridCol w:w="697"/>
        <w:gridCol w:w="697"/>
        <w:gridCol w:w="559"/>
        <w:gridCol w:w="69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  <w:jc w:val="center"/>
        </w:trPr>
        <w:tc>
          <w:tcPr>
            <w:tcW w:w="4820" w:type="dxa"/>
            <w:gridSpan w:val="3"/>
            <w:vMerge w:val="restart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（本列数据的勾稽关系为：第一项加第二项之和，等于第三项加第四项之和）</w:t>
            </w:r>
          </w:p>
        </w:tc>
        <w:tc>
          <w:tcPr>
            <w:tcW w:w="4365" w:type="dxa"/>
            <w:gridSpan w:val="7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申请人情况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  <w:jc w:val="center"/>
        </w:trPr>
        <w:tc>
          <w:tcPr>
            <w:tcW w:w="4820" w:type="dxa"/>
            <w:gridSpan w:val="3"/>
            <w:vMerge w:val="continue"/>
            <w:vAlign w:val="center"/>
          </w:tcPr>
          <w:p>
            <w:pPr>
              <w:jc w:val="center"/>
            </w:pPr>
          </w:p>
        </w:tc>
        <w:tc>
          <w:tcPr>
            <w:tcW w:w="567" w:type="dxa"/>
            <w:vMerge w:val="restart"/>
            <w:vAlign w:val="center"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Cs w:val="21"/>
              </w:rPr>
              <w:t>自然人</w:t>
            </w:r>
          </w:p>
        </w:tc>
        <w:tc>
          <w:tcPr>
            <w:tcW w:w="3090" w:type="dxa"/>
            <w:gridSpan w:val="5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法人或其他组织</w:t>
            </w:r>
          </w:p>
        </w:tc>
        <w:tc>
          <w:tcPr>
            <w:tcW w:w="708" w:type="dxa"/>
            <w:vMerge w:val="restart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总计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7" w:hRule="atLeast"/>
          <w:jc w:val="center"/>
        </w:trPr>
        <w:tc>
          <w:tcPr>
            <w:tcW w:w="4820" w:type="dxa"/>
            <w:gridSpan w:val="3"/>
            <w:vMerge w:val="continue"/>
            <w:vAlign w:val="center"/>
          </w:tcPr>
          <w:p/>
        </w:tc>
        <w:tc>
          <w:tcPr>
            <w:tcW w:w="567" w:type="dxa"/>
            <w:vMerge w:val="continue"/>
            <w:vAlign w:val="center"/>
          </w:tcPr>
          <w:p>
            <w:pPr>
              <w:rPr>
                <w:sz w:val="18"/>
                <w:szCs w:val="18"/>
              </w:rPr>
            </w:pP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商业企业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科研机构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社会公益组织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法律服务机构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其他</w:t>
            </w:r>
          </w:p>
        </w:tc>
        <w:tc>
          <w:tcPr>
            <w:tcW w:w="708" w:type="dxa"/>
            <w:vMerge w:val="continue"/>
            <w:vAlign w:val="center"/>
          </w:tcPr>
          <w:p>
            <w:pPr>
              <w:rPr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4820" w:type="dxa"/>
            <w:gridSpan w:val="3"/>
            <w:vAlign w:val="center"/>
          </w:tcPr>
          <w:p>
            <w:r>
              <w:rPr>
                <w:rFonts w:hint="eastAsia"/>
              </w:rPr>
              <w:t>一、本年新收政府信息公开申请数量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4820" w:type="dxa"/>
            <w:gridSpan w:val="3"/>
            <w:vAlign w:val="center"/>
          </w:tcPr>
          <w:p>
            <w:r>
              <w:rPr>
                <w:rFonts w:hint="eastAsia"/>
              </w:rPr>
              <w:t>二、上年结转政府信息公开申请数量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Merge w:val="restart"/>
            <w:vAlign w:val="center"/>
          </w:tcPr>
          <w:p>
            <w:r>
              <w:rPr>
                <w:rFonts w:hint="eastAsia"/>
              </w:rPr>
              <w:t>三、本年度办理结果</w:t>
            </w:r>
          </w:p>
        </w:tc>
        <w:tc>
          <w:tcPr>
            <w:tcW w:w="4253" w:type="dxa"/>
            <w:gridSpan w:val="2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（一）予以公开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Merge w:val="continue"/>
            <w:vAlign w:val="center"/>
          </w:tcPr>
          <w:p/>
        </w:tc>
        <w:tc>
          <w:tcPr>
            <w:tcW w:w="4253" w:type="dxa"/>
            <w:gridSpan w:val="2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（二）部分公开（区分处理的，只计这一情形，不计其他情形）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Merge w:val="continue"/>
            <w:vAlign w:val="center"/>
          </w:tcPr>
          <w:p/>
        </w:tc>
        <w:tc>
          <w:tcPr>
            <w:tcW w:w="1560" w:type="dxa"/>
            <w:vMerge w:val="restart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（三）不予公开</w:t>
            </w:r>
          </w:p>
        </w:tc>
        <w:tc>
          <w:tcPr>
            <w:tcW w:w="2693" w:type="dxa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asciiTheme="minorEastAsia" w:hAnsiTheme="minorEastAsia"/>
                <w:sz w:val="18"/>
                <w:szCs w:val="18"/>
              </w:rPr>
              <w:t>1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．属于国家秘密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Merge w:val="continue"/>
            <w:vAlign w:val="center"/>
          </w:tcPr>
          <w:p/>
        </w:tc>
        <w:tc>
          <w:tcPr>
            <w:tcW w:w="1560" w:type="dxa"/>
            <w:vMerge w:val="continue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</w:p>
        </w:tc>
        <w:tc>
          <w:tcPr>
            <w:tcW w:w="2693" w:type="dxa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2．其他法律行政法规禁止公开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Merge w:val="continue"/>
            <w:vAlign w:val="center"/>
          </w:tcPr>
          <w:p/>
        </w:tc>
        <w:tc>
          <w:tcPr>
            <w:tcW w:w="1560" w:type="dxa"/>
            <w:vMerge w:val="continue"/>
            <w:vAlign w:val="center"/>
          </w:tcPr>
          <w:p>
            <w:pPr>
              <w:rPr>
                <w:sz w:val="18"/>
                <w:szCs w:val="18"/>
              </w:rPr>
            </w:pPr>
          </w:p>
        </w:tc>
        <w:tc>
          <w:tcPr>
            <w:tcW w:w="2693" w:type="dxa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3．危及“三安全一稳定”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Merge w:val="continue"/>
            <w:vAlign w:val="center"/>
          </w:tcPr>
          <w:p/>
        </w:tc>
        <w:tc>
          <w:tcPr>
            <w:tcW w:w="1560" w:type="dxa"/>
            <w:vMerge w:val="continue"/>
            <w:vAlign w:val="center"/>
          </w:tcPr>
          <w:p>
            <w:pPr>
              <w:rPr>
                <w:sz w:val="18"/>
                <w:szCs w:val="18"/>
              </w:rPr>
            </w:pPr>
          </w:p>
        </w:tc>
        <w:tc>
          <w:tcPr>
            <w:tcW w:w="2693" w:type="dxa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4．保护第三方合法权益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Merge w:val="continue"/>
            <w:vAlign w:val="center"/>
          </w:tcPr>
          <w:p/>
        </w:tc>
        <w:tc>
          <w:tcPr>
            <w:tcW w:w="1560" w:type="dxa"/>
            <w:vMerge w:val="continue"/>
            <w:vAlign w:val="center"/>
          </w:tcPr>
          <w:p>
            <w:pPr>
              <w:rPr>
                <w:sz w:val="18"/>
                <w:szCs w:val="18"/>
              </w:rPr>
            </w:pPr>
          </w:p>
        </w:tc>
        <w:tc>
          <w:tcPr>
            <w:tcW w:w="2693" w:type="dxa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5．属于三类内部事务信息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Merge w:val="continue"/>
            <w:vAlign w:val="center"/>
          </w:tcPr>
          <w:p/>
        </w:tc>
        <w:tc>
          <w:tcPr>
            <w:tcW w:w="1560" w:type="dxa"/>
            <w:vMerge w:val="continue"/>
            <w:vAlign w:val="center"/>
          </w:tcPr>
          <w:p>
            <w:pPr>
              <w:rPr>
                <w:sz w:val="18"/>
                <w:szCs w:val="18"/>
              </w:rPr>
            </w:pPr>
          </w:p>
        </w:tc>
        <w:tc>
          <w:tcPr>
            <w:tcW w:w="2693" w:type="dxa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6．属于四类过程性信息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Merge w:val="continue"/>
            <w:vAlign w:val="center"/>
          </w:tcPr>
          <w:p/>
        </w:tc>
        <w:tc>
          <w:tcPr>
            <w:tcW w:w="1560" w:type="dxa"/>
            <w:vMerge w:val="continue"/>
            <w:vAlign w:val="center"/>
          </w:tcPr>
          <w:p>
            <w:pPr>
              <w:rPr>
                <w:sz w:val="18"/>
                <w:szCs w:val="18"/>
              </w:rPr>
            </w:pPr>
          </w:p>
        </w:tc>
        <w:tc>
          <w:tcPr>
            <w:tcW w:w="2693" w:type="dxa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7．属于行政执法案卷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Merge w:val="continue"/>
            <w:vAlign w:val="center"/>
          </w:tcPr>
          <w:p/>
        </w:tc>
        <w:tc>
          <w:tcPr>
            <w:tcW w:w="1560" w:type="dxa"/>
            <w:vMerge w:val="continue"/>
            <w:vAlign w:val="center"/>
          </w:tcPr>
          <w:p>
            <w:pPr>
              <w:rPr>
                <w:sz w:val="18"/>
                <w:szCs w:val="18"/>
              </w:rPr>
            </w:pPr>
          </w:p>
        </w:tc>
        <w:tc>
          <w:tcPr>
            <w:tcW w:w="2693" w:type="dxa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8．属于行政查询事项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Merge w:val="continue"/>
            <w:vAlign w:val="center"/>
          </w:tcPr>
          <w:p/>
        </w:tc>
        <w:tc>
          <w:tcPr>
            <w:tcW w:w="1560" w:type="dxa"/>
            <w:vMerge w:val="restart"/>
            <w:vAlign w:val="center"/>
          </w:tcPr>
          <w:p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（四）无法提供</w:t>
            </w:r>
          </w:p>
        </w:tc>
        <w:tc>
          <w:tcPr>
            <w:tcW w:w="2693" w:type="dxa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1．本机关不掌握相关政府信息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Merge w:val="continue"/>
            <w:vAlign w:val="center"/>
          </w:tcPr>
          <w:p/>
        </w:tc>
        <w:tc>
          <w:tcPr>
            <w:tcW w:w="1560" w:type="dxa"/>
            <w:vMerge w:val="continue"/>
            <w:vAlign w:val="center"/>
          </w:tcPr>
          <w:p>
            <w:pPr>
              <w:rPr>
                <w:sz w:val="18"/>
                <w:szCs w:val="18"/>
              </w:rPr>
            </w:pPr>
          </w:p>
        </w:tc>
        <w:tc>
          <w:tcPr>
            <w:tcW w:w="2693" w:type="dxa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2．没有现成信息需要另行制作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Merge w:val="continue"/>
            <w:vAlign w:val="center"/>
          </w:tcPr>
          <w:p/>
        </w:tc>
        <w:tc>
          <w:tcPr>
            <w:tcW w:w="1560" w:type="dxa"/>
            <w:vMerge w:val="continue"/>
            <w:vAlign w:val="center"/>
          </w:tcPr>
          <w:p>
            <w:pPr>
              <w:rPr>
                <w:sz w:val="18"/>
                <w:szCs w:val="18"/>
              </w:rPr>
            </w:pPr>
          </w:p>
        </w:tc>
        <w:tc>
          <w:tcPr>
            <w:tcW w:w="2693" w:type="dxa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3．补正后申请内容仍不明确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Merge w:val="continue"/>
            <w:vAlign w:val="center"/>
          </w:tcPr>
          <w:p/>
        </w:tc>
        <w:tc>
          <w:tcPr>
            <w:tcW w:w="1560" w:type="dxa"/>
            <w:vMerge w:val="restart"/>
            <w:vAlign w:val="center"/>
          </w:tcPr>
          <w:p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（五）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不予处理</w:t>
            </w:r>
          </w:p>
        </w:tc>
        <w:tc>
          <w:tcPr>
            <w:tcW w:w="2693" w:type="dxa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1．信访举报投诉类申请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Merge w:val="continue"/>
            <w:vAlign w:val="center"/>
          </w:tcPr>
          <w:p/>
        </w:tc>
        <w:tc>
          <w:tcPr>
            <w:tcW w:w="1560" w:type="dxa"/>
            <w:vMerge w:val="continue"/>
            <w:vAlign w:val="center"/>
          </w:tcPr>
          <w:p/>
        </w:tc>
        <w:tc>
          <w:tcPr>
            <w:tcW w:w="2693" w:type="dxa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2．重复申请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Merge w:val="continue"/>
            <w:vAlign w:val="center"/>
          </w:tcPr>
          <w:p/>
        </w:tc>
        <w:tc>
          <w:tcPr>
            <w:tcW w:w="1560" w:type="dxa"/>
            <w:vMerge w:val="continue"/>
            <w:vAlign w:val="center"/>
          </w:tcPr>
          <w:p/>
        </w:tc>
        <w:tc>
          <w:tcPr>
            <w:tcW w:w="2693" w:type="dxa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asciiTheme="minorEastAsia" w:hAnsiTheme="minorEastAsia"/>
                <w:sz w:val="18"/>
                <w:szCs w:val="18"/>
              </w:rPr>
              <w:t>3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．要求提供公开出版物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Merge w:val="continue"/>
            <w:vAlign w:val="center"/>
          </w:tcPr>
          <w:p/>
        </w:tc>
        <w:tc>
          <w:tcPr>
            <w:tcW w:w="1560" w:type="dxa"/>
            <w:vMerge w:val="continue"/>
            <w:vAlign w:val="center"/>
          </w:tcPr>
          <w:p/>
        </w:tc>
        <w:tc>
          <w:tcPr>
            <w:tcW w:w="2693" w:type="dxa"/>
            <w:vAlign w:val="center"/>
          </w:tcPr>
          <w:p>
            <w:pPr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4．无正当理由大量反复申请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Merge w:val="continue"/>
            <w:vAlign w:val="center"/>
          </w:tcPr>
          <w:p/>
        </w:tc>
        <w:tc>
          <w:tcPr>
            <w:tcW w:w="1560" w:type="dxa"/>
            <w:vMerge w:val="continue"/>
            <w:vAlign w:val="center"/>
          </w:tcPr>
          <w:p/>
        </w:tc>
        <w:tc>
          <w:tcPr>
            <w:tcW w:w="2693" w:type="dxa"/>
            <w:vAlign w:val="center"/>
          </w:tcPr>
          <w:p>
            <w:pPr>
              <w:ind w:left="180" w:hanging="180" w:hangingChars="100"/>
              <w:rPr>
                <w:rFonts w:asciiTheme="minorEastAsia" w:hAnsi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sz w:val="18"/>
                <w:szCs w:val="18"/>
              </w:rPr>
              <w:t>5．要求行政机关确认或重新出具已获取信息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Align w:val="center"/>
          </w:tcPr>
          <w:p/>
        </w:tc>
        <w:tc>
          <w:tcPr>
            <w:tcW w:w="4253" w:type="dxa"/>
            <w:gridSpan w:val="2"/>
            <w:vAlign w:val="center"/>
          </w:tcPr>
          <w:p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（六）其他处理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567" w:type="dxa"/>
            <w:vAlign w:val="center"/>
          </w:tcPr>
          <w:p/>
        </w:tc>
        <w:tc>
          <w:tcPr>
            <w:tcW w:w="4253" w:type="dxa"/>
            <w:gridSpan w:val="2"/>
            <w:vAlign w:val="center"/>
          </w:tcPr>
          <w:p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（七）总计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4820" w:type="dxa"/>
            <w:gridSpan w:val="3"/>
            <w:vAlign w:val="center"/>
          </w:tcPr>
          <w:p>
            <w:r>
              <w:rPr>
                <w:rFonts w:hint="eastAsia"/>
              </w:rPr>
              <w:t>四、结转下年度继续办理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lang w:val="en-US" w:eastAsia="zh-CN"/>
              </w:rPr>
              <w:t>0</w:t>
            </w:r>
          </w:p>
        </w:tc>
        <w:tc>
          <w:tcPr>
            <w:tcW w:w="53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9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  <w:tc>
          <w:tcPr>
            <w:tcW w:w="708" w:type="dxa"/>
            <w:vAlign w:val="center"/>
          </w:tcPr>
          <w:p>
            <w:pPr>
              <w:jc w:val="center"/>
              <w:rPr>
                <w:rFonts w:hint="eastAsia" w:ascii="楷体_GB2312" w:hAnsi="楷体_GB2312" w:eastAsia="楷体_GB2312" w:cs="楷体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楷体_GB2312" w:hAnsi="楷体_GB2312" w:eastAsia="楷体_GB2312" w:cs="楷体_GB2312"/>
                <w:szCs w:val="21"/>
                <w:lang w:val="en-US" w:eastAsia="zh-CN"/>
              </w:rPr>
              <w:t>0</w:t>
            </w:r>
          </w:p>
        </w:tc>
      </w:tr>
    </w:tbl>
    <w:p>
      <w:pPr>
        <w:widowControl/>
        <w:numPr>
          <w:ilvl w:val="0"/>
          <w:numId w:val="0"/>
        </w:numPr>
        <w:shd w:val="clear" w:color="auto" w:fill="FFFFFF"/>
        <w:ind w:firstLine="640" w:firstLineChars="200"/>
        <w:jc w:val="left"/>
        <w:rPr>
          <w:rFonts w:ascii="Times New Roman" w:hAnsi="Times New Roman" w:eastAsia="黑体"/>
          <w:bCs/>
          <w:kern w:val="0"/>
          <w:sz w:val="32"/>
          <w:szCs w:val="32"/>
        </w:rPr>
      </w:pPr>
      <w:r>
        <w:rPr>
          <w:rFonts w:hint="eastAsia" w:ascii="Times New Roman" w:hAnsi="Times New Roman" w:eastAsia="黑体"/>
          <w:bCs/>
          <w:kern w:val="0"/>
          <w:sz w:val="32"/>
          <w:szCs w:val="32"/>
          <w:lang w:eastAsia="zh-CN"/>
        </w:rPr>
        <w:t>四、</w:t>
      </w:r>
      <w:r>
        <w:rPr>
          <w:rFonts w:ascii="Times New Roman" w:hAnsi="Times New Roman" w:eastAsia="黑体"/>
          <w:bCs/>
          <w:kern w:val="0"/>
          <w:sz w:val="32"/>
          <w:szCs w:val="32"/>
        </w:rPr>
        <w:t>政府信息公开行政复议、行政诉讼情况</w:t>
      </w:r>
    </w:p>
    <w:tbl>
      <w:tblPr>
        <w:tblStyle w:val="10"/>
        <w:tblW w:w="90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71"/>
        <w:gridCol w:w="604"/>
        <w:gridCol w:w="603"/>
        <w:gridCol w:w="603"/>
        <w:gridCol w:w="603"/>
        <w:gridCol w:w="603"/>
        <w:gridCol w:w="603"/>
        <w:gridCol w:w="603"/>
        <w:gridCol w:w="603"/>
        <w:gridCol w:w="603"/>
        <w:gridCol w:w="603"/>
        <w:gridCol w:w="603"/>
        <w:gridCol w:w="603"/>
        <w:gridCol w:w="603"/>
        <w:gridCol w:w="60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2807" w:type="dxa"/>
            <w:gridSpan w:val="5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行政复议</w:t>
            </w:r>
          </w:p>
        </w:tc>
        <w:tc>
          <w:tcPr>
            <w:tcW w:w="5670" w:type="dxa"/>
            <w:gridSpan w:val="10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行政诉讼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538" w:type="dxa"/>
            <w:vMerge w:val="restart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结果维持</w:t>
            </w:r>
          </w:p>
        </w:tc>
        <w:tc>
          <w:tcPr>
            <w:tcW w:w="568" w:type="dxa"/>
            <w:vMerge w:val="restart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结果纠正</w:t>
            </w:r>
          </w:p>
        </w:tc>
        <w:tc>
          <w:tcPr>
            <w:tcW w:w="567" w:type="dxa"/>
            <w:vMerge w:val="restart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其他结果</w:t>
            </w:r>
          </w:p>
        </w:tc>
        <w:tc>
          <w:tcPr>
            <w:tcW w:w="567" w:type="dxa"/>
            <w:vMerge w:val="restart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尚未审结</w:t>
            </w:r>
          </w:p>
        </w:tc>
        <w:tc>
          <w:tcPr>
            <w:tcW w:w="567" w:type="dxa"/>
            <w:vMerge w:val="restart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总计</w:t>
            </w:r>
          </w:p>
        </w:tc>
        <w:tc>
          <w:tcPr>
            <w:tcW w:w="2835" w:type="dxa"/>
            <w:gridSpan w:val="5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未经复议直接起诉</w:t>
            </w:r>
          </w:p>
        </w:tc>
        <w:tc>
          <w:tcPr>
            <w:tcW w:w="2835" w:type="dxa"/>
            <w:gridSpan w:val="5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复议后起诉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3" w:hRule="atLeast"/>
          <w:jc w:val="center"/>
        </w:trPr>
        <w:tc>
          <w:tcPr>
            <w:tcW w:w="538" w:type="dxa"/>
            <w:vMerge w:val="continue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68" w:type="dxa"/>
            <w:vMerge w:val="continue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67" w:type="dxa"/>
            <w:vMerge w:val="continue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67" w:type="dxa"/>
            <w:vMerge w:val="continue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67" w:type="dxa"/>
            <w:vMerge w:val="continue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结果维持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结果纠正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其他结果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尚未审结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总计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结果维持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结果纠正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其他结果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尚未审结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总计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538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68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567" w:type="dxa"/>
            <w:vAlign w:val="center"/>
          </w:tcPr>
          <w:p>
            <w:pPr>
              <w:jc w:val="center"/>
              <w:rPr>
                <w:rFonts w:hint="default" w:ascii="Times New Roman" w:hAnsi="Times New Roman" w:eastAsia="宋体" w:cs="Times New Roman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 w:eastAsia="zh-CN"/>
              </w:rPr>
              <w:t>0</w:t>
            </w:r>
          </w:p>
        </w:tc>
      </w:tr>
    </w:tbl>
    <w:p>
      <w:pPr>
        <w:keepNext w:val="0"/>
        <w:keepLines w:val="0"/>
        <w:pageBreakBefore w:val="0"/>
        <w:widowControl/>
        <w:shd w:val="clear" w:color="auto" w:fill="FFFFFF"/>
        <w:kinsoku/>
        <w:overflowPunct/>
        <w:topLinePunct w:val="0"/>
        <w:autoSpaceDN/>
        <w:bidi w:val="0"/>
        <w:adjustRightInd/>
        <w:snapToGrid/>
        <w:spacing w:line="560" w:lineRule="exact"/>
        <w:ind w:firstLine="480"/>
        <w:textAlignment w:val="auto"/>
        <w:rPr>
          <w:rFonts w:ascii="Times New Roman" w:hAnsi="Times New Roman" w:eastAsia="黑体"/>
          <w:color w:val="0D0D0D" w:themeColor="text1" w:themeTint="F2"/>
          <w:kern w:val="0"/>
          <w:sz w:val="32"/>
          <w:szCs w:val="32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ascii="Times New Roman" w:hAnsi="Times New Roman" w:eastAsia="黑体"/>
          <w:bCs/>
          <w:color w:val="0D0D0D" w:themeColor="text1" w:themeTint="F2"/>
          <w:kern w:val="0"/>
          <w:sz w:val="32"/>
          <w:szCs w:val="32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五、存在的主要问题及改进情况</w:t>
      </w:r>
    </w:p>
    <w:p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D0D0D" w:themeColor="text1" w:themeTint="F2"/>
          <w:kern w:val="0"/>
          <w:sz w:val="32"/>
          <w:szCs w:val="32"/>
          <w:lang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楷体_GB2312" w:hAnsi="楷体_GB2312" w:eastAsia="楷体_GB2312" w:cs="楷体_GB2312"/>
          <w:color w:val="0D0D0D" w:themeColor="text1" w:themeTint="F2"/>
          <w:kern w:val="0"/>
          <w:sz w:val="32"/>
          <w:szCs w:val="32"/>
          <w:lang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（一）存在主要问题。</w:t>
      </w:r>
      <w:r>
        <w:rPr>
          <w:rFonts w:hint="eastAsia" w:ascii="仿宋_GB2312" w:hAnsi="仿宋_GB2312" w:eastAsia="仿宋_GB2312" w:cs="仿宋_GB2312"/>
          <w:color w:val="0D0D0D" w:themeColor="text1" w:themeTint="F2"/>
          <w:kern w:val="0"/>
          <w:sz w:val="32"/>
          <w:szCs w:val="32"/>
          <w:lang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一是对政府信息公开的重要性还未充分了解，未形成长效管理机制，网站信息更新及时性相对滞后，公开内容及时性较弱。二是在办理依申请公开和行政复议、行政诉讼方面，我镇受理的政府信息公开申请数量较少，相关业务知识及经验不足，不利于工作开展。</w:t>
      </w:r>
    </w:p>
    <w:p>
      <w:pPr>
        <w:pStyle w:val="8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 w:val="0"/>
        <w:overflowPunct/>
        <w:topLinePunct w:val="0"/>
        <w:autoSpaceDE w:val="0"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640" w:firstLineChars="200"/>
        <w:jc w:val="both"/>
        <w:textAlignment w:val="auto"/>
        <w:rPr>
          <w:rFonts w:hint="eastAsia" w:ascii="Times New Roman" w:hAnsi="Times New Roman" w:eastAsia="方正仿宋简体"/>
          <w:color w:val="0D0D0D" w:themeColor="text1" w:themeTint="F2"/>
          <w:kern w:val="0"/>
          <w:sz w:val="32"/>
          <w:szCs w:val="32"/>
          <w:lang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楷体_GB2312" w:hAnsi="楷体_GB2312" w:eastAsia="楷体_GB2312" w:cs="楷体_GB2312"/>
          <w:color w:val="0D0D0D" w:themeColor="text1" w:themeTint="F2"/>
          <w:kern w:val="0"/>
          <w:sz w:val="32"/>
          <w:szCs w:val="32"/>
          <w:lang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（二）改进情况。</w:t>
      </w:r>
      <w:r>
        <w:rPr>
          <w:rFonts w:hint="eastAsia" w:ascii="仿宋_GB2312" w:hAnsi="仿宋_GB2312" w:eastAsia="仿宋_GB2312" w:cs="仿宋_GB2312"/>
          <w:i w:val="0"/>
          <w:caps w:val="0"/>
          <w:color w:val="0D0D0D" w:themeColor="text1" w:themeTint="F2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一是加大对业务人员的培训力度。提高对政务信息公开重要性的认识，加强时间观念，做到信息及时更新；二是根据新修订的《政府信息公开条例》，积极参加政务公开、条例、应诉能力、依申请公开等有关法律法规及文件的学习，累积经验，不断提高应对能力，推动全镇政务公开工作再上新台阶。</w:t>
      </w:r>
    </w:p>
    <w:p>
      <w:pPr>
        <w:keepNext w:val="0"/>
        <w:keepLines w:val="0"/>
        <w:pageBreakBefore w:val="0"/>
        <w:widowControl/>
        <w:shd w:val="clear" w:color="auto" w:fill="FFFFFF"/>
        <w:kinsoku/>
        <w:overflowPunct/>
        <w:topLinePunct w:val="0"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ascii="Times New Roman" w:hAnsi="Times New Roman" w:eastAsia="黑体"/>
          <w:color w:val="0D0D0D" w:themeColor="text1" w:themeTint="F2"/>
          <w:kern w:val="0"/>
          <w:sz w:val="32"/>
          <w:szCs w:val="32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ascii="Times New Roman" w:hAnsi="Times New Roman" w:eastAsia="黑体"/>
          <w:bCs/>
          <w:color w:val="0D0D0D" w:themeColor="text1" w:themeTint="F2"/>
          <w:kern w:val="0"/>
          <w:sz w:val="32"/>
          <w:szCs w:val="32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六、其他需要报告的事项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outlineLvl w:val="9"/>
        <w:rPr>
          <w:rFonts w:hint="default" w:ascii="Times New Roman" w:hAnsi="Times New Roman" w:eastAsia="仿宋_GB2312" w:cs="Times New Roman"/>
          <w:color w:val="0D0D0D" w:themeColor="text1" w:themeTint="F2"/>
          <w:sz w:val="32"/>
          <w:szCs w:val="32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Times New Roman" w:hAnsi="Times New Roman" w:eastAsia="仿宋_GB2312" w:cs="Times New Roman"/>
          <w:color w:val="0D0D0D" w:themeColor="text1" w:themeTint="F2"/>
          <w:sz w:val="32"/>
          <w:szCs w:val="32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无</w:t>
      </w:r>
      <w:r>
        <w:rPr>
          <w:rFonts w:hint="default" w:ascii="Times New Roman" w:hAnsi="Times New Roman" w:eastAsia="仿宋_GB2312" w:cs="Times New Roman"/>
          <w:color w:val="0D0D0D" w:themeColor="text1" w:themeTint="F2"/>
          <w:sz w:val="32"/>
          <w:szCs w:val="32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。</w:t>
      </w:r>
    </w:p>
    <w:p>
      <w:pPr>
        <w:rPr>
          <w:rFonts w:ascii="Times New Roman" w:hAnsi="Times New Roman" w:eastAsia="仿宋_GB2312" w:cs="Times New Roman"/>
          <w:sz w:val="32"/>
          <w:szCs w:val="32"/>
        </w:rPr>
      </w:pPr>
    </w:p>
    <w:sectPr>
      <w:footerReference r:id="rId3" w:type="default"/>
      <w:pgSz w:w="11907" w:h="16840"/>
      <w:pgMar w:top="2098" w:right="1474" w:bottom="1985" w:left="1588" w:header="720" w:footer="72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D3B9A410-5994-4300-9492-42DFE799E144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D7965947-8CEE-40A9-951E-B64CFBAC8F67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B586EABE-80D9-4B3B-8F42-6612D13C24F8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4" w:fontKey="{A9A4AE2B-E57D-4651-B7A0-1B5CA948062E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A3A906E5-5F92-4D76-9CC2-7E62F47378B3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6" w:fontKey="{2CC1E4D7-AFFF-4727-B7E6-D1C8A74118B5}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7" w:fontKey="{6C92D3C7-D820-4809-83E0-DDAC03755E39}"/>
  </w:font>
  <w:font w:name="FZ Extra BSK">
    <w:altName w:val="宋体"/>
    <w:panose1 w:val="00000000000000000000"/>
    <w:charset w:val="86"/>
    <w:family w:val="swiss"/>
    <w:pitch w:val="default"/>
    <w:sig w:usb0="00000000" w:usb1="00000000" w:usb2="00000010" w:usb3="00000000" w:csb0="00040000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  <w:embedRegular r:id="rId8" w:fontKey="{371413E1-503B-478F-9313-456A2B5A55FB}"/>
  </w:font>
  <w:font w:name="仿宋_GB2312">
    <w:panose1 w:val="02010609030101010101"/>
    <w:charset w:val="86"/>
    <w:family w:val="modern"/>
    <w:pitch w:val="default"/>
    <w:sig w:usb0="00000000" w:usb1="00000000" w:usb2="00000000" w:usb3="00000000" w:csb0="00000000" w:csb1="00000000"/>
    <w:embedRegular r:id="rId9" w:fontKey="{4B73E37A-742B-4235-966D-5A198D2043D2}"/>
  </w:font>
  <w:font w:name="楷体_GB2312">
    <w:panose1 w:val="02010609030101010101"/>
    <w:charset w:val="86"/>
    <w:family w:val="auto"/>
    <w:pitch w:val="default"/>
    <w:sig w:usb0="00000000" w:usb1="00000000" w:usb2="00000000" w:usb3="00000000" w:csb0="00000000" w:csb1="00000000"/>
    <w:embedRegular r:id="rId10" w:fontKey="{80C53AE5-8612-421A-9289-4E5BFED136C1}"/>
  </w:font>
  <w:font w:name="方正仿宋简体">
    <w:panose1 w:val="02010601030101010101"/>
    <w:charset w:val="86"/>
    <w:family w:val="auto"/>
    <w:pitch w:val="default"/>
    <w:sig w:usb0="00000001" w:usb1="080E0000" w:usb2="00000000" w:usb3="00000000" w:csb0="00040000" w:csb1="00000000"/>
    <w:embedRegular r:id="rId11" w:fontKey="{84ECCBE4-5E26-4522-8816-9D3F38BAAA3B}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12" w:fontKey="{E3F7D173-48AB-47E0-8FC4-B150D1B79DF7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3" w:fontKey="{D46B1D8E-AD62-42BA-AE7B-D0EB73487F99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4" w:fontKey="{386BF26C-FAAB-41DA-9C09-16BF787D93FE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jc w:val="center"/>
      <w:rPr>
        <w:rFonts w:ascii="Times New Roman" w:hAnsi="Times New Roman"/>
        <w:sz w:val="32"/>
        <w:szCs w:val="32"/>
      </w:rPr>
    </w:pPr>
    <w:r>
      <w:rPr>
        <w:sz w:val="32"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posOffset>4836160</wp:posOffset>
              </wp:positionH>
              <wp:positionV relativeFrom="paragraph">
                <wp:posOffset>-81915</wp:posOffset>
              </wp:positionV>
              <wp:extent cx="780415" cy="292735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80415" cy="29273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6"/>
                            <w:jc w:val="center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t>—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instrText xml:space="preserve"> PAGE 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  <w:lang w:val="zh-CN"/>
                            </w:rPr>
                            <w:t>2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28"/>
                            </w:rPr>
                            <w:t>—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upright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380.8pt;margin-top:-6.45pt;height:23.05pt;width:61.45pt;mso-position-horizontal-relative:margin;z-index:251658240;mso-width-relative:page;mso-height-relative:page;" filled="f" stroked="f" coordsize="21600,21600" o:gfxdata="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OevmxDaAAAACgEAAA8AAAAAAAAAAQAgAAAAIgAA&#10;AGRycy9kb3ducmV2LnhtbFBLAQIUABQAAAAIAIdO4kAT8UTMPwIAAG8EAAAOAAAAAAAAAAEAIAAA&#10;ACkBAABkcnMvZTJvRG9jLnhtbFBLBQYAAAAABgAGAFkBAADaBQAAAAA=&#10;">
              <v:fill on="f" focussize="0,0"/>
              <v:stroke on="f" weight="0.5pt"/>
              <v:imagedata o:title=""/>
              <o:lock v:ext="edit" aspectratio="f"/>
              <v:textbox inset="0mm,0mm,0mm,0mm">
                <w:txbxContent>
                  <w:p>
                    <w:pPr>
                      <w:pStyle w:val="6"/>
                      <w:jc w:val="center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t>—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  <w:lang w:val="en-US" w:eastAsia="zh-CN"/>
                      </w:rPr>
                      <w:t xml:space="preserve"> 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instrText xml:space="preserve"> PAGE 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  <w:lang w:val="zh-CN"/>
                      </w:rPr>
                      <w:t>2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  <w:lang w:val="en-US" w:eastAsia="zh-CN"/>
                      </w:rPr>
                      <w:t xml:space="preserve"> 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28"/>
                      </w:rPr>
                      <w:t>—</w:t>
                    </w:r>
                  </w:p>
                </w:txbxContent>
              </v:textbox>
            </v:shape>
          </w:pict>
        </mc:Fallback>
      </mc:AlternateContent>
    </w:r>
  </w:p>
  <w:p>
    <w:pPr>
      <w:pStyle w:val="6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TrueTypeFonts/>
  <w:bordersDoNotSurroundHeader w:val="0"/>
  <w:bordersDoNotSurroundFooter w:val="0"/>
  <w:documentProtection w:enforcement="0"/>
  <w:defaultTabStop w:val="720"/>
  <w:drawingGridHorizontalSpacing w:val="120"/>
  <w:drawingGridVerticalSpacing w:val="120"/>
  <w:displayHorizontalDrawingGridEvery w:val="1"/>
  <w:displayVerticalDrawingGridEvery w:val="1"/>
  <w:doNotUseMarginsForDrawingGridOrigin w:val="1"/>
  <w:drawingGridHorizontalOrigin w:val="1800"/>
  <w:drawingGridVerticalOrigin w:val="1440"/>
  <w:doNotShadeFormData w:val="1"/>
  <w:noPunctuationKerning w:val="1"/>
  <w:characterSpacingControl w:val="compressPunctuation"/>
  <w:doNotValidateAgainstSchema/>
  <w:doNotDemarcateInvalidXml/>
  <w:hdrShapeDefaults>
    <o:shapelayout v:ext="edit">
      <o:idmap v:ext="edit" data="3,4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7FEE"/>
    <w:rsid w:val="00035664"/>
    <w:rsid w:val="00037EFB"/>
    <w:rsid w:val="00194B25"/>
    <w:rsid w:val="001C4F78"/>
    <w:rsid w:val="001E372B"/>
    <w:rsid w:val="002B5841"/>
    <w:rsid w:val="002C5B60"/>
    <w:rsid w:val="00301CA6"/>
    <w:rsid w:val="00317CB7"/>
    <w:rsid w:val="00322437"/>
    <w:rsid w:val="00341973"/>
    <w:rsid w:val="003428E7"/>
    <w:rsid w:val="003A7DAC"/>
    <w:rsid w:val="003D0437"/>
    <w:rsid w:val="004210D5"/>
    <w:rsid w:val="00490626"/>
    <w:rsid w:val="004F7BF2"/>
    <w:rsid w:val="00540433"/>
    <w:rsid w:val="0058577E"/>
    <w:rsid w:val="006046B5"/>
    <w:rsid w:val="0068638C"/>
    <w:rsid w:val="006A0541"/>
    <w:rsid w:val="006A3111"/>
    <w:rsid w:val="006D6D0B"/>
    <w:rsid w:val="00777FEE"/>
    <w:rsid w:val="00796BB6"/>
    <w:rsid w:val="00846887"/>
    <w:rsid w:val="008D12FC"/>
    <w:rsid w:val="00914CFD"/>
    <w:rsid w:val="009D2C00"/>
    <w:rsid w:val="00AC569C"/>
    <w:rsid w:val="00AF235E"/>
    <w:rsid w:val="00AF5F99"/>
    <w:rsid w:val="00B00E8A"/>
    <w:rsid w:val="00B00FEE"/>
    <w:rsid w:val="00B34114"/>
    <w:rsid w:val="00B80C2F"/>
    <w:rsid w:val="00BD525D"/>
    <w:rsid w:val="00C01734"/>
    <w:rsid w:val="00C702C4"/>
    <w:rsid w:val="00C70B88"/>
    <w:rsid w:val="00D5218C"/>
    <w:rsid w:val="00D72CFE"/>
    <w:rsid w:val="00D804C9"/>
    <w:rsid w:val="00D920F2"/>
    <w:rsid w:val="00E4116C"/>
    <w:rsid w:val="00F579DF"/>
    <w:rsid w:val="00F6465D"/>
    <w:rsid w:val="00FC71F7"/>
    <w:rsid w:val="06A443F8"/>
    <w:rsid w:val="084A4178"/>
    <w:rsid w:val="087F3E7B"/>
    <w:rsid w:val="0A135D37"/>
    <w:rsid w:val="12116357"/>
    <w:rsid w:val="14555CCF"/>
    <w:rsid w:val="1EF20821"/>
    <w:rsid w:val="214F52BF"/>
    <w:rsid w:val="25C9120A"/>
    <w:rsid w:val="2CF32449"/>
    <w:rsid w:val="31D75B39"/>
    <w:rsid w:val="31E00B99"/>
    <w:rsid w:val="3246738D"/>
    <w:rsid w:val="36774695"/>
    <w:rsid w:val="3F0D7EB6"/>
    <w:rsid w:val="45AE3FCF"/>
    <w:rsid w:val="501355F3"/>
    <w:rsid w:val="50C71488"/>
    <w:rsid w:val="598D4C24"/>
    <w:rsid w:val="5FB07A1D"/>
    <w:rsid w:val="60176E2D"/>
    <w:rsid w:val="6A094A2D"/>
    <w:rsid w:val="751A7756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qFormat="1" w:uiPriority="99" w:name="HTML Code"/>
    <w:lsdException w:qFormat="1" w:uiPriority="99" w:name="HTML Definition"/>
    <w:lsdException w:qFormat="1" w:uiPriority="99" w:name="HTML Keyboard"/>
    <w:lsdException w:uiPriority="99" w:name="HTML Preformatted"/>
    <w:lsdException w:qFormat="1"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9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0"/>
      <w:sz w:val="27"/>
      <w:szCs w:val="27"/>
      <w:lang w:val="en-US" w:eastAsia="zh-CN" w:bidi="ar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qFormat/>
    <w:uiPriority w:val="1"/>
    <w:pPr>
      <w:ind w:left="151"/>
    </w:pPr>
    <w:rPr>
      <w:sz w:val="32"/>
      <w:szCs w:val="32"/>
    </w:rPr>
  </w:style>
  <w:style w:type="paragraph" w:styleId="4">
    <w:name w:val="Date"/>
    <w:basedOn w:val="1"/>
    <w:next w:val="1"/>
    <w:link w:val="34"/>
    <w:semiHidden/>
    <w:unhideWhenUsed/>
    <w:qFormat/>
    <w:uiPriority w:val="99"/>
    <w:pPr>
      <w:ind w:left="100" w:leftChars="2500"/>
    </w:pPr>
  </w:style>
  <w:style w:type="paragraph" w:styleId="5">
    <w:name w:val="Balloon Text"/>
    <w:basedOn w:val="1"/>
    <w:link w:val="33"/>
    <w:semiHidden/>
    <w:unhideWhenUsed/>
    <w:qFormat/>
    <w:uiPriority w:val="99"/>
    <w:rPr>
      <w:sz w:val="18"/>
      <w:szCs w:val="18"/>
    </w:rPr>
  </w:style>
  <w:style w:type="paragraph" w:styleId="6">
    <w:name w:val="footer"/>
    <w:basedOn w:val="1"/>
    <w:link w:val="3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3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Normal (Web)"/>
    <w:basedOn w:val="1"/>
    <w:semiHidden/>
    <w:unhideWhenUsed/>
    <w:qFormat/>
    <w:uiPriority w:val="99"/>
    <w:pPr>
      <w:spacing w:before="0" w:beforeAutospacing="0" w:after="0" w:afterAutospacing="0"/>
      <w:ind w:left="0" w:right="0"/>
      <w:jc w:val="left"/>
    </w:pPr>
    <w:rPr>
      <w:kern w:val="0"/>
      <w:sz w:val="24"/>
      <w:lang w:val="en-US" w:eastAsia="zh-CN" w:bidi="ar"/>
    </w:rPr>
  </w:style>
  <w:style w:type="table" w:styleId="10">
    <w:name w:val="Table Grid"/>
    <w:basedOn w:val="9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FollowedHyperlink"/>
    <w:basedOn w:val="11"/>
    <w:semiHidden/>
    <w:unhideWhenUsed/>
    <w:qFormat/>
    <w:uiPriority w:val="99"/>
    <w:rPr>
      <w:color w:val="555555"/>
      <w:u w:val="none"/>
    </w:rPr>
  </w:style>
  <w:style w:type="character" w:styleId="14">
    <w:name w:val="HTML Definition"/>
    <w:basedOn w:val="11"/>
    <w:semiHidden/>
    <w:unhideWhenUsed/>
    <w:qFormat/>
    <w:uiPriority w:val="99"/>
    <w:rPr>
      <w:i/>
    </w:rPr>
  </w:style>
  <w:style w:type="character" w:styleId="15">
    <w:name w:val="Hyperlink"/>
    <w:basedOn w:val="11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16">
    <w:name w:val="HTML Code"/>
    <w:basedOn w:val="11"/>
    <w:semiHidden/>
    <w:unhideWhenUsed/>
    <w:qFormat/>
    <w:uiPriority w:val="99"/>
    <w:rPr>
      <w:rFonts w:ascii="monospace" w:hAnsi="monospace" w:eastAsia="monospace" w:cs="monospace"/>
      <w:sz w:val="21"/>
      <w:szCs w:val="21"/>
    </w:rPr>
  </w:style>
  <w:style w:type="character" w:styleId="17">
    <w:name w:val="HTML Keyboard"/>
    <w:basedOn w:val="11"/>
    <w:semiHidden/>
    <w:unhideWhenUsed/>
    <w:qFormat/>
    <w:uiPriority w:val="99"/>
    <w:rPr>
      <w:rFonts w:hint="default" w:ascii="monospace" w:hAnsi="monospace" w:eastAsia="monospace" w:cs="monospace"/>
      <w:sz w:val="21"/>
      <w:szCs w:val="21"/>
    </w:rPr>
  </w:style>
  <w:style w:type="character" w:styleId="18">
    <w:name w:val="HTML Sample"/>
    <w:basedOn w:val="11"/>
    <w:semiHidden/>
    <w:unhideWhenUsed/>
    <w:qFormat/>
    <w:uiPriority w:val="99"/>
    <w:rPr>
      <w:rFonts w:hint="default" w:ascii="monospace" w:hAnsi="monospace" w:eastAsia="monospace" w:cs="monospace"/>
      <w:sz w:val="21"/>
      <w:szCs w:val="21"/>
    </w:rPr>
  </w:style>
  <w:style w:type="paragraph" w:customStyle="1" w:styleId="19">
    <w:name w:val="Default"/>
    <w:qFormat/>
    <w:uiPriority w:val="99"/>
    <w:pPr>
      <w:widowControl w:val="0"/>
      <w:autoSpaceDE w:val="0"/>
      <w:autoSpaceDN w:val="0"/>
      <w:adjustRightInd w:val="0"/>
    </w:pPr>
    <w:rPr>
      <w:rFonts w:ascii="FZ Extra BSK" w:hAnsi="Calibri" w:eastAsia="FZ Extra BSK" w:cs="FZ Extra BSK"/>
      <w:color w:val="000000"/>
      <w:sz w:val="24"/>
      <w:szCs w:val="24"/>
      <w:lang w:val="en-US" w:eastAsia="zh-CN" w:bidi="ar-SA"/>
    </w:rPr>
  </w:style>
  <w:style w:type="paragraph" w:customStyle="1" w:styleId="20">
    <w:name w:val="CM1"/>
    <w:basedOn w:val="19"/>
    <w:next w:val="19"/>
    <w:qFormat/>
    <w:uiPriority w:val="99"/>
    <w:rPr>
      <w:rFonts w:cs="Times New Roman"/>
      <w:color w:val="auto"/>
    </w:rPr>
  </w:style>
  <w:style w:type="paragraph" w:customStyle="1" w:styleId="21">
    <w:name w:val="CM8"/>
    <w:basedOn w:val="19"/>
    <w:next w:val="19"/>
    <w:qFormat/>
    <w:uiPriority w:val="99"/>
    <w:pPr>
      <w:spacing w:after="255"/>
    </w:pPr>
    <w:rPr>
      <w:rFonts w:cs="Times New Roman"/>
      <w:color w:val="auto"/>
    </w:rPr>
  </w:style>
  <w:style w:type="paragraph" w:customStyle="1" w:styleId="22">
    <w:name w:val="CM2"/>
    <w:basedOn w:val="19"/>
    <w:next w:val="19"/>
    <w:qFormat/>
    <w:uiPriority w:val="99"/>
    <w:pPr>
      <w:spacing w:line="598" w:lineRule="atLeast"/>
    </w:pPr>
    <w:rPr>
      <w:rFonts w:cs="Times New Roman"/>
      <w:color w:val="auto"/>
    </w:rPr>
  </w:style>
  <w:style w:type="paragraph" w:customStyle="1" w:styleId="23">
    <w:name w:val="CM3"/>
    <w:basedOn w:val="19"/>
    <w:next w:val="19"/>
    <w:qFormat/>
    <w:uiPriority w:val="99"/>
    <w:pPr>
      <w:spacing w:line="593" w:lineRule="atLeast"/>
    </w:pPr>
    <w:rPr>
      <w:rFonts w:cs="Times New Roman"/>
      <w:color w:val="auto"/>
    </w:rPr>
  </w:style>
  <w:style w:type="paragraph" w:customStyle="1" w:styleId="24">
    <w:name w:val="CM4"/>
    <w:basedOn w:val="19"/>
    <w:next w:val="19"/>
    <w:qFormat/>
    <w:uiPriority w:val="99"/>
    <w:pPr>
      <w:spacing w:line="593" w:lineRule="atLeast"/>
    </w:pPr>
    <w:rPr>
      <w:rFonts w:cs="Times New Roman"/>
      <w:color w:val="auto"/>
    </w:rPr>
  </w:style>
  <w:style w:type="paragraph" w:customStyle="1" w:styleId="25">
    <w:name w:val="CM9"/>
    <w:basedOn w:val="19"/>
    <w:next w:val="19"/>
    <w:qFormat/>
    <w:uiPriority w:val="99"/>
    <w:pPr>
      <w:spacing w:after="572"/>
    </w:pPr>
    <w:rPr>
      <w:rFonts w:cs="Times New Roman"/>
      <w:color w:val="auto"/>
    </w:rPr>
  </w:style>
  <w:style w:type="paragraph" w:customStyle="1" w:styleId="26">
    <w:name w:val="CM5"/>
    <w:basedOn w:val="19"/>
    <w:next w:val="19"/>
    <w:qFormat/>
    <w:uiPriority w:val="99"/>
    <w:pPr>
      <w:spacing w:line="593" w:lineRule="atLeast"/>
    </w:pPr>
    <w:rPr>
      <w:rFonts w:cs="Times New Roman"/>
      <w:color w:val="auto"/>
    </w:rPr>
  </w:style>
  <w:style w:type="paragraph" w:customStyle="1" w:styleId="27">
    <w:name w:val="CM6"/>
    <w:basedOn w:val="19"/>
    <w:next w:val="19"/>
    <w:qFormat/>
    <w:uiPriority w:val="99"/>
    <w:rPr>
      <w:rFonts w:cs="Times New Roman"/>
      <w:color w:val="auto"/>
    </w:rPr>
  </w:style>
  <w:style w:type="paragraph" w:customStyle="1" w:styleId="28">
    <w:name w:val="CM10"/>
    <w:basedOn w:val="19"/>
    <w:next w:val="19"/>
    <w:qFormat/>
    <w:uiPriority w:val="99"/>
    <w:pPr>
      <w:spacing w:after="188"/>
    </w:pPr>
    <w:rPr>
      <w:rFonts w:cs="Times New Roman"/>
      <w:color w:val="auto"/>
    </w:rPr>
  </w:style>
  <w:style w:type="paragraph" w:customStyle="1" w:styleId="29">
    <w:name w:val="CM7"/>
    <w:basedOn w:val="19"/>
    <w:next w:val="19"/>
    <w:qFormat/>
    <w:uiPriority w:val="99"/>
    <w:rPr>
      <w:rFonts w:cs="Times New Roman"/>
      <w:color w:val="auto"/>
    </w:rPr>
  </w:style>
  <w:style w:type="paragraph" w:customStyle="1" w:styleId="30">
    <w:name w:val="CM11"/>
    <w:basedOn w:val="19"/>
    <w:next w:val="19"/>
    <w:qFormat/>
    <w:uiPriority w:val="99"/>
    <w:pPr>
      <w:spacing w:after="840"/>
    </w:pPr>
    <w:rPr>
      <w:rFonts w:cs="Times New Roman"/>
      <w:color w:val="auto"/>
    </w:rPr>
  </w:style>
  <w:style w:type="character" w:customStyle="1" w:styleId="31">
    <w:name w:val="页眉 字符"/>
    <w:basedOn w:val="11"/>
    <w:link w:val="7"/>
    <w:qFormat/>
    <w:locked/>
    <w:uiPriority w:val="99"/>
    <w:rPr>
      <w:rFonts w:cs="Times New Roman"/>
      <w:sz w:val="18"/>
      <w:szCs w:val="18"/>
    </w:rPr>
  </w:style>
  <w:style w:type="character" w:customStyle="1" w:styleId="32">
    <w:name w:val="页脚 字符"/>
    <w:basedOn w:val="11"/>
    <w:link w:val="6"/>
    <w:qFormat/>
    <w:locked/>
    <w:uiPriority w:val="99"/>
    <w:rPr>
      <w:rFonts w:cs="Times New Roman"/>
      <w:sz w:val="18"/>
      <w:szCs w:val="18"/>
    </w:rPr>
  </w:style>
  <w:style w:type="character" w:customStyle="1" w:styleId="33">
    <w:name w:val="批注框文本 字符"/>
    <w:basedOn w:val="11"/>
    <w:link w:val="5"/>
    <w:semiHidden/>
    <w:qFormat/>
    <w:uiPriority w:val="99"/>
    <w:rPr>
      <w:kern w:val="2"/>
      <w:sz w:val="18"/>
      <w:szCs w:val="18"/>
    </w:rPr>
  </w:style>
  <w:style w:type="character" w:customStyle="1" w:styleId="34">
    <w:name w:val="日期 字符"/>
    <w:basedOn w:val="11"/>
    <w:link w:val="4"/>
    <w:semiHidden/>
    <w:qFormat/>
    <w:uiPriority w:val="99"/>
    <w:rPr>
      <w:kern w:val="2"/>
      <w:sz w:val="21"/>
      <w:szCs w:val="22"/>
    </w:rPr>
  </w:style>
  <w:style w:type="character" w:customStyle="1" w:styleId="35">
    <w:name w:val="sl"/>
    <w:basedOn w:val="11"/>
    <w:qFormat/>
    <w:uiPriority w:val="0"/>
    <w:rPr>
      <w:sz w:val="21"/>
      <w:szCs w:val="21"/>
    </w:rPr>
  </w:style>
  <w:style w:type="character" w:customStyle="1" w:styleId="36">
    <w:name w:val="line2"/>
    <w:basedOn w:val="11"/>
    <w:qFormat/>
    <w:uiPriority w:val="0"/>
  </w:style>
  <w:style w:type="character" w:customStyle="1" w:styleId="37">
    <w:name w:val="line3"/>
    <w:basedOn w:val="11"/>
    <w:qFormat/>
    <w:uiPriority w:val="0"/>
  </w:style>
  <w:style w:type="character" w:customStyle="1" w:styleId="38">
    <w:name w:val="on"/>
    <w:basedOn w:val="11"/>
    <w:qFormat/>
    <w:uiPriority w:val="0"/>
    <w:rPr>
      <w:b/>
      <w:color w:val="D10200"/>
      <w:shd w:val="clear" w:fill="F2F2F2"/>
    </w:rPr>
  </w:style>
  <w:style w:type="character" w:customStyle="1" w:styleId="39">
    <w:name w:val="icon4"/>
    <w:basedOn w:val="11"/>
    <w:qFormat/>
    <w:uiPriority w:val="0"/>
  </w:style>
  <w:style w:type="character" w:customStyle="1" w:styleId="40">
    <w:name w:val="icon3"/>
    <w:basedOn w:val="11"/>
    <w:qFormat/>
    <w:uiPriority w:val="0"/>
  </w:style>
  <w:style w:type="character" w:customStyle="1" w:styleId="41">
    <w:name w:val="icon1"/>
    <w:basedOn w:val="11"/>
    <w:qFormat/>
    <w:uiPriority w:val="0"/>
  </w:style>
  <w:style w:type="character" w:customStyle="1" w:styleId="42">
    <w:name w:val="icon2"/>
    <w:basedOn w:val="11"/>
    <w:qFormat/>
    <w:uiPriority w:val="0"/>
  </w:style>
  <w:style w:type="character" w:customStyle="1" w:styleId="43">
    <w:name w:val="icon8"/>
    <w:basedOn w:val="11"/>
    <w:qFormat/>
    <w:uiPriority w:val="0"/>
  </w:style>
  <w:style w:type="character" w:customStyle="1" w:styleId="44">
    <w:name w:val="icon5"/>
    <w:basedOn w:val="11"/>
    <w:qFormat/>
    <w:uiPriority w:val="0"/>
  </w:style>
  <w:style w:type="character" w:customStyle="1" w:styleId="45">
    <w:name w:val="icon6"/>
    <w:basedOn w:val="11"/>
    <w:qFormat/>
    <w:uiPriority w:val="0"/>
  </w:style>
  <w:style w:type="character" w:customStyle="1" w:styleId="46">
    <w:name w:val="icon7"/>
    <w:basedOn w:val="11"/>
    <w:qFormat/>
    <w:uiPriority w:val="0"/>
  </w:style>
  <w:style w:type="character" w:customStyle="1" w:styleId="47">
    <w:name w:val="fy_go"/>
    <w:basedOn w:val="11"/>
    <w:qFormat/>
    <w:uiPriority w:val="0"/>
    <w:rPr>
      <w:color w:val="FFFFFF"/>
      <w:sz w:val="21"/>
      <w:szCs w:val="21"/>
      <w:shd w:val="clear" w:fill="D10200"/>
    </w:rPr>
  </w:style>
  <w:style w:type="character" w:customStyle="1" w:styleId="48">
    <w:name w:val="line"/>
    <w:basedOn w:val="11"/>
    <w:qFormat/>
    <w:uiPriority w:val="0"/>
  </w:style>
  <w:style w:type="character" w:customStyle="1" w:styleId="49">
    <w:name w:val="line1"/>
    <w:basedOn w:val="11"/>
    <w:qFormat/>
    <w:uiPriority w:val="0"/>
  </w:style>
  <w:style w:type="character" w:customStyle="1" w:styleId="50">
    <w:name w:val="on2"/>
    <w:basedOn w:val="11"/>
    <w:qFormat/>
    <w:uiPriority w:val="0"/>
    <w:rPr>
      <w:b/>
      <w:color w:val="D10200"/>
      <w:shd w:val="clear" w:fill="F2F2F2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2</Pages>
  <Words>103</Words>
  <Characters>591</Characters>
  <Lines>4</Lines>
  <Paragraphs>1</Paragraphs>
  <TotalTime>34</TotalTime>
  <ScaleCrop>false</ScaleCrop>
  <LinksUpToDate>false</LinksUpToDate>
  <CharactersWithSpaces>693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2019-01-14T07:34:00Z</dcterms:created>
  <dc:creator>作者</dc:creator>
  <cp:keywords>关键字</cp:keywords>
  <cp:lastModifiedBy>银杏果</cp:lastModifiedBy>
  <cp:lastPrinted>2021-01-29T00:54:00Z</cp:lastPrinted>
  <dcterms:modified xsi:type="dcterms:W3CDTF">2021-01-29T03:21:27Z</dcterms:modified>
  <dc:subject>科目</dc:subject>
  <dc:title>标题</dc:title>
  <cp:revision>22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  <property fmtid="{D5CDD505-2E9C-101B-9397-08002B2CF9AE}" pid="3" name="KSOSaveFontToCloudKey">
    <vt:lpwstr>442069949_btnclosed</vt:lpwstr>
  </property>
</Properties>
</file>