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20" w:beforeAutospacing="0" w:after="390" w:afterAutospacing="0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42"/>
          <w:szCs w:val="4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2"/>
          <w:szCs w:val="42"/>
        </w:rPr>
        <w:t>淄川区发展和改革局2020年政府信息公开工作年度报告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总体情况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本报告中所列数据的统计期限自2020年1月1日起，至2020年12月31日止。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 w:cs="楷体"/>
          <w:sz w:val="32"/>
          <w:szCs w:val="32"/>
        </w:rPr>
        <w:t>主动公开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权力运行公开。根据上级规定及职能情况，目前我局行政权力事项项目立项手续实行企业网上自主申报备案。按照信息公开要求，我局已经将项目立项网上公示链接进行了公开。2021年1月1日起，企业项目立项、核准、备案、节能审查职能已经划归行政审批部门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重点领域信息公开。自2020年1月1日起，至2020年12月31日止，共公开信息数94条，主要涉及重点项目建设、国民经济和社会发展计划报告、业务工作动态等。信息公开主要通过“淄川区人民政府”门户网站、《淄川工作》及其他形式进行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3、人大建议、政协提案办理情况。2020年，我局共承办区第十八届人大第四次次会议人大代表建议、区政协第十二届第四次会议政协委员提案13件（单办件2件，共办件11件）。其中，人大代表建议6件、政协委员提案7件。目前，13件建议、提案已全部办理完毕。</w:t>
      </w:r>
    </w:p>
    <w:p>
      <w:pPr>
        <w:pStyle w:val="3"/>
        <w:keepNext w:val="0"/>
        <w:keepLines w:val="0"/>
        <w:widowControl/>
        <w:numPr>
          <w:numId w:val="0"/>
        </w:numPr>
        <w:suppressLineNumbers w:val="0"/>
        <w:ind w:right="0" w:rightChars="0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 w:cs="楷体"/>
          <w:sz w:val="32"/>
          <w:szCs w:val="32"/>
        </w:rPr>
        <w:t>依申请公开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。2020年度，我局未接收到信息公开申请。我局将按规定进一步做好依申请公开工作。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（三）</w:t>
      </w:r>
      <w:r>
        <w:rPr>
          <w:rFonts w:hint="eastAsia" w:ascii="楷体" w:hAnsi="楷体" w:eastAsia="楷体" w:cs="楷体"/>
          <w:sz w:val="32"/>
          <w:szCs w:val="32"/>
        </w:rPr>
        <w:t>政府信息管理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。全局共有兼职信息公开工作人员1名，信息公开工作专门机构设在局办公室，根据政府信息公开审核发布机制，由局办公室统一审核、发布政府信息公开信息。公开查阅点设在局办公室。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（四）</w:t>
      </w:r>
      <w:r>
        <w:rPr>
          <w:rFonts w:hint="eastAsia" w:ascii="楷体" w:hAnsi="楷体" w:eastAsia="楷体" w:cs="楷体"/>
          <w:sz w:val="32"/>
          <w:szCs w:val="32"/>
        </w:rPr>
        <w:t>政府信息公开平台建设</w:t>
      </w:r>
      <w:r>
        <w:rPr>
          <w:rFonts w:hint="eastAsia" w:ascii="仿宋_GB2312" w:hAnsi="仿宋_GB2312" w:eastAsia="仿宋_GB2312" w:cs="仿宋_GB2312"/>
          <w:sz w:val="32"/>
          <w:szCs w:val="32"/>
        </w:rPr>
        <w:t>。我局目前在区政府网站设有部门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政务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平台</w:t>
      </w:r>
      <w:r>
        <w:rPr>
          <w:rFonts w:hint="eastAsia" w:ascii="仿宋_GB2312" w:hAnsi="仿宋_GB2312" w:eastAsia="仿宋_GB2312" w:cs="仿宋_GB2312"/>
          <w:sz w:val="32"/>
          <w:szCs w:val="32"/>
        </w:rPr>
        <w:t>，按照要求和时限做好栏目的内容保障工作。并同时通过全区“局长在线”、“般阳民生”、“12345投诉热线”等栏目，积极回应解读热线群众提出的问题。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（五）</w:t>
      </w:r>
      <w:r>
        <w:rPr>
          <w:rFonts w:hint="eastAsia" w:ascii="楷体" w:hAnsi="楷体" w:eastAsia="楷体" w:cs="楷体"/>
          <w:sz w:val="32"/>
          <w:szCs w:val="32"/>
        </w:rPr>
        <w:t>监督保障</w:t>
      </w:r>
      <w:r>
        <w:rPr>
          <w:rFonts w:hint="eastAsia" w:ascii="仿宋_GB2312" w:hAnsi="仿宋_GB2312" w:eastAsia="仿宋_GB2312" w:cs="仿宋_GB2312"/>
          <w:sz w:val="32"/>
          <w:szCs w:val="32"/>
        </w:rPr>
        <w:t>。局领导高度重视政务公开工作，多次召开部门会议进行政务公开知识学习，加强全体人员业务水平和主动公开意识，积极参加政务公开培训，为做好政务公开工作打下了良好的基础。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黑体" w:hAnsi="黑体" w:eastAsia="黑体" w:cs="黑体"/>
          <w:sz w:val="32"/>
          <w:szCs w:val="32"/>
          <w:lang w:val="en-US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主动公开政府信息情况</w:t>
      </w:r>
    </w:p>
    <w:tbl>
      <w:tblPr>
        <w:tblStyle w:val="4"/>
        <w:tblW w:w="5000" w:type="pct"/>
        <w:jc w:val="center"/>
        <w:tblCellSpacing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05"/>
        <w:gridCol w:w="1851"/>
        <w:gridCol w:w="1889"/>
        <w:gridCol w:w="2071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  <w:tblCellSpacing w:w="0" w:type="dxa"/>
          <w:jc w:val="center"/>
        </w:trPr>
        <w:tc>
          <w:tcPr>
            <w:tcW w:w="5000" w:type="pct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第二十条第（一）项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tblCellSpacing w:w="0" w:type="dxa"/>
          <w:jc w:val="center"/>
        </w:trPr>
        <w:tc>
          <w:tcPr>
            <w:tcW w:w="150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信息内容</w:t>
            </w:r>
          </w:p>
        </w:tc>
        <w:tc>
          <w:tcPr>
            <w:tcW w:w="11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本年新制作数量</w:t>
            </w:r>
          </w:p>
        </w:tc>
        <w:tc>
          <w:tcPr>
            <w:tcW w:w="11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本年新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公开数量</w:t>
            </w:r>
          </w:p>
        </w:tc>
        <w:tc>
          <w:tcPr>
            <w:tcW w:w="12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对外公开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总数量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  <w:tblCellSpacing w:w="0" w:type="dxa"/>
          <w:jc w:val="center"/>
        </w:trPr>
        <w:tc>
          <w:tcPr>
            <w:tcW w:w="150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</w:pPr>
            <w:r>
              <w:t>规章</w:t>
            </w:r>
          </w:p>
        </w:tc>
        <w:tc>
          <w:tcPr>
            <w:tcW w:w="11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1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2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  <w:tblCellSpacing w:w="0" w:type="dxa"/>
          <w:jc w:val="center"/>
        </w:trPr>
        <w:tc>
          <w:tcPr>
            <w:tcW w:w="150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</w:pPr>
            <w:r>
              <w:t>规范性文件</w:t>
            </w:r>
          </w:p>
        </w:tc>
        <w:tc>
          <w:tcPr>
            <w:tcW w:w="11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1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2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  <w:tblCellSpacing w:w="0" w:type="dxa"/>
          <w:jc w:val="center"/>
        </w:trPr>
        <w:tc>
          <w:tcPr>
            <w:tcW w:w="5000" w:type="pct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第二十条第（五）项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  <w:tblCellSpacing w:w="0" w:type="dxa"/>
          <w:jc w:val="center"/>
        </w:trPr>
        <w:tc>
          <w:tcPr>
            <w:tcW w:w="150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信息内容</w:t>
            </w:r>
          </w:p>
        </w:tc>
        <w:tc>
          <w:tcPr>
            <w:tcW w:w="11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上一年项目数量</w:t>
            </w:r>
          </w:p>
        </w:tc>
        <w:tc>
          <w:tcPr>
            <w:tcW w:w="11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本年增</w:t>
            </w:r>
            <w:r>
              <w:rPr>
                <w:lang w:val="en-US"/>
              </w:rPr>
              <w:t>/</w:t>
            </w:r>
            <w:r>
              <w:t>减</w:t>
            </w:r>
          </w:p>
        </w:tc>
        <w:tc>
          <w:tcPr>
            <w:tcW w:w="12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处理决定数量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  <w:tblCellSpacing w:w="0" w:type="dxa"/>
          <w:jc w:val="center"/>
        </w:trPr>
        <w:tc>
          <w:tcPr>
            <w:tcW w:w="150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</w:pPr>
            <w:r>
              <w:t>行政许可</w:t>
            </w:r>
          </w:p>
        </w:tc>
        <w:tc>
          <w:tcPr>
            <w:tcW w:w="11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1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-8</w:t>
            </w:r>
          </w:p>
        </w:tc>
        <w:tc>
          <w:tcPr>
            <w:tcW w:w="12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  <w:tblCellSpacing w:w="0" w:type="dxa"/>
          <w:jc w:val="center"/>
        </w:trPr>
        <w:tc>
          <w:tcPr>
            <w:tcW w:w="150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</w:pPr>
            <w:r>
              <w:t>其他对外管理服务事项</w:t>
            </w:r>
          </w:p>
        </w:tc>
        <w:tc>
          <w:tcPr>
            <w:tcW w:w="11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11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-28</w:t>
            </w:r>
          </w:p>
        </w:tc>
        <w:tc>
          <w:tcPr>
            <w:tcW w:w="12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575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  <w:tblCellSpacing w:w="0" w:type="dxa"/>
          <w:jc w:val="center"/>
        </w:trPr>
        <w:tc>
          <w:tcPr>
            <w:tcW w:w="5000" w:type="pct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第二十条第（六）项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  <w:tblCellSpacing w:w="0" w:type="dxa"/>
          <w:jc w:val="center"/>
        </w:trPr>
        <w:tc>
          <w:tcPr>
            <w:tcW w:w="150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信息内容</w:t>
            </w:r>
          </w:p>
        </w:tc>
        <w:tc>
          <w:tcPr>
            <w:tcW w:w="11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上一年项目数量</w:t>
            </w:r>
          </w:p>
        </w:tc>
        <w:tc>
          <w:tcPr>
            <w:tcW w:w="11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本年增</w:t>
            </w:r>
            <w:r>
              <w:rPr>
                <w:lang w:val="en-US"/>
              </w:rPr>
              <w:t>/</w:t>
            </w:r>
            <w:r>
              <w:t>减</w:t>
            </w:r>
          </w:p>
        </w:tc>
        <w:tc>
          <w:tcPr>
            <w:tcW w:w="12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处理决定数量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  <w:tblCellSpacing w:w="0" w:type="dxa"/>
          <w:jc w:val="center"/>
        </w:trPr>
        <w:tc>
          <w:tcPr>
            <w:tcW w:w="150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</w:pPr>
            <w:r>
              <w:t>行政处罚</w:t>
            </w:r>
          </w:p>
        </w:tc>
        <w:tc>
          <w:tcPr>
            <w:tcW w:w="11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11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-11</w:t>
            </w:r>
          </w:p>
        </w:tc>
        <w:tc>
          <w:tcPr>
            <w:tcW w:w="12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  <w:tblCellSpacing w:w="0" w:type="dxa"/>
          <w:jc w:val="center"/>
        </w:trPr>
        <w:tc>
          <w:tcPr>
            <w:tcW w:w="150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</w:pPr>
            <w:r>
              <w:t>行政强制</w:t>
            </w:r>
          </w:p>
        </w:tc>
        <w:tc>
          <w:tcPr>
            <w:tcW w:w="11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1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-4</w:t>
            </w:r>
          </w:p>
        </w:tc>
        <w:tc>
          <w:tcPr>
            <w:tcW w:w="12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  <w:tblCellSpacing w:w="0" w:type="dxa"/>
          <w:jc w:val="center"/>
        </w:trPr>
        <w:tc>
          <w:tcPr>
            <w:tcW w:w="5000" w:type="pct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第二十条第（八）项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  <w:tblCellSpacing w:w="0" w:type="dxa"/>
          <w:jc w:val="center"/>
        </w:trPr>
        <w:tc>
          <w:tcPr>
            <w:tcW w:w="150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信息内容</w:t>
            </w:r>
          </w:p>
        </w:tc>
        <w:tc>
          <w:tcPr>
            <w:tcW w:w="11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上一年项目数量</w:t>
            </w:r>
          </w:p>
        </w:tc>
        <w:tc>
          <w:tcPr>
            <w:tcW w:w="2380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本年增</w:t>
            </w:r>
            <w:r>
              <w:rPr>
                <w:lang w:val="en-US"/>
              </w:rPr>
              <w:t>/</w:t>
            </w:r>
            <w:r>
              <w:t>减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  <w:tblCellSpacing w:w="0" w:type="dxa"/>
          <w:jc w:val="center"/>
        </w:trPr>
        <w:tc>
          <w:tcPr>
            <w:tcW w:w="150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</w:pPr>
            <w:r>
              <w:t>行政事业性收费</w:t>
            </w:r>
          </w:p>
        </w:tc>
        <w:tc>
          <w:tcPr>
            <w:tcW w:w="11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2380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  <w:tblCellSpacing w:w="0" w:type="dxa"/>
          <w:jc w:val="center"/>
        </w:trPr>
        <w:tc>
          <w:tcPr>
            <w:tcW w:w="5000" w:type="pct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第二十条第（九）项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  <w:tblCellSpacing w:w="0" w:type="dxa"/>
          <w:jc w:val="center"/>
        </w:trPr>
        <w:tc>
          <w:tcPr>
            <w:tcW w:w="150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信息内容</w:t>
            </w:r>
          </w:p>
        </w:tc>
        <w:tc>
          <w:tcPr>
            <w:tcW w:w="11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采购项目数量</w:t>
            </w:r>
          </w:p>
        </w:tc>
        <w:tc>
          <w:tcPr>
            <w:tcW w:w="2380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采购总金额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tblCellSpacing w:w="0" w:type="dxa"/>
          <w:jc w:val="center"/>
        </w:trPr>
        <w:tc>
          <w:tcPr>
            <w:tcW w:w="150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</w:pPr>
            <w:r>
              <w:t>政府集中采购</w:t>
            </w:r>
          </w:p>
        </w:tc>
        <w:tc>
          <w:tcPr>
            <w:tcW w:w="111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一项，为区十四五规划公开招标</w:t>
            </w:r>
          </w:p>
        </w:tc>
        <w:tc>
          <w:tcPr>
            <w:tcW w:w="2380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92</w:t>
            </w:r>
            <w:r>
              <w:t>万元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三、收到和处理政府信息公开申请情况</w:t>
      </w:r>
    </w:p>
    <w:tbl>
      <w:tblPr>
        <w:tblStyle w:val="4"/>
        <w:tblW w:w="4999" w:type="pct"/>
        <w:jc w:val="center"/>
        <w:tblCellSpacing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0"/>
        <w:gridCol w:w="1350"/>
        <w:gridCol w:w="2304"/>
        <w:gridCol w:w="485"/>
        <w:gridCol w:w="485"/>
        <w:gridCol w:w="485"/>
        <w:gridCol w:w="585"/>
        <w:gridCol w:w="605"/>
        <w:gridCol w:w="493"/>
        <w:gridCol w:w="61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  <w:tblCellSpacing w:w="0" w:type="dxa"/>
          <w:jc w:val="center"/>
        </w:trPr>
        <w:tc>
          <w:tcPr>
            <w:tcW w:w="2631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（本列数据的勾稽关系为：第一项加第二项之和，等于第三项加第四项之和）</w:t>
            </w:r>
          </w:p>
        </w:tc>
        <w:tc>
          <w:tcPr>
            <w:tcW w:w="2368" w:type="pct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申请人情况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  <w:jc w:val="center"/>
        </w:trPr>
        <w:tc>
          <w:tcPr>
            <w:tcW w:w="2631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  <w:r>
              <w:t>自然人</w:t>
            </w:r>
          </w:p>
        </w:tc>
        <w:tc>
          <w:tcPr>
            <w:tcW w:w="1677" w:type="pct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法人或其他组织</w:t>
            </w:r>
          </w:p>
        </w:tc>
        <w:tc>
          <w:tcPr>
            <w:tcW w:w="38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  <w:r>
              <w:t>总计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  <w:jc w:val="center"/>
        </w:trPr>
        <w:tc>
          <w:tcPr>
            <w:tcW w:w="2631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  <w:r>
              <w:t>商业企业</w:t>
            </w:r>
          </w:p>
        </w:tc>
        <w:tc>
          <w:tcPr>
            <w:tcW w:w="3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  <w:r>
              <w:t>科研机构</w:t>
            </w:r>
          </w:p>
        </w:tc>
        <w:tc>
          <w:tcPr>
            <w:tcW w:w="38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  <w:r>
              <w:t>社会公益组织</w:t>
            </w:r>
          </w:p>
        </w:tc>
        <w:tc>
          <w:tcPr>
            <w:tcW w:w="38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  <w:r>
              <w:t>法律服务机构</w:t>
            </w:r>
          </w:p>
        </w:tc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  <w:r>
              <w:t>其他</w:t>
            </w:r>
          </w:p>
        </w:tc>
        <w:tc>
          <w:tcPr>
            <w:tcW w:w="38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  <w:jc w:val="center"/>
        </w:trPr>
        <w:tc>
          <w:tcPr>
            <w:tcW w:w="2631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</w:pPr>
            <w:r>
              <w:t>一、本年新收政府信息公开申请数量</w:t>
            </w:r>
          </w:p>
        </w:tc>
        <w:tc>
          <w:tcPr>
            <w:tcW w:w="3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8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8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  <w:jc w:val="center"/>
        </w:trPr>
        <w:tc>
          <w:tcPr>
            <w:tcW w:w="2631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</w:pPr>
            <w:r>
              <w:t>二、上年结转政府信息公开申请数量</w:t>
            </w:r>
          </w:p>
        </w:tc>
        <w:tc>
          <w:tcPr>
            <w:tcW w:w="3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8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8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  <w:jc w:val="center"/>
        </w:trPr>
        <w:tc>
          <w:tcPr>
            <w:tcW w:w="400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</w:pPr>
            <w:r>
              <w:t>三、本年度办理结果</w:t>
            </w:r>
          </w:p>
        </w:tc>
        <w:tc>
          <w:tcPr>
            <w:tcW w:w="2230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</w:pPr>
            <w:r>
              <w:t>（一）予以公开</w:t>
            </w:r>
          </w:p>
        </w:tc>
        <w:tc>
          <w:tcPr>
            <w:tcW w:w="3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8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8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  <w:jc w:val="center"/>
        </w:trPr>
        <w:tc>
          <w:tcPr>
            <w:tcW w:w="400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0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</w:pPr>
            <w:r>
              <w:t>（二）部分公开（区分处理的，只计这一情形，不计其他情形）</w:t>
            </w:r>
          </w:p>
        </w:tc>
        <w:tc>
          <w:tcPr>
            <w:tcW w:w="3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8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8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  <w:jc w:val="center"/>
        </w:trPr>
        <w:tc>
          <w:tcPr>
            <w:tcW w:w="400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9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（三）不予公开</w:t>
            </w:r>
          </w:p>
        </w:tc>
        <w:tc>
          <w:tcPr>
            <w:tcW w:w="14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lang w:val="en-US"/>
              </w:rPr>
              <w:t>1</w:t>
            </w:r>
            <w:r>
              <w:t>．属于国家秘密</w:t>
            </w:r>
          </w:p>
        </w:tc>
        <w:tc>
          <w:tcPr>
            <w:tcW w:w="3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8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8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  <w:jc w:val="center"/>
        </w:trPr>
        <w:tc>
          <w:tcPr>
            <w:tcW w:w="400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9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lang w:val="en-US"/>
              </w:rPr>
              <w:t>2</w:t>
            </w:r>
            <w:r>
              <w:t>．其他法律行政法规禁止公开</w:t>
            </w:r>
          </w:p>
        </w:tc>
        <w:tc>
          <w:tcPr>
            <w:tcW w:w="3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8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8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  <w:jc w:val="center"/>
        </w:trPr>
        <w:tc>
          <w:tcPr>
            <w:tcW w:w="400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9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lang w:val="en-US"/>
              </w:rPr>
              <w:t>3</w:t>
            </w:r>
            <w:r>
              <w:t>．危及</w:t>
            </w:r>
            <w:r>
              <w:rPr>
                <w:lang w:val="en-US"/>
              </w:rPr>
              <w:t>“</w:t>
            </w:r>
            <w:r>
              <w:t>三安全一稳定</w:t>
            </w:r>
            <w:r>
              <w:rPr>
                <w:lang w:val="en-US"/>
              </w:rPr>
              <w:t>”</w:t>
            </w:r>
          </w:p>
        </w:tc>
        <w:tc>
          <w:tcPr>
            <w:tcW w:w="3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8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8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  <w:jc w:val="center"/>
        </w:trPr>
        <w:tc>
          <w:tcPr>
            <w:tcW w:w="400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9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lang w:val="en-US"/>
              </w:rPr>
              <w:t>4</w:t>
            </w:r>
            <w:r>
              <w:t>．保护第三方合法权益</w:t>
            </w:r>
          </w:p>
        </w:tc>
        <w:tc>
          <w:tcPr>
            <w:tcW w:w="3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8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8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  <w:jc w:val="center"/>
        </w:trPr>
        <w:tc>
          <w:tcPr>
            <w:tcW w:w="400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9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lang w:val="en-US"/>
              </w:rPr>
              <w:t>5</w:t>
            </w:r>
            <w:r>
              <w:t>．属于三类内部事务信息</w:t>
            </w:r>
          </w:p>
        </w:tc>
        <w:tc>
          <w:tcPr>
            <w:tcW w:w="3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8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8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  <w:jc w:val="center"/>
        </w:trPr>
        <w:tc>
          <w:tcPr>
            <w:tcW w:w="400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9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lang w:val="en-US"/>
              </w:rPr>
              <w:t>6</w:t>
            </w:r>
            <w:r>
              <w:t>．属于四类过程性信息</w:t>
            </w:r>
          </w:p>
        </w:tc>
        <w:tc>
          <w:tcPr>
            <w:tcW w:w="3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8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8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  <w:jc w:val="center"/>
        </w:trPr>
        <w:tc>
          <w:tcPr>
            <w:tcW w:w="400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9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lang w:val="en-US"/>
              </w:rPr>
              <w:t>7</w:t>
            </w:r>
            <w:r>
              <w:t>．属于行政执法案卷</w:t>
            </w:r>
          </w:p>
        </w:tc>
        <w:tc>
          <w:tcPr>
            <w:tcW w:w="3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8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8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  <w:jc w:val="center"/>
        </w:trPr>
        <w:tc>
          <w:tcPr>
            <w:tcW w:w="400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9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lang w:val="en-US"/>
              </w:rPr>
              <w:t>8</w:t>
            </w:r>
            <w:r>
              <w:t>．属于行政查询事项</w:t>
            </w:r>
          </w:p>
        </w:tc>
        <w:tc>
          <w:tcPr>
            <w:tcW w:w="3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8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8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  <w:jc w:val="center"/>
        </w:trPr>
        <w:tc>
          <w:tcPr>
            <w:tcW w:w="400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9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（四）无法提供</w:t>
            </w:r>
          </w:p>
        </w:tc>
        <w:tc>
          <w:tcPr>
            <w:tcW w:w="14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lang w:val="en-US"/>
              </w:rPr>
              <w:t>1</w:t>
            </w:r>
            <w:r>
              <w:t>．本机关不掌握相关政府信息</w:t>
            </w:r>
          </w:p>
        </w:tc>
        <w:tc>
          <w:tcPr>
            <w:tcW w:w="3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8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8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  <w:jc w:val="center"/>
        </w:trPr>
        <w:tc>
          <w:tcPr>
            <w:tcW w:w="400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9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lang w:val="en-US"/>
              </w:rPr>
              <w:t>2</w:t>
            </w:r>
            <w:r>
              <w:t>．没有现成信息需要另行制作</w:t>
            </w:r>
          </w:p>
        </w:tc>
        <w:tc>
          <w:tcPr>
            <w:tcW w:w="3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8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8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  <w:jc w:val="center"/>
        </w:trPr>
        <w:tc>
          <w:tcPr>
            <w:tcW w:w="400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9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lang w:val="en-US"/>
              </w:rPr>
              <w:t>3</w:t>
            </w:r>
            <w:r>
              <w:t>．补正后申请内容仍不明确</w:t>
            </w:r>
          </w:p>
        </w:tc>
        <w:tc>
          <w:tcPr>
            <w:tcW w:w="3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8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8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  <w:jc w:val="center"/>
        </w:trPr>
        <w:tc>
          <w:tcPr>
            <w:tcW w:w="400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9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（五）不予处理</w:t>
            </w:r>
          </w:p>
        </w:tc>
        <w:tc>
          <w:tcPr>
            <w:tcW w:w="14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lang w:val="en-US"/>
              </w:rPr>
              <w:t>1</w:t>
            </w:r>
            <w:r>
              <w:t>．信访举报投诉类申请</w:t>
            </w:r>
          </w:p>
        </w:tc>
        <w:tc>
          <w:tcPr>
            <w:tcW w:w="3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8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8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  <w:jc w:val="center"/>
        </w:trPr>
        <w:tc>
          <w:tcPr>
            <w:tcW w:w="400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9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lang w:val="en-US"/>
              </w:rPr>
              <w:t>2</w:t>
            </w:r>
            <w:r>
              <w:t>．重复申请</w:t>
            </w:r>
          </w:p>
        </w:tc>
        <w:tc>
          <w:tcPr>
            <w:tcW w:w="3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8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8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  <w:jc w:val="center"/>
        </w:trPr>
        <w:tc>
          <w:tcPr>
            <w:tcW w:w="400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9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lang w:val="en-US"/>
              </w:rPr>
              <w:t>3</w:t>
            </w:r>
            <w:r>
              <w:t>．要求提供公开出版物</w:t>
            </w:r>
          </w:p>
        </w:tc>
        <w:tc>
          <w:tcPr>
            <w:tcW w:w="3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8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8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  <w:jc w:val="center"/>
        </w:trPr>
        <w:tc>
          <w:tcPr>
            <w:tcW w:w="400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9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lang w:val="en-US"/>
              </w:rPr>
              <w:t>4</w:t>
            </w:r>
            <w:r>
              <w:t>．无正当理由大量反复申请</w:t>
            </w:r>
          </w:p>
        </w:tc>
        <w:tc>
          <w:tcPr>
            <w:tcW w:w="3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8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8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  <w:jc w:val="center"/>
        </w:trPr>
        <w:tc>
          <w:tcPr>
            <w:tcW w:w="400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9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lang w:val="en-US"/>
              </w:rPr>
              <w:t>5</w:t>
            </w:r>
            <w:r>
              <w:t>．要求行政机关确认或重新出具已获取信息</w:t>
            </w:r>
          </w:p>
        </w:tc>
        <w:tc>
          <w:tcPr>
            <w:tcW w:w="3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8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8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  <w:jc w:val="center"/>
        </w:trPr>
        <w:tc>
          <w:tcPr>
            <w:tcW w:w="4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lang w:val="en-US"/>
              </w:rPr>
              <w:t> </w:t>
            </w:r>
          </w:p>
        </w:tc>
        <w:tc>
          <w:tcPr>
            <w:tcW w:w="2230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</w:pPr>
            <w:r>
              <w:t>（六）其他处理</w:t>
            </w:r>
          </w:p>
        </w:tc>
        <w:tc>
          <w:tcPr>
            <w:tcW w:w="3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8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8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  <w:jc w:val="center"/>
        </w:trPr>
        <w:tc>
          <w:tcPr>
            <w:tcW w:w="4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lang w:val="en-US"/>
              </w:rPr>
              <w:t> </w:t>
            </w:r>
          </w:p>
        </w:tc>
        <w:tc>
          <w:tcPr>
            <w:tcW w:w="2230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</w:pPr>
            <w:r>
              <w:t>（七）总计</w:t>
            </w:r>
          </w:p>
        </w:tc>
        <w:tc>
          <w:tcPr>
            <w:tcW w:w="3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8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8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  <w:tblCellSpacing w:w="0" w:type="dxa"/>
          <w:jc w:val="center"/>
        </w:trPr>
        <w:tc>
          <w:tcPr>
            <w:tcW w:w="2631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</w:pPr>
            <w:r>
              <w:t>四、结转下年度继续办理</w:t>
            </w:r>
          </w:p>
        </w:tc>
        <w:tc>
          <w:tcPr>
            <w:tcW w:w="3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2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8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8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ind w:left="0" w:firstLine="42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/>
        </w:rPr>
        <w:t> 四、</w:t>
      </w:r>
      <w:r>
        <w:rPr>
          <w:rFonts w:hint="eastAsia" w:ascii="黑体" w:hAnsi="黑体" w:eastAsia="黑体" w:cs="黑体"/>
          <w:sz w:val="32"/>
          <w:szCs w:val="32"/>
        </w:rPr>
        <w:t>政府信息公开行政复议、行政诉讼情况</w:t>
      </w:r>
    </w:p>
    <w:tbl>
      <w:tblPr>
        <w:tblStyle w:val="4"/>
        <w:tblpPr w:leftFromText="180" w:rightFromText="180" w:vertAnchor="text" w:horzAnchor="page" w:tblpX="1786" w:tblpY="572"/>
        <w:tblOverlap w:val="never"/>
        <w:tblW w:w="5000" w:type="pct"/>
        <w:tblCellSpacing w:w="0" w:type="dxa"/>
        <w:tblInd w:w="-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555"/>
        <w:gridCol w:w="555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 w:hRule="atLeast"/>
          <w:tblCellSpacing w:w="0" w:type="dxa"/>
        </w:trPr>
        <w:tc>
          <w:tcPr>
            <w:tcW w:w="1665" w:type="pct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行政复议</w:t>
            </w:r>
          </w:p>
        </w:tc>
        <w:tc>
          <w:tcPr>
            <w:tcW w:w="3334" w:type="pct"/>
            <w:gridSpan w:val="10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tblCellSpacing w:w="0" w:type="dxa"/>
        </w:trPr>
        <w:tc>
          <w:tcPr>
            <w:tcW w:w="332" w:type="pct"/>
            <w:vMerge w:val="restar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  <w:r>
              <w:t>结果维持</w:t>
            </w:r>
          </w:p>
        </w:tc>
        <w:tc>
          <w:tcPr>
            <w:tcW w:w="332" w:type="pct"/>
            <w:vMerge w:val="restar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  <w:r>
              <w:t>结果纠正</w:t>
            </w:r>
          </w:p>
        </w:tc>
        <w:tc>
          <w:tcPr>
            <w:tcW w:w="332" w:type="pct"/>
            <w:vMerge w:val="restar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  <w:r>
              <w:t>其他结果</w:t>
            </w:r>
          </w:p>
        </w:tc>
        <w:tc>
          <w:tcPr>
            <w:tcW w:w="332" w:type="pct"/>
            <w:vMerge w:val="restar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  <w:r>
              <w:t>尚未审结</w:t>
            </w:r>
          </w:p>
        </w:tc>
        <w:tc>
          <w:tcPr>
            <w:tcW w:w="333" w:type="pct"/>
            <w:vMerge w:val="restar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  <w:r>
              <w:t>总计</w:t>
            </w:r>
          </w:p>
        </w:tc>
        <w:tc>
          <w:tcPr>
            <w:tcW w:w="1667" w:type="pct"/>
            <w:gridSpan w:val="5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both"/>
            </w:pPr>
            <w:r>
              <w:t>未经复议直接起诉</w:t>
            </w:r>
          </w:p>
        </w:tc>
        <w:tc>
          <w:tcPr>
            <w:tcW w:w="1667" w:type="pct"/>
            <w:gridSpan w:val="5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both"/>
            </w:pPr>
            <w: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332" w:type="pct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2" w:type="pct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2" w:type="pct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2" w:type="pct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" w:type="pct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  <w:r>
              <w:t>结果维持</w:t>
            </w:r>
          </w:p>
        </w:tc>
        <w:tc>
          <w:tcPr>
            <w:tcW w:w="333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  <w:r>
              <w:t>结果纠正</w:t>
            </w:r>
          </w:p>
        </w:tc>
        <w:tc>
          <w:tcPr>
            <w:tcW w:w="333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  <w:r>
              <w:t>其他结果</w:t>
            </w:r>
          </w:p>
        </w:tc>
        <w:tc>
          <w:tcPr>
            <w:tcW w:w="333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  <w:r>
              <w:t>尚未审结</w:t>
            </w:r>
          </w:p>
        </w:tc>
        <w:tc>
          <w:tcPr>
            <w:tcW w:w="333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  <w:r>
              <w:t>总计</w:t>
            </w:r>
          </w:p>
        </w:tc>
        <w:tc>
          <w:tcPr>
            <w:tcW w:w="333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  <w:r>
              <w:t>结果维持</w:t>
            </w:r>
          </w:p>
        </w:tc>
        <w:tc>
          <w:tcPr>
            <w:tcW w:w="333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  <w:r>
              <w:t>结果纠正</w:t>
            </w:r>
          </w:p>
        </w:tc>
        <w:tc>
          <w:tcPr>
            <w:tcW w:w="333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  <w:r>
              <w:t>其他结果</w:t>
            </w:r>
          </w:p>
        </w:tc>
        <w:tc>
          <w:tcPr>
            <w:tcW w:w="333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  <w:r>
              <w:t>尚未审结</w:t>
            </w:r>
          </w:p>
        </w:tc>
        <w:tc>
          <w:tcPr>
            <w:tcW w:w="333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  <w: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 w:hRule="atLeast"/>
          <w:tblCellSpacing w:w="0" w:type="dxa"/>
        </w:trPr>
        <w:tc>
          <w:tcPr>
            <w:tcW w:w="3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3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3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3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3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3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3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3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3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3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3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3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3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3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3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lang w:val="en-US"/>
              </w:rPr>
              <w:t>0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五、存在的主要问题及改进情况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　</w:t>
      </w:r>
      <w:r>
        <w:rPr>
          <w:rFonts w:hint="eastAsia" w:ascii="仿宋" w:hAnsi="仿宋" w:eastAsia="仿宋" w:cs="仿宋"/>
          <w:sz w:val="32"/>
          <w:szCs w:val="32"/>
        </w:rPr>
        <w:t>目前我局政府信息公开工作存在的问题主要有：一是信息公开的内容与社会和群众的需求性还存在着一定的差距。二是公开事项还相对不够细化。主要从以下三个方面作出改进：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　</w:t>
      </w:r>
      <w:r>
        <w:rPr>
          <w:rFonts w:hint="eastAsia" w:ascii="仿宋" w:hAnsi="仿宋" w:eastAsia="仿宋" w:cs="仿宋"/>
          <w:sz w:val="32"/>
          <w:szCs w:val="32"/>
        </w:rPr>
        <w:t>（一）在前阶段信息公开工作的基础上，结合本单位实际，对信息公开目录作进一步完善，使之贴近工作实际。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　</w:t>
      </w:r>
      <w:r>
        <w:rPr>
          <w:rFonts w:hint="eastAsia" w:ascii="仿宋" w:hAnsi="仿宋" w:eastAsia="仿宋" w:cs="仿宋"/>
          <w:sz w:val="32"/>
          <w:szCs w:val="32"/>
        </w:rPr>
        <w:t>（二）全面梳理信息公开内容，力求做到及时、全面、准确公开政府信息，特别是社会关注度高、与群众生产生活密切相关的信息要及时公开。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　</w:t>
      </w:r>
      <w:r>
        <w:rPr>
          <w:rFonts w:hint="eastAsia" w:ascii="仿宋" w:hAnsi="仿宋" w:eastAsia="仿宋" w:cs="仿宋"/>
          <w:sz w:val="32"/>
          <w:szCs w:val="32"/>
        </w:rPr>
        <w:t>（三）做好宣传工作，正确引导社会公众正确行使知情权，以充分发挥信息公开的作用。</w:t>
      </w:r>
    </w:p>
    <w:p>
      <w:pPr>
        <w:ind w:firstLine="64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六、其他需要报告的事项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AF37F1"/>
    <w:rsid w:val="15AF37F1"/>
    <w:rsid w:val="306E61BE"/>
    <w:rsid w:val="6D7E35E0"/>
    <w:rsid w:val="73FC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2021-02-02T07:07:00Z</dcterms:created>
  <dc:creator>徐汪</dc:creator>
  <cp:lastModifiedBy>银杏果</cp:lastModifiedBy>
  <dcterms:modified xsi:type="dcterms:W3CDTF">2022-01-25T06:18:35Z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