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98B2" w14:textId="77777777" w:rsidR="007260CB" w:rsidRDefault="007260CB">
      <w:pPr>
        <w:snapToGrid w:val="0"/>
        <w:spacing w:line="576" w:lineRule="exact"/>
        <w:jc w:val="center"/>
        <w:rPr>
          <w:rFonts w:eastAsia="仿宋_GB2312"/>
          <w:color w:val="000000" w:themeColor="text1"/>
        </w:rPr>
      </w:pPr>
    </w:p>
    <w:p w14:paraId="2F70C480" w14:textId="77777777" w:rsidR="007260CB" w:rsidRDefault="007260CB">
      <w:pPr>
        <w:snapToGrid w:val="0"/>
        <w:spacing w:line="576" w:lineRule="exact"/>
        <w:jc w:val="center"/>
        <w:rPr>
          <w:rFonts w:eastAsia="仿宋_GB2312"/>
        </w:rPr>
      </w:pPr>
    </w:p>
    <w:p w14:paraId="142F2231" w14:textId="77777777" w:rsidR="007260CB" w:rsidRDefault="007260CB">
      <w:pPr>
        <w:snapToGrid w:val="0"/>
        <w:spacing w:line="576" w:lineRule="exact"/>
        <w:jc w:val="center"/>
        <w:rPr>
          <w:rFonts w:eastAsia="仿宋_GB2312"/>
        </w:rPr>
      </w:pPr>
    </w:p>
    <w:p w14:paraId="6F3F7469" w14:textId="77777777" w:rsidR="007260CB" w:rsidRDefault="007260CB">
      <w:pPr>
        <w:snapToGrid w:val="0"/>
        <w:spacing w:line="576" w:lineRule="exact"/>
        <w:jc w:val="center"/>
        <w:rPr>
          <w:rFonts w:eastAsia="仿宋_GB2312"/>
        </w:rPr>
      </w:pPr>
    </w:p>
    <w:p w14:paraId="7061CC57" w14:textId="77777777" w:rsidR="007260CB" w:rsidRDefault="007260CB">
      <w:pPr>
        <w:snapToGrid w:val="0"/>
        <w:spacing w:line="576" w:lineRule="exact"/>
        <w:jc w:val="center"/>
        <w:rPr>
          <w:rFonts w:eastAsia="仿宋_GB2312"/>
        </w:rPr>
      </w:pPr>
    </w:p>
    <w:p w14:paraId="72E90A88" w14:textId="77777777" w:rsidR="007260CB" w:rsidRDefault="007260CB">
      <w:pPr>
        <w:spacing w:line="600" w:lineRule="exact"/>
        <w:rPr>
          <w:rFonts w:eastAsia="仿宋_GB2312"/>
          <w:sz w:val="32"/>
          <w:szCs w:val="32"/>
        </w:rPr>
      </w:pPr>
    </w:p>
    <w:p w14:paraId="7145F705" w14:textId="77777777" w:rsidR="007260CB" w:rsidRDefault="00001226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川政字〔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73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eastAsia="仿宋_GB2312"/>
          <w:sz w:val="32"/>
          <w:szCs w:val="32"/>
        </w:rPr>
        <w:t>签发人：</w:t>
      </w:r>
      <w:r>
        <w:rPr>
          <w:rFonts w:eastAsia="楷体_GB2312" w:hint="eastAsia"/>
          <w:sz w:val="32"/>
          <w:szCs w:val="32"/>
        </w:rPr>
        <w:t>冯炳涛</w:t>
      </w:r>
      <w:r>
        <w:rPr>
          <w:rFonts w:eastAsia="仿宋_GB2312"/>
          <w:sz w:val="32"/>
          <w:szCs w:val="32"/>
        </w:rPr>
        <w:t xml:space="preserve"> </w:t>
      </w:r>
    </w:p>
    <w:p w14:paraId="24225F26" w14:textId="77777777" w:rsidR="007260CB" w:rsidRDefault="007260CB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55A8F0AC" w14:textId="77777777" w:rsidR="007260CB" w:rsidRDefault="007260CB">
      <w:pPr>
        <w:pStyle w:val="2"/>
        <w:rPr>
          <w:rFonts w:hint="default"/>
        </w:rPr>
      </w:pPr>
    </w:p>
    <w:p w14:paraId="4D25D558" w14:textId="77777777" w:rsidR="007260CB" w:rsidRDefault="0000122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淄川区人民政府</w:t>
      </w:r>
    </w:p>
    <w:p w14:paraId="3F766929" w14:textId="77777777" w:rsidR="007260CB" w:rsidRDefault="00001226">
      <w:pPr>
        <w:snapToGrid w:val="0"/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关于</w:t>
      </w:r>
      <w:r>
        <w:rPr>
          <w:rFonts w:eastAsia="方正小标宋简体"/>
          <w:bCs/>
          <w:kern w:val="0"/>
          <w:sz w:val="44"/>
          <w:szCs w:val="44"/>
        </w:rPr>
        <w:t>2022</w:t>
      </w:r>
      <w:r>
        <w:rPr>
          <w:rFonts w:eastAsia="方正小标宋简体"/>
          <w:bCs/>
          <w:kern w:val="0"/>
          <w:sz w:val="44"/>
          <w:szCs w:val="44"/>
        </w:rPr>
        <w:t>年上半年预算执行情况报告审议</w:t>
      </w:r>
    </w:p>
    <w:p w14:paraId="3CAD1BB7" w14:textId="77777777" w:rsidR="007260CB" w:rsidRDefault="00001226">
      <w:pPr>
        <w:snapToGrid w:val="0"/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意见整改落实情况的报告</w:t>
      </w:r>
    </w:p>
    <w:p w14:paraId="580D22CE" w14:textId="77777777" w:rsidR="007260CB" w:rsidRDefault="007260CB">
      <w:pPr>
        <w:spacing w:line="560" w:lineRule="exact"/>
        <w:jc w:val="center"/>
        <w:rPr>
          <w:rFonts w:eastAsia="仿宋_GB2312"/>
          <w:sz w:val="32"/>
          <w:szCs w:val="32"/>
        </w:rPr>
      </w:pPr>
    </w:p>
    <w:p w14:paraId="0AFD2530" w14:textId="77777777" w:rsidR="007260CB" w:rsidRDefault="00001226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区人大常委会：</w:t>
      </w:r>
    </w:p>
    <w:p w14:paraId="2C884894" w14:textId="77777777" w:rsidR="007260CB" w:rsidRDefault="00001226">
      <w:pPr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关于区第十九届人大常委会第四次会</w:t>
      </w:r>
      <w:r>
        <w:rPr>
          <w:rFonts w:eastAsia="仿宋_GB2312"/>
          <w:color w:val="000000"/>
          <w:sz w:val="32"/>
          <w:szCs w:val="32"/>
        </w:rPr>
        <w:t>议对</w:t>
      </w:r>
      <w:r>
        <w:rPr>
          <w:rFonts w:eastAsia="仿宋_GB2312"/>
          <w:color w:val="000000"/>
          <w:sz w:val="32"/>
          <w:szCs w:val="32"/>
        </w:rPr>
        <w:t>2022</w:t>
      </w:r>
      <w:r>
        <w:rPr>
          <w:rFonts w:eastAsia="仿宋_GB2312"/>
          <w:color w:val="000000"/>
          <w:sz w:val="32"/>
          <w:szCs w:val="32"/>
        </w:rPr>
        <w:t>年上半年预算执行情况提出的审议意见，区政府高度重视，</w:t>
      </w:r>
      <w:r>
        <w:rPr>
          <w:rFonts w:eastAsia="仿宋_GB2312" w:hint="eastAsia"/>
          <w:color w:val="000000"/>
          <w:sz w:val="32"/>
          <w:szCs w:val="32"/>
        </w:rPr>
        <w:t>认真</w:t>
      </w:r>
      <w:r>
        <w:rPr>
          <w:rFonts w:eastAsia="仿宋_GB2312"/>
          <w:color w:val="000000"/>
          <w:sz w:val="32"/>
          <w:szCs w:val="32"/>
        </w:rPr>
        <w:t>分析研究，</w:t>
      </w:r>
      <w:r>
        <w:rPr>
          <w:rFonts w:eastAsia="仿宋_GB2312" w:hint="eastAsia"/>
          <w:color w:val="000000"/>
          <w:sz w:val="32"/>
          <w:szCs w:val="32"/>
        </w:rPr>
        <w:t>严格整改落实，</w:t>
      </w:r>
      <w:r>
        <w:rPr>
          <w:rFonts w:eastAsia="仿宋_GB2312"/>
          <w:color w:val="000000"/>
          <w:sz w:val="32"/>
          <w:szCs w:val="32"/>
        </w:rPr>
        <w:t>现将</w:t>
      </w:r>
      <w:r>
        <w:rPr>
          <w:rFonts w:eastAsia="仿宋_GB2312" w:hint="eastAsia"/>
          <w:color w:val="000000"/>
          <w:sz w:val="32"/>
          <w:szCs w:val="32"/>
        </w:rPr>
        <w:t>有关</w:t>
      </w:r>
      <w:r>
        <w:rPr>
          <w:rFonts w:eastAsia="仿宋_GB2312"/>
          <w:color w:val="000000"/>
          <w:sz w:val="32"/>
          <w:szCs w:val="32"/>
        </w:rPr>
        <w:t>情况报告如下：</w:t>
      </w:r>
    </w:p>
    <w:p w14:paraId="03551AB4" w14:textId="77777777" w:rsidR="007260CB" w:rsidRDefault="00001226">
      <w:pPr>
        <w:snapToGrid w:val="0"/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一、关于</w:t>
      </w:r>
      <w:r>
        <w:rPr>
          <w:rFonts w:eastAsia="黑体"/>
          <w:color w:val="000000" w:themeColor="text1"/>
          <w:sz w:val="32"/>
          <w:szCs w:val="32"/>
        </w:rPr>
        <w:t>“</w:t>
      </w:r>
      <w:r>
        <w:rPr>
          <w:rFonts w:eastAsia="黑体"/>
          <w:color w:val="000000" w:themeColor="text1"/>
          <w:sz w:val="32"/>
          <w:szCs w:val="32"/>
        </w:rPr>
        <w:t>增强财政政策效能和可持续性</w:t>
      </w:r>
      <w:r>
        <w:rPr>
          <w:rFonts w:eastAsia="黑体"/>
          <w:color w:val="000000" w:themeColor="text1"/>
          <w:sz w:val="32"/>
          <w:szCs w:val="32"/>
        </w:rPr>
        <w:t>”</w:t>
      </w:r>
      <w:r>
        <w:rPr>
          <w:rFonts w:eastAsia="黑体"/>
          <w:color w:val="000000" w:themeColor="text1"/>
          <w:sz w:val="32"/>
          <w:szCs w:val="32"/>
        </w:rPr>
        <w:t>方面</w:t>
      </w:r>
    </w:p>
    <w:p w14:paraId="72EE230F" w14:textId="77777777" w:rsidR="007260CB" w:rsidRDefault="00001226">
      <w:pPr>
        <w:spacing w:line="560" w:lineRule="exact"/>
        <w:ind w:firstLineChars="200" w:firstLine="640"/>
        <w:rPr>
          <w:rFonts w:eastAsia="仿宋_GB2312"/>
          <w:color w:val="0000FF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一是</w:t>
      </w:r>
      <w:r>
        <w:rPr>
          <w:rFonts w:eastAsia="楷体_GB2312"/>
          <w:bCs/>
          <w:color w:val="000000" w:themeColor="text1"/>
          <w:sz w:val="32"/>
          <w:szCs w:val="32"/>
          <w:shd w:val="clear" w:color="auto" w:fill="FFFFFF"/>
        </w:rPr>
        <w:t>加强重大决策部署财力保障</w:t>
      </w:r>
      <w:r>
        <w:rPr>
          <w:rFonts w:eastAsia="楷体_GB2312"/>
          <w:color w:val="000000" w:themeColor="text1"/>
          <w:sz w:val="32"/>
          <w:szCs w:val="32"/>
        </w:rPr>
        <w:t>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全面</w:t>
      </w:r>
      <w:r>
        <w:rPr>
          <w:rFonts w:eastAsia="仿宋_GB2312"/>
          <w:color w:val="000000" w:themeColor="text1"/>
          <w:sz w:val="32"/>
          <w:szCs w:val="32"/>
        </w:rPr>
        <w:t>落实中央、省、市重大决策部署，以及区委、区政府重大战略任务和发展规划，提前研究谋划各领域重点工作，大力调整支出结构，优先保障基本民生支出，着力支持科技、教育、人才、就业、公共卫生、乡村振</w:t>
      </w:r>
      <w:r>
        <w:rPr>
          <w:rFonts w:eastAsia="仿宋_GB2312"/>
          <w:color w:val="000000" w:themeColor="text1"/>
          <w:sz w:val="32"/>
          <w:szCs w:val="32"/>
        </w:rPr>
        <w:lastRenderedPageBreak/>
        <w:t>兴、生态环保等重点领域支出。</w:t>
      </w:r>
      <w:r>
        <w:rPr>
          <w:rFonts w:eastAsia="仿宋_GB2312" w:hint="eastAsia"/>
          <w:color w:val="000000" w:themeColor="text1"/>
          <w:sz w:val="32"/>
          <w:szCs w:val="32"/>
        </w:rPr>
        <w:t>2022</w:t>
      </w:r>
      <w:r>
        <w:rPr>
          <w:rFonts w:eastAsia="仿宋_GB2312" w:hint="eastAsia"/>
          <w:color w:val="000000" w:themeColor="text1"/>
          <w:sz w:val="32"/>
          <w:szCs w:val="32"/>
        </w:rPr>
        <w:t>年</w:t>
      </w:r>
      <w:r>
        <w:rPr>
          <w:rFonts w:eastAsia="仿宋_GB2312"/>
          <w:color w:val="000000" w:themeColor="text1"/>
          <w:sz w:val="32"/>
          <w:szCs w:val="32"/>
        </w:rPr>
        <w:t>全区</w:t>
      </w:r>
      <w:r>
        <w:rPr>
          <w:rFonts w:eastAsia="仿宋_GB2312" w:hint="eastAsia"/>
          <w:color w:val="000000" w:themeColor="text1"/>
          <w:sz w:val="32"/>
          <w:szCs w:val="32"/>
        </w:rPr>
        <w:t>教育、</w:t>
      </w:r>
      <w:r>
        <w:rPr>
          <w:rFonts w:eastAsia="仿宋_GB2312"/>
          <w:color w:val="000000" w:themeColor="text1"/>
          <w:sz w:val="32"/>
          <w:szCs w:val="32"/>
        </w:rPr>
        <w:t>社会保障和就业</w:t>
      </w:r>
      <w:r>
        <w:rPr>
          <w:rFonts w:eastAsia="仿宋_GB2312" w:hint="eastAsia"/>
          <w:color w:val="000000" w:themeColor="text1"/>
          <w:sz w:val="32"/>
          <w:szCs w:val="32"/>
        </w:rPr>
        <w:t>、</w:t>
      </w:r>
      <w:r>
        <w:rPr>
          <w:rFonts w:eastAsia="仿宋_GB2312"/>
          <w:color w:val="000000" w:themeColor="text1"/>
          <w:sz w:val="32"/>
          <w:szCs w:val="32"/>
        </w:rPr>
        <w:t>卫生健康等重点支出</w:t>
      </w:r>
      <w:r>
        <w:rPr>
          <w:rFonts w:eastAsia="仿宋_GB2312" w:hint="eastAsia"/>
          <w:color w:val="000000" w:themeColor="text1"/>
          <w:sz w:val="32"/>
          <w:szCs w:val="32"/>
        </w:rPr>
        <w:t>预算分</w:t>
      </w:r>
      <w:r>
        <w:rPr>
          <w:rFonts w:eastAsia="仿宋_GB2312"/>
          <w:color w:val="000000" w:themeColor="text1"/>
          <w:sz w:val="32"/>
          <w:szCs w:val="32"/>
        </w:rPr>
        <w:t>别增长</w:t>
      </w:r>
      <w:r>
        <w:rPr>
          <w:rFonts w:eastAsia="仿宋_GB2312" w:hint="eastAsia"/>
          <w:color w:val="000000" w:themeColor="text1"/>
          <w:sz w:val="32"/>
          <w:szCs w:val="32"/>
        </w:rPr>
        <w:t>4.69</w:t>
      </w:r>
      <w:r>
        <w:rPr>
          <w:rFonts w:eastAsia="仿宋_GB2312"/>
          <w:color w:val="000000" w:themeColor="text1"/>
          <w:sz w:val="32"/>
          <w:szCs w:val="32"/>
        </w:rPr>
        <w:t>%</w:t>
      </w:r>
      <w:r>
        <w:rPr>
          <w:rFonts w:eastAsia="仿宋_GB2312"/>
          <w:color w:val="000000" w:themeColor="text1"/>
          <w:sz w:val="32"/>
          <w:szCs w:val="32"/>
        </w:rPr>
        <w:t>、</w:t>
      </w:r>
      <w:r>
        <w:rPr>
          <w:rFonts w:eastAsia="仿宋_GB2312" w:hint="eastAsia"/>
          <w:color w:val="000000" w:themeColor="text1"/>
          <w:sz w:val="32"/>
          <w:szCs w:val="32"/>
        </w:rPr>
        <w:t>15.18</w:t>
      </w:r>
      <w:r>
        <w:rPr>
          <w:rFonts w:eastAsia="仿宋_GB2312"/>
          <w:color w:val="000000" w:themeColor="text1"/>
          <w:sz w:val="32"/>
          <w:szCs w:val="32"/>
        </w:rPr>
        <w:t>%</w:t>
      </w:r>
      <w:r>
        <w:rPr>
          <w:rFonts w:eastAsia="仿宋_GB2312" w:hint="eastAsia"/>
          <w:color w:val="000000" w:themeColor="text1"/>
          <w:sz w:val="32"/>
          <w:szCs w:val="32"/>
        </w:rPr>
        <w:t>、</w:t>
      </w:r>
      <w:r>
        <w:rPr>
          <w:rFonts w:eastAsia="仿宋_GB2312" w:hint="eastAsia"/>
          <w:color w:val="000000" w:themeColor="text1"/>
          <w:sz w:val="32"/>
          <w:szCs w:val="32"/>
        </w:rPr>
        <w:t>2.8%</w:t>
      </w:r>
      <w:r>
        <w:rPr>
          <w:rFonts w:eastAsia="仿宋_GB2312"/>
          <w:color w:val="000000" w:themeColor="text1"/>
          <w:sz w:val="32"/>
          <w:szCs w:val="32"/>
        </w:rPr>
        <w:t>。坚持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三保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支出在预算执行中的优先位置，严格执行财力保障、审查监控等监管机制，兜牢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三保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底线。</w:t>
      </w:r>
      <w:r>
        <w:rPr>
          <w:rFonts w:eastAsia="仿宋_GB2312"/>
          <w:sz w:val="32"/>
          <w:szCs w:val="32"/>
        </w:rPr>
        <w:t>1—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月份，</w:t>
      </w:r>
      <w:r>
        <w:rPr>
          <w:rFonts w:eastAsia="仿宋_GB2312" w:hint="eastAsia"/>
          <w:sz w:val="32"/>
          <w:szCs w:val="32"/>
        </w:rPr>
        <w:t>全</w:t>
      </w:r>
      <w:r>
        <w:rPr>
          <w:rFonts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三保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可用财力</w:t>
      </w:r>
      <w:r>
        <w:rPr>
          <w:rFonts w:eastAsia="仿宋_GB2312" w:hint="eastAsia"/>
          <w:sz w:val="32"/>
          <w:szCs w:val="32"/>
        </w:rPr>
        <w:t>30.55</w:t>
      </w:r>
      <w:r>
        <w:rPr>
          <w:rFonts w:eastAsia="仿宋_GB2312"/>
          <w:sz w:val="32"/>
          <w:szCs w:val="32"/>
        </w:rPr>
        <w:t>亿元，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三保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21.82</w:t>
      </w:r>
      <w:r>
        <w:rPr>
          <w:rFonts w:eastAsia="仿宋_GB2312"/>
          <w:sz w:val="32"/>
          <w:szCs w:val="32"/>
        </w:rPr>
        <w:t>亿元，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三保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支出占可用财力的比重</w:t>
      </w:r>
      <w:r>
        <w:rPr>
          <w:rFonts w:eastAsia="仿宋_GB2312" w:hint="eastAsia"/>
          <w:sz w:val="32"/>
          <w:szCs w:val="32"/>
        </w:rPr>
        <w:t>71.42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</w:t>
      </w:r>
    </w:p>
    <w:p w14:paraId="34C3F515" w14:textId="77777777" w:rsidR="007260CB" w:rsidRDefault="00001226">
      <w:pPr>
        <w:spacing w:line="560" w:lineRule="exact"/>
        <w:ind w:firstLineChars="200" w:firstLine="640"/>
        <w:rPr>
          <w:rFonts w:eastAsia="仿宋_GB2312"/>
          <w:color w:val="0000FF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二是</w:t>
      </w:r>
      <w:r>
        <w:rPr>
          <w:rFonts w:eastAsia="楷体_GB2312"/>
          <w:color w:val="000000" w:themeColor="text1"/>
          <w:sz w:val="32"/>
          <w:szCs w:val="32"/>
          <w:shd w:val="clear" w:color="auto" w:fill="FFFFFF"/>
        </w:rPr>
        <w:t>着力激发市场主体活力。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</w:rPr>
        <w:t>进一步加大对实体经济发展的支持力度，引导社会资本和金融资本支持实体经济发展、促进产业培育壮大</w:t>
      </w:r>
      <w:r>
        <w:rPr>
          <w:rFonts w:eastAsia="楷体_GB2312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eastAsia="仿宋_GB2312"/>
          <w:color w:val="000000" w:themeColor="text1"/>
          <w:sz w:val="32"/>
          <w:szCs w:val="32"/>
        </w:rPr>
        <w:t>大力优化营商环境，积极兑现财政支持经济发展各项政策，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</w:rPr>
        <w:t>提高企业发展的内生活力，为实体经济高质量发展注入强劲动力。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</w:rPr>
        <w:t>1—9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</w:rPr>
        <w:t>月份</w:t>
      </w:r>
      <w:r>
        <w:rPr>
          <w:rFonts w:eastAsia="仿宋_GB2312"/>
          <w:color w:val="000000" w:themeColor="text1"/>
          <w:sz w:val="32"/>
          <w:szCs w:val="32"/>
        </w:rPr>
        <w:t>，落实工业转型发展专项资金</w:t>
      </w:r>
      <w:r>
        <w:rPr>
          <w:rFonts w:eastAsia="仿宋_GB2312"/>
          <w:color w:val="000000" w:themeColor="text1"/>
          <w:sz w:val="32"/>
          <w:szCs w:val="32"/>
        </w:rPr>
        <w:t>751</w:t>
      </w:r>
      <w:r>
        <w:rPr>
          <w:rFonts w:eastAsia="仿宋_GB2312"/>
          <w:color w:val="000000" w:themeColor="text1"/>
          <w:sz w:val="32"/>
          <w:szCs w:val="32"/>
        </w:rPr>
        <w:t>万元，涉及项目</w:t>
      </w:r>
      <w:r>
        <w:rPr>
          <w:rFonts w:eastAsia="仿宋_GB2312"/>
          <w:color w:val="000000" w:themeColor="text1"/>
          <w:sz w:val="32"/>
          <w:szCs w:val="32"/>
        </w:rPr>
        <w:t>11</w:t>
      </w:r>
      <w:r>
        <w:rPr>
          <w:rFonts w:eastAsia="仿宋_GB2312"/>
          <w:color w:val="000000" w:themeColor="text1"/>
          <w:sz w:val="32"/>
          <w:szCs w:val="32"/>
        </w:rPr>
        <w:t>个；兑现厚植本企专项</w:t>
      </w:r>
      <w:r>
        <w:rPr>
          <w:rFonts w:eastAsia="仿宋_GB2312" w:hint="eastAsia"/>
          <w:color w:val="000000" w:themeColor="text1"/>
          <w:sz w:val="32"/>
          <w:szCs w:val="32"/>
        </w:rPr>
        <w:t>扶持</w:t>
      </w:r>
      <w:r>
        <w:rPr>
          <w:rFonts w:eastAsia="仿宋_GB2312"/>
          <w:color w:val="000000" w:themeColor="text1"/>
          <w:sz w:val="32"/>
          <w:szCs w:val="32"/>
        </w:rPr>
        <w:t>资金</w:t>
      </w:r>
      <w:r>
        <w:rPr>
          <w:rFonts w:eastAsia="仿宋_GB2312" w:hint="eastAsia"/>
          <w:color w:val="000000" w:themeColor="text1"/>
          <w:sz w:val="32"/>
          <w:szCs w:val="32"/>
        </w:rPr>
        <w:t>4225</w:t>
      </w:r>
      <w:r>
        <w:rPr>
          <w:rFonts w:eastAsia="仿宋_GB2312"/>
          <w:color w:val="000000" w:themeColor="text1"/>
          <w:sz w:val="32"/>
          <w:szCs w:val="32"/>
        </w:rPr>
        <w:t>万元，涉及企业项目</w:t>
      </w:r>
      <w:r>
        <w:rPr>
          <w:rFonts w:eastAsia="仿宋_GB2312"/>
          <w:color w:val="000000" w:themeColor="text1"/>
          <w:sz w:val="32"/>
          <w:szCs w:val="32"/>
        </w:rPr>
        <w:t>151</w:t>
      </w:r>
      <w:r>
        <w:rPr>
          <w:rFonts w:eastAsia="仿宋_GB2312"/>
          <w:color w:val="000000" w:themeColor="text1"/>
          <w:sz w:val="32"/>
          <w:szCs w:val="32"/>
        </w:rPr>
        <w:t>个。</w:t>
      </w:r>
    </w:p>
    <w:p w14:paraId="5C9DF022" w14:textId="77777777" w:rsidR="007260CB" w:rsidRDefault="00001226">
      <w:pPr>
        <w:spacing w:line="560" w:lineRule="exact"/>
        <w:ind w:firstLineChars="200" w:firstLine="640"/>
        <w:rPr>
          <w:rFonts w:eastAsia="楷体_GB2312"/>
          <w:color w:val="0000FF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三是全力推动经济更高质量发展。</w:t>
      </w:r>
      <w:r>
        <w:rPr>
          <w:rFonts w:eastAsia="仿宋_GB2312"/>
          <w:color w:val="000000" w:themeColor="text1"/>
          <w:sz w:val="32"/>
          <w:szCs w:val="32"/>
        </w:rPr>
        <w:t>全面落实各项减税降费政策，支持高水平技术改造、传统产业转型升级等一系列惠企助企政策，为企业发展减负加力。加强财政政策宣传解读，发挥政策减负优势，积极兑现财政支持经济发展各项政策，增强经济发展动能。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</w:rPr>
        <w:t>1—9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</w:rPr>
        <w:t>月份</w:t>
      </w:r>
      <w:r>
        <w:rPr>
          <w:rFonts w:eastAsia="仿宋_GB2312"/>
          <w:color w:val="000000" w:themeColor="text1"/>
          <w:sz w:val="32"/>
          <w:szCs w:val="32"/>
        </w:rPr>
        <w:t>，累计减税降费</w:t>
      </w:r>
      <w:r>
        <w:rPr>
          <w:rFonts w:eastAsia="仿宋_GB2312"/>
          <w:color w:val="000000" w:themeColor="text1"/>
          <w:sz w:val="32"/>
          <w:szCs w:val="32"/>
        </w:rPr>
        <w:t>18.91</w:t>
      </w:r>
      <w:r>
        <w:rPr>
          <w:rFonts w:eastAsia="仿宋_GB2312"/>
          <w:color w:val="000000" w:themeColor="text1"/>
          <w:sz w:val="32"/>
          <w:szCs w:val="32"/>
        </w:rPr>
        <w:t>亿元，其中</w:t>
      </w:r>
      <w:r>
        <w:rPr>
          <w:rFonts w:eastAsia="仿宋_GB2312" w:hint="eastAsia"/>
          <w:color w:val="000000" w:themeColor="text1"/>
          <w:sz w:val="32"/>
          <w:szCs w:val="32"/>
        </w:rPr>
        <w:t>：落实</w:t>
      </w:r>
      <w:r>
        <w:rPr>
          <w:rFonts w:eastAsia="仿宋_GB2312"/>
          <w:color w:val="000000" w:themeColor="text1"/>
          <w:sz w:val="32"/>
          <w:szCs w:val="32"/>
        </w:rPr>
        <w:t>新增减税降费</w:t>
      </w:r>
      <w:r>
        <w:rPr>
          <w:rFonts w:eastAsia="仿宋_GB2312" w:hint="eastAsia"/>
          <w:color w:val="000000" w:themeColor="text1"/>
          <w:sz w:val="32"/>
          <w:szCs w:val="32"/>
        </w:rPr>
        <w:t>政策</w:t>
      </w:r>
      <w:r>
        <w:rPr>
          <w:rFonts w:eastAsia="仿宋_GB2312"/>
          <w:color w:val="000000" w:themeColor="text1"/>
          <w:sz w:val="32"/>
          <w:szCs w:val="32"/>
        </w:rPr>
        <w:t>8.24</w:t>
      </w:r>
      <w:r>
        <w:rPr>
          <w:rFonts w:eastAsia="仿宋_GB2312"/>
          <w:color w:val="000000" w:themeColor="text1"/>
          <w:sz w:val="32"/>
          <w:szCs w:val="32"/>
        </w:rPr>
        <w:t>亿元。</w:t>
      </w:r>
    </w:p>
    <w:p w14:paraId="32122976" w14:textId="77777777" w:rsidR="007260CB" w:rsidRDefault="00001226">
      <w:pPr>
        <w:snapToGrid w:val="0"/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二、关于</w:t>
      </w:r>
      <w:r>
        <w:rPr>
          <w:rFonts w:eastAsia="黑体"/>
          <w:color w:val="000000" w:themeColor="text1"/>
          <w:sz w:val="32"/>
          <w:szCs w:val="32"/>
        </w:rPr>
        <w:t>“</w:t>
      </w:r>
      <w:r>
        <w:rPr>
          <w:rFonts w:eastAsia="黑体"/>
          <w:color w:val="000000" w:themeColor="text1"/>
          <w:sz w:val="32"/>
          <w:szCs w:val="32"/>
        </w:rPr>
        <w:t>强化收入征管</w:t>
      </w:r>
      <w:r>
        <w:rPr>
          <w:rFonts w:eastAsia="黑体"/>
          <w:color w:val="000000" w:themeColor="text1"/>
          <w:sz w:val="32"/>
          <w:szCs w:val="32"/>
        </w:rPr>
        <w:t>”</w:t>
      </w:r>
      <w:r>
        <w:rPr>
          <w:rFonts w:eastAsia="黑体"/>
          <w:color w:val="000000" w:themeColor="text1"/>
          <w:sz w:val="32"/>
          <w:szCs w:val="32"/>
        </w:rPr>
        <w:t>方面</w:t>
      </w:r>
    </w:p>
    <w:p w14:paraId="7DCD56ED" w14:textId="77777777" w:rsidR="007260CB" w:rsidRDefault="00001226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一是大力夯实财源基础，进一步稳</w:t>
      </w:r>
      <w:r>
        <w:rPr>
          <w:rFonts w:eastAsia="楷体_GB2312"/>
          <w:sz w:val="32"/>
          <w:szCs w:val="32"/>
        </w:rPr>
        <w:t>定财政收入质量。</w:t>
      </w:r>
      <w:r>
        <w:rPr>
          <w:rFonts w:eastAsia="仿宋_GB2312"/>
          <w:sz w:val="32"/>
          <w:szCs w:val="32"/>
        </w:rPr>
        <w:t>稳定财政收入增速，进一步健全税源管控体系，加大科技治税力度，加</w:t>
      </w:r>
      <w:r>
        <w:rPr>
          <w:rFonts w:eastAsia="仿宋_GB2312"/>
          <w:sz w:val="32"/>
          <w:szCs w:val="32"/>
        </w:rPr>
        <w:lastRenderedPageBreak/>
        <w:t>强涉税信息共享共用，依法加强非税收入征管，努力实现财政收入应收尽收。稳定财政收入质量，坚持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稳中求质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，把组织收入的重心转向收入增幅与税收占比兼顾、更加注重占比上来，做大可用财力规模。稳定政府性基金收入，</w:t>
      </w:r>
      <w:r>
        <w:rPr>
          <w:rFonts w:eastAsia="仿宋_GB2312"/>
          <w:w w:val="95"/>
          <w:sz w:val="32"/>
          <w:szCs w:val="32"/>
        </w:rPr>
        <w:t>重点执行好土地出让收入预算，健全完善土地出让收入研判、</w:t>
      </w:r>
      <w:r>
        <w:rPr>
          <w:rFonts w:eastAsia="仿宋_GB2312"/>
          <w:sz w:val="32"/>
          <w:szCs w:val="32"/>
        </w:rPr>
        <w:t>决策、调度机制，提高土地运营效益。</w:t>
      </w:r>
      <w:r>
        <w:rPr>
          <w:rFonts w:eastAsia="仿宋_GB2312"/>
          <w:color w:val="000000" w:themeColor="text1"/>
          <w:sz w:val="32"/>
          <w:szCs w:val="32"/>
        </w:rPr>
        <w:t>1—9</w:t>
      </w:r>
      <w:r>
        <w:rPr>
          <w:rFonts w:eastAsia="仿宋_GB2312"/>
          <w:color w:val="000000" w:themeColor="text1"/>
          <w:sz w:val="32"/>
          <w:szCs w:val="32"/>
        </w:rPr>
        <w:t>月份，全区税收收入完成</w:t>
      </w:r>
      <w:r>
        <w:rPr>
          <w:rFonts w:eastAsia="仿宋_GB2312"/>
          <w:color w:val="000000" w:themeColor="text1"/>
          <w:sz w:val="32"/>
          <w:szCs w:val="32"/>
        </w:rPr>
        <w:t>18.28</w:t>
      </w:r>
      <w:r>
        <w:rPr>
          <w:rFonts w:eastAsia="仿宋_GB2312"/>
          <w:color w:val="000000" w:themeColor="text1"/>
          <w:sz w:val="32"/>
          <w:szCs w:val="32"/>
        </w:rPr>
        <w:t>亿元，占比</w:t>
      </w:r>
      <w:r>
        <w:rPr>
          <w:rFonts w:eastAsia="仿宋_GB2312"/>
          <w:color w:val="000000" w:themeColor="text1"/>
          <w:sz w:val="32"/>
          <w:szCs w:val="32"/>
        </w:rPr>
        <w:t>67.52%</w:t>
      </w:r>
      <w:r>
        <w:rPr>
          <w:rFonts w:eastAsia="仿宋_GB2312"/>
          <w:color w:val="000000" w:themeColor="text1"/>
          <w:sz w:val="32"/>
          <w:szCs w:val="32"/>
        </w:rPr>
        <w:t>，列全市第</w:t>
      </w:r>
      <w:r>
        <w:rPr>
          <w:rFonts w:eastAsia="仿宋_GB2312"/>
          <w:color w:val="000000" w:themeColor="text1"/>
          <w:sz w:val="32"/>
          <w:szCs w:val="32"/>
        </w:rPr>
        <w:t>5</w:t>
      </w:r>
      <w:r>
        <w:rPr>
          <w:rFonts w:eastAsia="仿宋_GB2312"/>
          <w:color w:val="000000" w:themeColor="text1"/>
          <w:sz w:val="32"/>
          <w:szCs w:val="32"/>
        </w:rPr>
        <w:t>位</w:t>
      </w:r>
      <w:r>
        <w:rPr>
          <w:rFonts w:eastAsia="仿宋_GB2312" w:hint="eastAsia"/>
          <w:color w:val="000000" w:themeColor="text1"/>
          <w:sz w:val="32"/>
          <w:szCs w:val="32"/>
        </w:rPr>
        <w:t>；</w:t>
      </w:r>
      <w:r>
        <w:rPr>
          <w:rFonts w:eastAsia="仿宋_GB2312"/>
          <w:color w:val="000000" w:themeColor="text1"/>
          <w:sz w:val="32"/>
          <w:szCs w:val="32"/>
        </w:rPr>
        <w:t>政府性基金收入</w:t>
      </w:r>
      <w:r>
        <w:rPr>
          <w:rFonts w:eastAsia="仿宋_GB2312"/>
          <w:color w:val="000000" w:themeColor="text1"/>
          <w:sz w:val="32"/>
          <w:szCs w:val="32"/>
        </w:rPr>
        <w:t>23.3</w:t>
      </w:r>
      <w:r>
        <w:rPr>
          <w:rFonts w:eastAsia="仿宋_GB2312"/>
          <w:color w:val="000000" w:themeColor="text1"/>
          <w:sz w:val="32"/>
          <w:szCs w:val="32"/>
        </w:rPr>
        <w:t>亿元，同比增长</w:t>
      </w:r>
      <w:r>
        <w:rPr>
          <w:rFonts w:eastAsia="仿宋_GB2312" w:hint="eastAsia"/>
          <w:color w:val="000000" w:themeColor="text1"/>
          <w:sz w:val="32"/>
          <w:szCs w:val="32"/>
        </w:rPr>
        <w:t>21.73</w:t>
      </w:r>
      <w:r>
        <w:rPr>
          <w:rFonts w:eastAsia="仿宋_GB2312"/>
          <w:color w:val="000000" w:themeColor="text1"/>
          <w:sz w:val="32"/>
          <w:szCs w:val="32"/>
        </w:rPr>
        <w:t>%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 w14:paraId="498CB1BE" w14:textId="77777777" w:rsidR="007260CB" w:rsidRDefault="00001226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二是深挖企业发展活力，积极培植壮大财源。</w:t>
      </w:r>
      <w:r>
        <w:rPr>
          <w:rFonts w:eastAsia="仿宋_GB2312"/>
          <w:color w:val="000000" w:themeColor="text1"/>
          <w:sz w:val="32"/>
          <w:szCs w:val="32"/>
        </w:rPr>
        <w:t>全面落实税收优惠政策，着力将各项减税降费政策落实落细，切实减轻企业负担，激发市场活力，不断释放税源潜力。对企业经营指标和纳税情况进行对比分析，摸清底数，查找纳税疑点，挖掘税收潜力，提高收入征管的针对性和有效性。建立重点项目全程监控机制，积极帮助企业解决困难，助力重大项目早日完工达产，将投资效益转化为税收效益。</w:t>
      </w:r>
      <w:r>
        <w:rPr>
          <w:rFonts w:eastAsia="仿宋_GB2312"/>
          <w:color w:val="000000" w:themeColor="text1"/>
          <w:sz w:val="32"/>
          <w:szCs w:val="32"/>
        </w:rPr>
        <w:t>1—9</w:t>
      </w:r>
      <w:r>
        <w:rPr>
          <w:rFonts w:eastAsia="仿宋_GB2312"/>
          <w:color w:val="000000" w:themeColor="text1"/>
          <w:sz w:val="32"/>
          <w:szCs w:val="32"/>
        </w:rPr>
        <w:t>月份，全区一般公共预算收入完成</w:t>
      </w:r>
      <w:r>
        <w:rPr>
          <w:rFonts w:eastAsia="仿宋_GB2312"/>
          <w:color w:val="000000" w:themeColor="text1"/>
          <w:sz w:val="32"/>
          <w:szCs w:val="32"/>
        </w:rPr>
        <w:t xml:space="preserve">27.07  </w:t>
      </w:r>
      <w:r>
        <w:rPr>
          <w:rFonts w:eastAsia="仿宋_GB2312"/>
          <w:color w:val="000000" w:themeColor="text1"/>
          <w:sz w:val="32"/>
          <w:szCs w:val="32"/>
        </w:rPr>
        <w:t>亿元，同口径增长</w:t>
      </w:r>
      <w:r>
        <w:rPr>
          <w:rFonts w:eastAsia="仿宋_GB2312"/>
          <w:color w:val="000000" w:themeColor="text1"/>
          <w:sz w:val="32"/>
          <w:szCs w:val="32"/>
        </w:rPr>
        <w:t>4.17%</w:t>
      </w:r>
      <w:r>
        <w:rPr>
          <w:rFonts w:eastAsia="仿宋_GB2312"/>
          <w:color w:val="000000" w:themeColor="text1"/>
          <w:sz w:val="32"/>
          <w:szCs w:val="32"/>
        </w:rPr>
        <w:t>，增速列全市第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位。</w:t>
      </w:r>
    </w:p>
    <w:p w14:paraId="358B9260" w14:textId="77777777" w:rsidR="007260CB" w:rsidRDefault="00001226">
      <w:pPr>
        <w:spacing w:line="560" w:lineRule="exact"/>
        <w:ind w:firstLineChars="200" w:firstLine="640"/>
        <w:rPr>
          <w:rFonts w:eastAsia="仿宋_GB2312"/>
          <w:color w:val="000000"/>
          <w:spacing w:val="20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三是抓好重点行业项目税收征管，发挥收入支撑作用。</w:t>
      </w:r>
      <w:r>
        <w:rPr>
          <w:rFonts w:eastAsia="仿宋_GB2312"/>
          <w:color w:val="000000" w:themeColor="text1"/>
          <w:sz w:val="32"/>
          <w:szCs w:val="32"/>
        </w:rPr>
        <w:t>强化对重点产业、</w:t>
      </w:r>
      <w:r>
        <w:rPr>
          <w:rFonts w:eastAsia="仿宋_GB2312"/>
          <w:color w:val="000000" w:themeColor="text1"/>
          <w:sz w:val="32"/>
          <w:szCs w:val="32"/>
        </w:rPr>
        <w:t>重点企业的经济运行监测，推行服务企业专员制度，用足用好纾困惠企政策，破解各类要素制约，盯牢纺织、医药</w:t>
      </w:r>
      <w:r>
        <w:rPr>
          <w:rFonts w:eastAsia="仿宋_GB2312" w:hint="eastAsia"/>
          <w:color w:val="000000" w:themeColor="text1"/>
          <w:sz w:val="32"/>
          <w:szCs w:val="32"/>
        </w:rPr>
        <w:t>、建材</w:t>
      </w:r>
      <w:r>
        <w:rPr>
          <w:rFonts w:eastAsia="仿宋_GB2312"/>
          <w:color w:val="000000" w:themeColor="text1"/>
          <w:sz w:val="32"/>
          <w:szCs w:val="32"/>
        </w:rPr>
        <w:t>等工业增加值率高、价格指数低的规上工业企业，充分发挥出我区工业增加值优势。</w:t>
      </w:r>
      <w:r>
        <w:rPr>
          <w:rFonts w:eastAsia="仿宋_GB2312"/>
          <w:color w:val="000000" w:themeColor="text1"/>
          <w:sz w:val="32"/>
          <w:szCs w:val="32"/>
        </w:rPr>
        <w:t>1—</w:t>
      </w:r>
      <w:r>
        <w:rPr>
          <w:rFonts w:eastAsia="仿宋_GB2312" w:hint="eastAsia"/>
          <w:color w:val="000000" w:themeColor="text1"/>
          <w:sz w:val="32"/>
          <w:szCs w:val="32"/>
        </w:rPr>
        <w:t>9</w:t>
      </w:r>
      <w:r>
        <w:rPr>
          <w:rFonts w:eastAsia="仿宋_GB2312"/>
          <w:color w:val="000000" w:themeColor="text1"/>
          <w:sz w:val="32"/>
          <w:szCs w:val="32"/>
        </w:rPr>
        <w:t>月份，纺织服装业完成</w:t>
      </w:r>
      <w:r>
        <w:rPr>
          <w:rFonts w:eastAsia="仿宋_GB2312" w:hint="eastAsia"/>
          <w:color w:val="000000" w:themeColor="text1"/>
          <w:spacing w:val="20"/>
          <w:sz w:val="32"/>
          <w:szCs w:val="32"/>
        </w:rPr>
        <w:t>2.73</w:t>
      </w:r>
      <w:r>
        <w:rPr>
          <w:rFonts w:eastAsia="仿宋_GB2312"/>
          <w:color w:val="000000" w:themeColor="text1"/>
          <w:spacing w:val="20"/>
          <w:sz w:val="32"/>
          <w:szCs w:val="32"/>
        </w:rPr>
        <w:t>亿元，同比增长</w:t>
      </w:r>
      <w:r>
        <w:rPr>
          <w:rFonts w:eastAsia="仿宋_GB2312" w:hint="eastAsia"/>
          <w:color w:val="000000" w:themeColor="text1"/>
          <w:spacing w:val="20"/>
          <w:sz w:val="32"/>
          <w:szCs w:val="32"/>
        </w:rPr>
        <w:t>41.3</w:t>
      </w:r>
      <w:r>
        <w:rPr>
          <w:rFonts w:eastAsia="仿宋_GB2312"/>
          <w:color w:val="000000" w:themeColor="text1"/>
          <w:spacing w:val="20"/>
          <w:sz w:val="32"/>
          <w:szCs w:val="32"/>
        </w:rPr>
        <w:t>%</w:t>
      </w:r>
      <w:r>
        <w:rPr>
          <w:rFonts w:eastAsia="仿宋_GB2312"/>
          <w:color w:val="000000" w:themeColor="text1"/>
          <w:spacing w:val="20"/>
          <w:sz w:val="32"/>
          <w:szCs w:val="32"/>
        </w:rPr>
        <w:t>，增收</w:t>
      </w:r>
      <w:r>
        <w:rPr>
          <w:rFonts w:eastAsia="仿宋_GB2312" w:hint="eastAsia"/>
          <w:color w:val="000000" w:themeColor="text1"/>
          <w:spacing w:val="20"/>
          <w:sz w:val="32"/>
          <w:szCs w:val="32"/>
        </w:rPr>
        <w:t>7982</w:t>
      </w:r>
      <w:r>
        <w:rPr>
          <w:rFonts w:eastAsia="仿宋_GB2312"/>
          <w:color w:val="000000" w:themeColor="text1"/>
          <w:spacing w:val="20"/>
          <w:sz w:val="32"/>
          <w:szCs w:val="32"/>
        </w:rPr>
        <w:t>万元</w:t>
      </w:r>
      <w:r>
        <w:rPr>
          <w:rFonts w:eastAsia="仿宋_GB2312" w:hint="eastAsia"/>
          <w:color w:val="000000" w:themeColor="text1"/>
          <w:spacing w:val="20"/>
          <w:sz w:val="32"/>
          <w:szCs w:val="32"/>
        </w:rPr>
        <w:t>；</w:t>
      </w:r>
      <w:r>
        <w:rPr>
          <w:rFonts w:eastAsia="仿宋_GB2312"/>
          <w:color w:val="000000" w:themeColor="text1"/>
          <w:sz w:val="32"/>
          <w:szCs w:val="32"/>
        </w:rPr>
        <w:t>医药</w:t>
      </w:r>
      <w:r>
        <w:rPr>
          <w:rFonts w:eastAsia="仿宋_GB2312"/>
          <w:sz w:val="32"/>
          <w:szCs w:val="32"/>
        </w:rPr>
        <w:t>化工行业</w:t>
      </w:r>
      <w:r>
        <w:rPr>
          <w:rFonts w:eastAsia="仿宋_GB2312"/>
          <w:color w:val="000000"/>
          <w:spacing w:val="20"/>
          <w:sz w:val="32"/>
          <w:szCs w:val="32"/>
        </w:rPr>
        <w:t>完成</w:t>
      </w:r>
      <w:r>
        <w:rPr>
          <w:rFonts w:eastAsia="仿宋_GB2312" w:hint="eastAsia"/>
          <w:color w:val="000000"/>
          <w:spacing w:val="20"/>
          <w:sz w:val="32"/>
          <w:szCs w:val="32"/>
        </w:rPr>
        <w:t>2.16</w:t>
      </w:r>
      <w:r>
        <w:rPr>
          <w:rFonts w:eastAsia="仿宋_GB2312"/>
          <w:color w:val="000000"/>
          <w:spacing w:val="20"/>
          <w:sz w:val="32"/>
          <w:szCs w:val="32"/>
        </w:rPr>
        <w:t>亿万元，同比增长</w:t>
      </w:r>
      <w:r>
        <w:rPr>
          <w:rFonts w:eastAsia="仿宋_GB2312" w:hint="eastAsia"/>
          <w:color w:val="000000"/>
          <w:spacing w:val="20"/>
          <w:sz w:val="32"/>
          <w:szCs w:val="32"/>
        </w:rPr>
        <w:t>9.24</w:t>
      </w:r>
      <w:r>
        <w:rPr>
          <w:rFonts w:eastAsia="仿宋_GB2312"/>
          <w:color w:val="000000"/>
          <w:spacing w:val="20"/>
          <w:sz w:val="32"/>
          <w:szCs w:val="32"/>
        </w:rPr>
        <w:t>%</w:t>
      </w:r>
      <w:r>
        <w:rPr>
          <w:rFonts w:eastAsia="仿宋_GB2312"/>
          <w:color w:val="000000"/>
          <w:spacing w:val="20"/>
          <w:sz w:val="32"/>
          <w:szCs w:val="32"/>
        </w:rPr>
        <w:t>，增收</w:t>
      </w:r>
      <w:r>
        <w:rPr>
          <w:rFonts w:eastAsia="仿宋_GB2312" w:hint="eastAsia"/>
          <w:color w:val="000000"/>
          <w:spacing w:val="20"/>
          <w:sz w:val="32"/>
          <w:szCs w:val="32"/>
        </w:rPr>
        <w:t>1824</w:t>
      </w:r>
      <w:r>
        <w:rPr>
          <w:rFonts w:eastAsia="仿宋_GB2312"/>
          <w:color w:val="000000"/>
          <w:spacing w:val="20"/>
          <w:sz w:val="32"/>
          <w:szCs w:val="32"/>
        </w:rPr>
        <w:t>万元。</w:t>
      </w:r>
    </w:p>
    <w:p w14:paraId="467B4A3C" w14:textId="77777777" w:rsidR="007260CB" w:rsidRDefault="00001226">
      <w:pPr>
        <w:spacing w:line="560" w:lineRule="exact"/>
        <w:ind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lastRenderedPageBreak/>
        <w:t>三、关于</w:t>
      </w:r>
      <w:r>
        <w:rPr>
          <w:rFonts w:eastAsia="黑体"/>
          <w:color w:val="000000" w:themeColor="text1"/>
          <w:sz w:val="32"/>
          <w:szCs w:val="32"/>
        </w:rPr>
        <w:t>“</w:t>
      </w:r>
      <w:r>
        <w:rPr>
          <w:rFonts w:eastAsia="黑体"/>
          <w:color w:val="000000" w:themeColor="text1"/>
          <w:sz w:val="32"/>
          <w:szCs w:val="32"/>
        </w:rPr>
        <w:t>优化支出结构</w:t>
      </w:r>
      <w:r>
        <w:rPr>
          <w:rFonts w:eastAsia="黑体"/>
          <w:color w:val="000000" w:themeColor="text1"/>
          <w:sz w:val="32"/>
          <w:szCs w:val="32"/>
        </w:rPr>
        <w:t>”</w:t>
      </w:r>
      <w:r>
        <w:rPr>
          <w:rFonts w:eastAsia="黑体"/>
          <w:color w:val="000000" w:themeColor="text1"/>
          <w:sz w:val="32"/>
          <w:szCs w:val="32"/>
        </w:rPr>
        <w:t>方面</w:t>
      </w:r>
    </w:p>
    <w:p w14:paraId="02DBC614" w14:textId="77777777" w:rsidR="007260CB" w:rsidRDefault="00001226">
      <w:pPr>
        <w:pStyle w:val="a3"/>
        <w:spacing w:line="560" w:lineRule="exact"/>
        <w:ind w:right="107" w:firstLineChars="200" w:firstLine="640"/>
        <w:rPr>
          <w:rFonts w:ascii="Times New Roman" w:eastAsia="仿宋_GB2312" w:hAnsi="Times New Roman" w:cs="Times New Roman"/>
          <w:color w:val="000000" w:themeColor="text1"/>
          <w:lang w:val="en-US"/>
        </w:rPr>
      </w:pPr>
      <w:r>
        <w:rPr>
          <w:rFonts w:ascii="Times New Roman" w:eastAsia="楷体_GB2312" w:hAnsi="Times New Roman" w:cs="Times New Roman"/>
          <w:color w:val="000000" w:themeColor="text1"/>
        </w:rPr>
        <w:t>一是强化预算管理约束，集中财力保障重点支出。</w:t>
      </w:r>
      <w:r>
        <w:rPr>
          <w:rFonts w:ascii="Times New Roman" w:eastAsia="仿宋_GB2312" w:hAnsi="Times New Roman" w:cs="Times New Roman"/>
          <w:color w:val="000000" w:themeColor="text1"/>
          <w:spacing w:val="-12"/>
        </w:rPr>
        <w:t>严格落实过紧日子要求，</w:t>
      </w:r>
      <w:r>
        <w:rPr>
          <w:rFonts w:ascii="Times New Roman" w:eastAsia="仿宋_GB2312" w:hAnsi="Times New Roman" w:cs="Times New Roman"/>
          <w:color w:val="000000" w:themeColor="text1"/>
        </w:rPr>
        <w:t>严控</w:t>
      </w:r>
      <w:r>
        <w:rPr>
          <w:rFonts w:ascii="Times New Roman" w:eastAsia="仿宋_GB2312" w:hAnsi="Times New Roman" w:cs="Times New Roman"/>
          <w:color w:val="000000" w:themeColor="text1"/>
        </w:rPr>
        <w:t>“</w:t>
      </w:r>
      <w:r>
        <w:rPr>
          <w:rFonts w:ascii="Times New Roman" w:eastAsia="仿宋_GB2312" w:hAnsi="Times New Roman" w:cs="Times New Roman"/>
          <w:color w:val="000000" w:themeColor="text1"/>
        </w:rPr>
        <w:t>三公</w:t>
      </w:r>
      <w:r>
        <w:rPr>
          <w:rFonts w:ascii="Times New Roman" w:eastAsia="仿宋_GB2312" w:hAnsi="Times New Roman" w:cs="Times New Roman"/>
          <w:color w:val="000000" w:themeColor="text1"/>
        </w:rPr>
        <w:t>”</w:t>
      </w:r>
      <w:r>
        <w:rPr>
          <w:rFonts w:ascii="Times New Roman" w:eastAsia="仿宋_GB2312" w:hAnsi="Times New Roman" w:cs="Times New Roman"/>
          <w:color w:val="000000" w:themeColor="text1"/>
        </w:rPr>
        <w:t>经费、会议费、培训费以及公用房维修改造、专班经费等一般性支出。从严从紧控制项目支出，业务运转类项目同口径压减</w:t>
      </w:r>
      <w:r>
        <w:rPr>
          <w:rFonts w:ascii="Times New Roman" w:eastAsia="仿宋_GB2312" w:hAnsi="Times New Roman" w:cs="Times New Roman"/>
          <w:color w:val="000000" w:themeColor="text1"/>
        </w:rPr>
        <w:t>10%</w:t>
      </w:r>
      <w:r>
        <w:rPr>
          <w:rFonts w:ascii="Times New Roman" w:eastAsia="仿宋_GB2312" w:hAnsi="Times New Roman" w:cs="Times New Roman"/>
          <w:color w:val="000000" w:themeColor="text1"/>
        </w:rPr>
        <w:t>。全力办好办实民生实事，支持农业稳产增产，推动巩固拓展脱贫攻坚成果同乡村振兴有效衔接。落实新冠疫情防控资金</w:t>
      </w:r>
      <w:r>
        <w:rPr>
          <w:rFonts w:ascii="Times New Roman" w:eastAsia="仿宋_GB2312" w:hAnsi="Times New Roman" w:cs="Times New Roman"/>
          <w:color w:val="000000" w:themeColor="text1"/>
          <w:lang w:val="en-US"/>
        </w:rPr>
        <w:t>1.27</w:t>
      </w:r>
      <w:r>
        <w:rPr>
          <w:rFonts w:ascii="Times New Roman" w:eastAsia="仿宋_GB2312" w:hAnsi="Times New Roman" w:cs="Times New Roman"/>
          <w:color w:val="000000" w:themeColor="text1"/>
        </w:rPr>
        <w:t>亿元</w:t>
      </w:r>
      <w:r>
        <w:rPr>
          <w:rFonts w:ascii="Times New Roman" w:eastAsia="仿宋_GB2312" w:hAnsi="Times New Roman" w:cs="Times New Roman" w:hint="eastAsia"/>
          <w:color w:val="000000" w:themeColor="text1"/>
        </w:rPr>
        <w:t>，</w:t>
      </w:r>
      <w:r>
        <w:rPr>
          <w:rFonts w:ascii="Times New Roman" w:eastAsia="仿宋_GB2312" w:hAnsi="Times New Roman" w:cs="Times New Roman"/>
          <w:color w:val="000000" w:themeColor="text1"/>
        </w:rPr>
        <w:t>支持核酸检测、方舱医院和隔离点建设等疫情防控工作，切实将每一分钱用在紧要处、关键处，发挥财政资金的最大效应。</w:t>
      </w:r>
      <w:r>
        <w:rPr>
          <w:rFonts w:ascii="Times New Roman" w:eastAsia="仿宋_GB2312" w:hAnsi="Times New Roman" w:cs="Times New Roman"/>
          <w:color w:val="000000" w:themeColor="text1"/>
          <w:lang w:val="en-US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lang w:val="en-US"/>
        </w:rPr>
        <w:t>—</w:t>
      </w:r>
      <w:r>
        <w:rPr>
          <w:rFonts w:ascii="Times New Roman" w:eastAsia="仿宋_GB2312" w:hAnsi="Times New Roman" w:cs="Times New Roman"/>
          <w:color w:val="000000" w:themeColor="text1"/>
          <w:lang w:val="en-US"/>
        </w:rPr>
        <w:t>9</w:t>
      </w:r>
      <w:r>
        <w:rPr>
          <w:rFonts w:ascii="Times New Roman" w:eastAsia="仿宋_GB2312" w:hAnsi="Times New Roman" w:cs="Times New Roman"/>
          <w:color w:val="000000" w:themeColor="text1"/>
          <w:lang w:val="en-US"/>
        </w:rPr>
        <w:t>月份</w:t>
      </w:r>
      <w:r>
        <w:rPr>
          <w:rFonts w:ascii="Times New Roman" w:eastAsia="仿宋_GB2312" w:hAnsi="Times New Roman" w:cs="Times New Roman" w:hint="eastAsia"/>
          <w:color w:val="000000" w:themeColor="text1"/>
          <w:lang w:val="en-US"/>
        </w:rPr>
        <w:t>，</w:t>
      </w:r>
      <w:r>
        <w:rPr>
          <w:rFonts w:ascii="Times New Roman" w:eastAsia="仿宋_GB2312" w:hAnsi="Times New Roman" w:cs="Times New Roman"/>
          <w:color w:val="000000" w:themeColor="text1"/>
        </w:rPr>
        <w:t>全区一般公共预算支出</w:t>
      </w:r>
      <w:r>
        <w:rPr>
          <w:rFonts w:ascii="Times New Roman" w:eastAsia="仿宋_GB2312" w:hAnsi="Times New Roman" w:cs="Times New Roman"/>
          <w:color w:val="000000" w:themeColor="text1"/>
          <w:lang w:val="en-US"/>
        </w:rPr>
        <w:t>36.36</w:t>
      </w:r>
      <w:r>
        <w:rPr>
          <w:rFonts w:ascii="Times New Roman" w:eastAsia="仿宋_GB2312" w:hAnsi="Times New Roman" w:cs="Times New Roman"/>
          <w:color w:val="000000" w:themeColor="text1"/>
          <w:lang w:val="en-US"/>
        </w:rPr>
        <w:t>亿元，</w:t>
      </w:r>
      <w:r>
        <w:rPr>
          <w:rFonts w:ascii="Times New Roman" w:eastAsia="仿宋_GB2312" w:hAnsi="Times New Roman" w:cs="Times New Roman" w:hint="eastAsia"/>
          <w:color w:val="000000" w:themeColor="text1"/>
          <w:lang w:val="en-US"/>
        </w:rPr>
        <w:t>其中</w:t>
      </w:r>
      <w:r>
        <w:rPr>
          <w:rFonts w:ascii="Times New Roman" w:eastAsia="仿宋_GB2312" w:hAnsi="Times New Roman" w:cs="Times New Roman"/>
        </w:rPr>
        <w:t>民生类支出</w:t>
      </w:r>
      <w:r>
        <w:rPr>
          <w:rFonts w:ascii="Times New Roman" w:eastAsia="仿宋_GB2312" w:hAnsi="Times New Roman" w:cs="Times New Roman" w:hint="eastAsia"/>
        </w:rPr>
        <w:t>29.02</w:t>
      </w:r>
      <w:r>
        <w:rPr>
          <w:rFonts w:ascii="Times New Roman" w:eastAsia="仿宋_GB2312" w:hAnsi="Times New Roman" w:cs="Times New Roman"/>
        </w:rPr>
        <w:t>亿元，</w:t>
      </w:r>
      <w:r>
        <w:rPr>
          <w:rFonts w:ascii="Times New Roman" w:eastAsia="仿宋_GB2312" w:hAnsi="Times New Roman" w:cs="Times New Roman"/>
          <w:color w:val="000000" w:themeColor="text1"/>
        </w:rPr>
        <w:t>民生占比</w:t>
      </w:r>
      <w:r>
        <w:rPr>
          <w:rFonts w:ascii="Times New Roman" w:eastAsia="仿宋_GB2312" w:hAnsi="Times New Roman" w:cs="Times New Roman"/>
          <w:color w:val="000000" w:themeColor="text1"/>
        </w:rPr>
        <w:t>79.</w:t>
      </w:r>
      <w:r>
        <w:rPr>
          <w:rFonts w:ascii="Times New Roman" w:eastAsia="仿宋_GB2312" w:hAnsi="Times New Roman" w:cs="Times New Roman" w:hint="eastAsia"/>
          <w:color w:val="000000" w:themeColor="text1"/>
          <w:lang w:val="en-US"/>
        </w:rPr>
        <w:t>81</w:t>
      </w:r>
      <w:r>
        <w:rPr>
          <w:rFonts w:ascii="Times New Roman" w:eastAsia="仿宋_GB2312" w:hAnsi="Times New Roman" w:cs="Times New Roman"/>
          <w:color w:val="000000" w:themeColor="text1"/>
        </w:rPr>
        <w:t>%</w:t>
      </w:r>
      <w:r>
        <w:rPr>
          <w:rFonts w:ascii="Times New Roman" w:eastAsia="仿宋_GB2312" w:hAnsi="Times New Roman" w:cs="Times New Roman"/>
          <w:color w:val="000000" w:themeColor="text1"/>
        </w:rPr>
        <w:t>。</w:t>
      </w:r>
    </w:p>
    <w:p w14:paraId="444A9E6B" w14:textId="77777777" w:rsidR="007260CB" w:rsidRDefault="00001226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二是</w:t>
      </w:r>
      <w:r>
        <w:rPr>
          <w:rFonts w:eastAsia="楷体"/>
          <w:color w:val="000000" w:themeColor="text1"/>
          <w:sz w:val="32"/>
          <w:szCs w:val="32"/>
        </w:rPr>
        <w:t>加强预算</w:t>
      </w:r>
      <w:r>
        <w:rPr>
          <w:rFonts w:eastAsia="楷体"/>
          <w:sz w:val="32"/>
          <w:szCs w:val="32"/>
        </w:rPr>
        <w:t>统筹衔接，增强政府资源统筹能力。</w:t>
      </w:r>
      <w:r>
        <w:rPr>
          <w:rFonts w:eastAsia="仿宋_GB2312"/>
          <w:sz w:val="32"/>
          <w:szCs w:val="32"/>
        </w:rPr>
        <w:t>加强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四本预算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有机衔接、统筹安排，对符合条件的项目，优先通过政府性基金预算、国有资本经营预算和社会保险基金预算安排，确有不足的再通过一般公共预算补充。强化部门单位收入统筹，单位结余结转收入全部纳入预算管理，保证公共资源利用效益最大化。加大存量资金盘活力度。对下达使用超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个会计年度的中央资金、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个会计年度的省级资金、市级资金，年度末全部收回财政统筹使用。</w:t>
      </w:r>
      <w:r>
        <w:rPr>
          <w:rFonts w:eastAsia="仿宋_GB2312"/>
          <w:color w:val="000000" w:themeColor="text1"/>
          <w:sz w:val="32"/>
          <w:szCs w:val="32"/>
        </w:rPr>
        <w:t>前三季度，累计清理盘活财政存量资金</w:t>
      </w:r>
      <w:r>
        <w:rPr>
          <w:rFonts w:eastAsia="仿宋_GB2312" w:hint="eastAsia"/>
          <w:color w:val="000000" w:themeColor="text1"/>
          <w:sz w:val="32"/>
          <w:szCs w:val="32"/>
        </w:rPr>
        <w:t>5885</w:t>
      </w:r>
      <w:r>
        <w:rPr>
          <w:rFonts w:eastAsia="仿宋_GB2312" w:hint="eastAsia"/>
          <w:color w:val="000000" w:themeColor="text1"/>
          <w:sz w:val="32"/>
          <w:szCs w:val="32"/>
        </w:rPr>
        <w:t>万</w:t>
      </w:r>
      <w:r>
        <w:rPr>
          <w:rFonts w:eastAsia="仿宋_GB2312"/>
          <w:color w:val="000000" w:themeColor="text1"/>
          <w:sz w:val="32"/>
          <w:szCs w:val="32"/>
        </w:rPr>
        <w:t>元。</w:t>
      </w:r>
    </w:p>
    <w:p w14:paraId="7DAC4EB4" w14:textId="77777777" w:rsidR="007260CB" w:rsidRDefault="00001226">
      <w:pPr>
        <w:pBdr>
          <w:bottom w:val="single" w:sz="4" w:space="31" w:color="FFFFFF"/>
        </w:pBd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三是</w:t>
      </w:r>
      <w:r>
        <w:rPr>
          <w:rFonts w:eastAsia="楷体"/>
          <w:color w:val="000000" w:themeColor="text1"/>
          <w:sz w:val="32"/>
          <w:szCs w:val="32"/>
        </w:rPr>
        <w:t>深化预算制度改革，提高预算精细化管理水平</w:t>
      </w:r>
      <w:r>
        <w:rPr>
          <w:rFonts w:eastAsia="楷体_GB2312"/>
          <w:color w:val="000000" w:themeColor="text1"/>
          <w:sz w:val="32"/>
          <w:szCs w:val="32"/>
        </w:rPr>
        <w:t>。</w:t>
      </w:r>
      <w:r>
        <w:rPr>
          <w:rFonts w:eastAsia="仿宋_GB2312"/>
          <w:color w:val="000000" w:themeColor="text1"/>
          <w:sz w:val="32"/>
          <w:szCs w:val="32"/>
        </w:rPr>
        <w:t>全面贯彻落实中央、省、市深</w:t>
      </w:r>
      <w:r>
        <w:rPr>
          <w:rFonts w:eastAsia="仿宋_GB2312"/>
          <w:color w:val="000000" w:themeColor="text1"/>
          <w:sz w:val="32"/>
          <w:szCs w:val="32"/>
        </w:rPr>
        <w:t>化预算管理制度改革精神和区委、区政府</w:t>
      </w:r>
      <w:r>
        <w:rPr>
          <w:rFonts w:eastAsia="仿宋_GB2312"/>
          <w:color w:val="000000" w:themeColor="text1"/>
          <w:sz w:val="32"/>
          <w:szCs w:val="32"/>
        </w:rPr>
        <w:lastRenderedPageBreak/>
        <w:t>工作要求，紧紧围绕</w:t>
      </w:r>
      <w:r>
        <w:rPr>
          <w:rFonts w:eastAsia="仿宋_GB2312"/>
          <w:color w:val="000000" w:themeColor="text1"/>
          <w:sz w:val="32"/>
          <w:szCs w:val="32"/>
        </w:rPr>
        <w:t>“</w:t>
      </w:r>
      <w:r>
        <w:rPr>
          <w:rFonts w:eastAsia="仿宋_GB2312"/>
          <w:color w:val="000000" w:themeColor="text1"/>
          <w:sz w:val="32"/>
          <w:szCs w:val="32"/>
        </w:rPr>
        <w:t>六个预算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eastAsia="仿宋_GB2312"/>
          <w:color w:val="000000" w:themeColor="text1"/>
          <w:sz w:val="32"/>
          <w:szCs w:val="32"/>
        </w:rPr>
        <w:t>改革方向，科学编制</w:t>
      </w:r>
      <w:r>
        <w:rPr>
          <w:rFonts w:eastAsia="仿宋_GB2312"/>
          <w:color w:val="000000" w:themeColor="text1"/>
          <w:sz w:val="32"/>
          <w:szCs w:val="32"/>
        </w:rPr>
        <w:t>2023</w:t>
      </w:r>
      <w:r>
        <w:rPr>
          <w:rFonts w:eastAsia="仿宋_GB2312"/>
          <w:color w:val="000000" w:themeColor="text1"/>
          <w:sz w:val="32"/>
          <w:szCs w:val="32"/>
        </w:rPr>
        <w:t>年度预算。着力强化政府资源统筹调配，加强风险防控能力，推动预算管理提质增效。夯实预算管理基础，深入推进预算管理一体化建设，提升预算编制的科学性、精准性、前瞻性，增强我区重大战略任务及发展规划的财力保障。</w:t>
      </w:r>
    </w:p>
    <w:p w14:paraId="56544C72" w14:textId="77777777" w:rsidR="007260CB" w:rsidRDefault="00001226">
      <w:pPr>
        <w:pBdr>
          <w:bottom w:val="single" w:sz="4" w:space="31" w:color="FFFFFF"/>
        </w:pBdr>
        <w:spacing w:line="560" w:lineRule="exact"/>
        <w:ind w:firstLineChars="200" w:firstLine="640"/>
        <w:rPr>
          <w:sz w:val="20"/>
        </w:rPr>
      </w:pPr>
      <w:r>
        <w:rPr>
          <w:rFonts w:eastAsia="黑体"/>
          <w:color w:val="000000" w:themeColor="text1"/>
          <w:sz w:val="32"/>
          <w:szCs w:val="32"/>
        </w:rPr>
        <w:t>四、关于</w:t>
      </w:r>
      <w:r>
        <w:rPr>
          <w:rFonts w:eastAsia="黑体"/>
          <w:color w:val="000000" w:themeColor="text1"/>
          <w:sz w:val="32"/>
          <w:szCs w:val="32"/>
        </w:rPr>
        <w:t>“</w:t>
      </w:r>
      <w:r>
        <w:rPr>
          <w:rFonts w:eastAsia="黑体"/>
          <w:color w:val="000000" w:themeColor="text1"/>
          <w:sz w:val="32"/>
          <w:szCs w:val="32"/>
        </w:rPr>
        <w:t>做好债务风险防范化解工作</w:t>
      </w:r>
      <w:r>
        <w:rPr>
          <w:rFonts w:eastAsia="黑体"/>
          <w:color w:val="000000" w:themeColor="text1"/>
          <w:sz w:val="32"/>
          <w:szCs w:val="32"/>
        </w:rPr>
        <w:t>”</w:t>
      </w:r>
      <w:r>
        <w:rPr>
          <w:rFonts w:eastAsia="黑体"/>
          <w:color w:val="000000" w:themeColor="text1"/>
          <w:sz w:val="32"/>
          <w:szCs w:val="32"/>
        </w:rPr>
        <w:t>方面</w:t>
      </w:r>
    </w:p>
    <w:p w14:paraId="7B059165" w14:textId="77777777" w:rsidR="007260CB" w:rsidRDefault="00001226">
      <w:pPr>
        <w:pBdr>
          <w:bottom w:val="single" w:sz="4" w:space="31" w:color="FFFFFF"/>
        </w:pBd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一是全面落实政府债务风险评估</w:t>
      </w:r>
      <w:r>
        <w:rPr>
          <w:rFonts w:eastAsia="楷体_GB2312"/>
          <w:sz w:val="32"/>
          <w:szCs w:val="32"/>
        </w:rPr>
        <w:t>和预警机制</w:t>
      </w:r>
      <w:r>
        <w:rPr>
          <w:rFonts w:eastAsia="楷体_GB2312"/>
          <w:color w:val="000000" w:themeColor="text1"/>
          <w:sz w:val="32"/>
          <w:szCs w:val="32"/>
        </w:rPr>
        <w:t>。</w:t>
      </w:r>
      <w:r>
        <w:rPr>
          <w:rFonts w:eastAsia="仿宋_GB2312"/>
          <w:color w:val="000000" w:themeColor="text1"/>
          <w:sz w:val="32"/>
          <w:szCs w:val="32"/>
        </w:rPr>
        <w:t>加强政府债务动态监控和风险隐患排查，严格控制新增政府债务，政府债务收支、还本付息、发行费用全面纳入预算管理。加强风险监测，定期排查风险隐患，及时对风险单位进行提示和预警，督导相关单位做好风险防范工作，做到风险早发现、早报告、早处置。按照轻重缓急合理安排使用债务资金，妥善化解政府存量债务，确保我区政府债务规模不突破上级下达债务限额。</w:t>
      </w:r>
    </w:p>
    <w:p w14:paraId="1FA7C3AF" w14:textId="77777777" w:rsidR="007260CB" w:rsidRDefault="00001226">
      <w:pPr>
        <w:pBdr>
          <w:bottom w:val="single" w:sz="4" w:space="31" w:color="FFFFFF"/>
        </w:pBd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二是进一步加强债券资金项目管理。</w:t>
      </w:r>
      <w:r>
        <w:rPr>
          <w:rFonts w:eastAsia="仿宋_GB2312"/>
          <w:color w:val="000000" w:themeColor="text1"/>
          <w:sz w:val="32"/>
          <w:szCs w:val="32"/>
        </w:rPr>
        <w:t>紧密结合我区实际情况，积极对上争取债券额度，科学遴选发行政府债券项目。稳妥做好债券项目的规划、审批等前期准备工作，确保债券发行后，能够尽快形成实物</w:t>
      </w:r>
      <w:r>
        <w:rPr>
          <w:rFonts w:eastAsia="仿宋_GB2312"/>
          <w:color w:val="000000" w:themeColor="text1"/>
          <w:sz w:val="32"/>
          <w:szCs w:val="32"/>
        </w:rPr>
        <w:t>工作量。</w:t>
      </w:r>
      <w:r>
        <w:rPr>
          <w:rFonts w:eastAsia="仿宋_GB2312" w:hint="eastAsia"/>
          <w:color w:val="000000" w:themeColor="text1"/>
          <w:sz w:val="32"/>
          <w:szCs w:val="32"/>
        </w:rPr>
        <w:t>8</w:t>
      </w:r>
      <w:r>
        <w:rPr>
          <w:rFonts w:eastAsia="仿宋_GB2312" w:hint="eastAsia"/>
          <w:color w:val="000000" w:themeColor="text1"/>
          <w:sz w:val="32"/>
          <w:szCs w:val="32"/>
        </w:rPr>
        <w:t>月底，我区</w:t>
      </w:r>
      <w:r>
        <w:rPr>
          <w:rFonts w:eastAsia="仿宋_GB2312" w:hint="eastAsia"/>
          <w:color w:val="000000" w:themeColor="text1"/>
          <w:sz w:val="32"/>
          <w:szCs w:val="32"/>
        </w:rPr>
        <w:t>2022</w:t>
      </w:r>
      <w:r>
        <w:rPr>
          <w:rFonts w:eastAsia="仿宋_GB2312" w:hint="eastAsia"/>
          <w:color w:val="000000" w:themeColor="text1"/>
          <w:sz w:val="32"/>
          <w:szCs w:val="32"/>
        </w:rPr>
        <w:t>年度新增专项债券</w:t>
      </w:r>
      <w:r>
        <w:rPr>
          <w:rFonts w:eastAsia="仿宋_GB2312" w:hint="eastAsia"/>
          <w:color w:val="000000" w:themeColor="text1"/>
          <w:sz w:val="32"/>
          <w:szCs w:val="32"/>
        </w:rPr>
        <w:t>3.29</w:t>
      </w:r>
      <w:r>
        <w:rPr>
          <w:rFonts w:eastAsia="仿宋_GB2312" w:hint="eastAsia"/>
          <w:color w:val="000000" w:themeColor="text1"/>
          <w:sz w:val="32"/>
          <w:szCs w:val="32"/>
        </w:rPr>
        <w:t>亿元，项目单位全部实现支出，支付进度位列全市前列。</w:t>
      </w:r>
    </w:p>
    <w:p w14:paraId="020ACAF3" w14:textId="77777777" w:rsidR="007260CB" w:rsidRDefault="00001226">
      <w:pPr>
        <w:pBdr>
          <w:bottom w:val="single" w:sz="4" w:space="31" w:color="FFFFFF"/>
        </w:pBd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楷体_GB2312"/>
          <w:color w:val="000000" w:themeColor="text1"/>
          <w:sz w:val="32"/>
          <w:szCs w:val="32"/>
        </w:rPr>
        <w:t>三是积极稳妥防范和化解地方政府债务风险。</w:t>
      </w:r>
      <w:r>
        <w:rPr>
          <w:rFonts w:eastAsia="仿宋_GB2312"/>
          <w:color w:val="000000" w:themeColor="text1"/>
          <w:sz w:val="32"/>
          <w:szCs w:val="32"/>
        </w:rPr>
        <w:t>加强政府债券还本付息管理，债券项目对应收入及时足额缴存国库，保障本息偿还。积极对上争取政府再融资债券，增强债券还本付息能力。健全政府融资和债务化解机制，强化举债源头管控，稳妥推进政</w:t>
      </w:r>
      <w:r>
        <w:rPr>
          <w:rFonts w:eastAsia="仿宋_GB2312"/>
          <w:color w:val="000000" w:themeColor="text1"/>
          <w:sz w:val="32"/>
          <w:szCs w:val="32"/>
        </w:rPr>
        <w:lastRenderedPageBreak/>
        <w:t>府融资平台市场化转型。强化政府债务动态监控和风险评估，坚决遏制增量，</w:t>
      </w:r>
      <w:r>
        <w:rPr>
          <w:rFonts w:eastAsia="仿宋_GB2312"/>
          <w:color w:val="000000" w:themeColor="text1"/>
          <w:kern w:val="0"/>
          <w:sz w:val="32"/>
          <w:szCs w:val="32"/>
        </w:rPr>
        <w:t>确保全区债务风险可防可控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，保障</w:t>
      </w:r>
      <w:r>
        <w:rPr>
          <w:rFonts w:eastAsia="仿宋_GB2312"/>
          <w:color w:val="000000" w:themeColor="text1"/>
          <w:kern w:val="0"/>
          <w:sz w:val="32"/>
          <w:szCs w:val="32"/>
        </w:rPr>
        <w:t>经济平稳健康发展。</w:t>
      </w:r>
    </w:p>
    <w:p w14:paraId="73186C7E" w14:textId="77777777" w:rsidR="007260CB" w:rsidRDefault="00001226">
      <w:pPr>
        <w:pBdr>
          <w:bottom w:val="single" w:sz="4" w:space="31" w:color="FFFFFF"/>
        </w:pBd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特此报告。</w:t>
      </w:r>
    </w:p>
    <w:p w14:paraId="0B072207" w14:textId="77777777" w:rsidR="007260CB" w:rsidRDefault="007260CB">
      <w:pPr>
        <w:spacing w:line="560" w:lineRule="exact"/>
        <w:rPr>
          <w:rFonts w:eastAsia="仿宋_GB2312"/>
          <w:color w:val="0000FF"/>
          <w:sz w:val="32"/>
          <w:szCs w:val="32"/>
        </w:rPr>
      </w:pPr>
    </w:p>
    <w:p w14:paraId="2BB12183" w14:textId="5AAABE10" w:rsidR="007260CB" w:rsidRDefault="00001226">
      <w:pPr>
        <w:spacing w:line="560" w:lineRule="exact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</w:p>
    <w:p w14:paraId="455F768E" w14:textId="77777777" w:rsidR="007260CB" w:rsidRDefault="00001226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</w:t>
      </w:r>
    </w:p>
    <w:p w14:paraId="7A5408DD" w14:textId="77777777" w:rsidR="007260CB" w:rsidRDefault="007260CB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14:paraId="04E4F9FA" w14:textId="77777777" w:rsidR="007260CB" w:rsidRDefault="007260CB">
      <w:pPr>
        <w:pStyle w:val="3"/>
        <w:rPr>
          <w:rFonts w:eastAsia="仿宋_GB2312"/>
        </w:rPr>
      </w:pPr>
    </w:p>
    <w:p w14:paraId="5F56B0AE" w14:textId="77777777" w:rsidR="007260CB" w:rsidRDefault="007260CB">
      <w:pPr>
        <w:rPr>
          <w:rFonts w:eastAsia="仿宋_GB2312"/>
          <w:sz w:val="32"/>
          <w:szCs w:val="32"/>
        </w:rPr>
      </w:pPr>
    </w:p>
    <w:p w14:paraId="1BC4DA48" w14:textId="77777777" w:rsidR="007260CB" w:rsidRDefault="007260CB">
      <w:pPr>
        <w:pStyle w:val="3"/>
      </w:pPr>
    </w:p>
    <w:p w14:paraId="69F6B22D" w14:textId="77777777" w:rsidR="007260CB" w:rsidRDefault="007260CB"/>
    <w:p w14:paraId="381E6721" w14:textId="77777777" w:rsidR="007260CB" w:rsidRDefault="007260CB">
      <w:pPr>
        <w:pStyle w:val="2"/>
        <w:rPr>
          <w:rFonts w:hint="default"/>
        </w:rPr>
      </w:pPr>
    </w:p>
    <w:p w14:paraId="01671D5B" w14:textId="77777777" w:rsidR="007260CB" w:rsidRDefault="007260CB">
      <w:pPr>
        <w:pStyle w:val="2"/>
        <w:rPr>
          <w:rFonts w:hint="default"/>
        </w:rPr>
      </w:pPr>
    </w:p>
    <w:p w14:paraId="6BDDE0A8" w14:textId="77777777" w:rsidR="007260CB" w:rsidRDefault="007260CB">
      <w:pPr>
        <w:pStyle w:val="2"/>
        <w:rPr>
          <w:rFonts w:hint="default"/>
        </w:rPr>
      </w:pPr>
    </w:p>
    <w:p w14:paraId="3A007A81" w14:textId="77777777" w:rsidR="007260CB" w:rsidRDefault="007260CB">
      <w:pPr>
        <w:pStyle w:val="2"/>
        <w:rPr>
          <w:rFonts w:hint="default"/>
        </w:rPr>
      </w:pPr>
    </w:p>
    <w:p w14:paraId="3F68746A" w14:textId="77777777" w:rsidR="007260CB" w:rsidRDefault="007260CB">
      <w:pPr>
        <w:pStyle w:val="2"/>
        <w:rPr>
          <w:rFonts w:hint="default"/>
        </w:rPr>
      </w:pPr>
    </w:p>
    <w:p w14:paraId="2546E046" w14:textId="77777777" w:rsidR="007260CB" w:rsidRDefault="007260CB">
      <w:pPr>
        <w:pStyle w:val="2"/>
        <w:rPr>
          <w:rFonts w:hint="default"/>
        </w:rPr>
      </w:pPr>
    </w:p>
    <w:p w14:paraId="2B16A823" w14:textId="77777777" w:rsidR="007260CB" w:rsidRDefault="007260CB">
      <w:pPr>
        <w:pStyle w:val="2"/>
        <w:rPr>
          <w:rFonts w:hint="default"/>
        </w:rPr>
      </w:pPr>
    </w:p>
    <w:p w14:paraId="1F3CFDDD" w14:textId="77777777" w:rsidR="007260CB" w:rsidRDefault="00001226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46EFE" wp14:editId="39D2C07F">
                <wp:simplePos x="0" y="0"/>
                <wp:positionH relativeFrom="column">
                  <wp:posOffset>13335</wp:posOffset>
                </wp:positionH>
                <wp:positionV relativeFrom="paragraph">
                  <wp:posOffset>329565</wp:posOffset>
                </wp:positionV>
                <wp:extent cx="5600700" cy="635"/>
                <wp:effectExtent l="0" t="0" r="0" b="0"/>
                <wp:wrapNone/>
                <wp:docPr id="1" name="直线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1027" o:spid="_x0000_s1026" o:spt="20" style="position:absolute;left:0pt;margin-left:1.05pt;margin-top:25.95pt;height:0.05pt;width:441pt;z-index:251660288;mso-width-relative:page;mso-height-relative:page;" filled="f" stroked="t" coordsize="21600,21600" o:gfxdata="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Q/rH0wAAAAcBAAAPAAAA&#10;AAAAAAEAIAAAACIAAABkcnMvZG93bnJldi54bWxQSwECFAAUAAAACACHTuJA9KBsjeEBAADVAwAA&#10;DgAAAAAAAAABACAAAAAi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1E3D524" w14:textId="77777777" w:rsidR="007260CB" w:rsidRDefault="00001226">
      <w:pPr>
        <w:spacing w:line="440" w:lineRule="exact"/>
        <w:ind w:firstLineChars="100" w:firstLine="28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F97C9" wp14:editId="6DDED714">
                <wp:simplePos x="0" y="0"/>
                <wp:positionH relativeFrom="column">
                  <wp:posOffset>13335</wp:posOffset>
                </wp:positionH>
                <wp:positionV relativeFrom="paragraph">
                  <wp:posOffset>372110</wp:posOffset>
                </wp:positionV>
                <wp:extent cx="5600700" cy="635"/>
                <wp:effectExtent l="0" t="0" r="0" b="0"/>
                <wp:wrapNone/>
                <wp:docPr id="2" name="直线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1028" o:spid="_x0000_s1026" o:spt="20" style="position:absolute;left:0pt;margin-left:1.05pt;margin-top:29.3pt;height:0.05pt;width:441pt;z-index:251659264;mso-width-relative:page;mso-height-relative:page;" filled="f" stroked="t" coordsize="21600,21600" o:gfxdata="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dQJeq0wAAAAcBAAAPAAAA&#10;AAAAAAEAIAAAACIAAABkcnMvZG93bnJldi54bWxQSwECFAAUAAAACACHTuJAhkdwyOEBAADVAwAA&#10;DgAAAAAAAAABACAAAAAi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淄川区人民政府办公室　　　　　　　　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　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24</w:t>
      </w:r>
      <w:r>
        <w:rPr>
          <w:rFonts w:eastAsia="仿宋_GB2312"/>
          <w:sz w:val="28"/>
          <w:szCs w:val="28"/>
        </w:rPr>
        <w:t>日印发</w:t>
      </w:r>
    </w:p>
    <w:sectPr w:rsidR="007260CB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34DB" w14:textId="77777777" w:rsidR="00000000" w:rsidRDefault="00001226">
      <w:r>
        <w:separator/>
      </w:r>
    </w:p>
  </w:endnote>
  <w:endnote w:type="continuationSeparator" w:id="0">
    <w:p w14:paraId="2EA0C10E" w14:textId="77777777" w:rsidR="00000000" w:rsidRDefault="0000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3B57" w14:textId="77777777" w:rsidR="007260CB" w:rsidRDefault="00001226">
    <w:pPr>
      <w:pStyle w:val="a6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88F5838" w14:textId="77777777" w:rsidR="007260CB" w:rsidRDefault="007260C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4BF6" w14:textId="77777777" w:rsidR="007260CB" w:rsidRDefault="00001226">
    <w:pPr>
      <w:pStyle w:val="a6"/>
      <w:framePr w:wrap="around" w:vAnchor="text" w:hAnchor="margin" w:xAlign="outside" w:y="1"/>
      <w:rPr>
        <w:rStyle w:val="ac"/>
        <w:rFonts w:ascii="宋体"/>
        <w:sz w:val="28"/>
        <w:szCs w:val="28"/>
      </w:rPr>
    </w:pPr>
    <w:r>
      <w:rPr>
        <w:rStyle w:val="ac"/>
        <w:rFonts w:ascii="宋体" w:hAnsi="宋体"/>
        <w:sz w:val="28"/>
        <w:szCs w:val="28"/>
      </w:rPr>
      <w:t xml:space="preserve">— 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6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/>
        <w:sz w:val="28"/>
        <w:szCs w:val="28"/>
      </w:rPr>
      <w:t xml:space="preserve"> —</w:t>
    </w:r>
  </w:p>
  <w:p w14:paraId="434D0797" w14:textId="77777777" w:rsidR="007260CB" w:rsidRDefault="007260C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0B09" w14:textId="77777777" w:rsidR="00000000" w:rsidRDefault="00001226">
      <w:r>
        <w:separator/>
      </w:r>
    </w:p>
  </w:footnote>
  <w:footnote w:type="continuationSeparator" w:id="0">
    <w:p w14:paraId="0D33977D" w14:textId="77777777" w:rsidR="00000000" w:rsidRDefault="0000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6C76" w14:textId="77777777" w:rsidR="007260CB" w:rsidRDefault="007260CB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wY2Y5YmEyNzk3OTRjZWQ1MzNhNTc1OTk3ZjE2YjcifQ=="/>
  </w:docVars>
  <w:rsids>
    <w:rsidRoot w:val="00C876D8"/>
    <w:rsid w:val="00001226"/>
    <w:rsid w:val="00002EC2"/>
    <w:rsid w:val="000275B2"/>
    <w:rsid w:val="00030313"/>
    <w:rsid w:val="00034EBC"/>
    <w:rsid w:val="00044C28"/>
    <w:rsid w:val="00057D7A"/>
    <w:rsid w:val="00064A55"/>
    <w:rsid w:val="000A4DB1"/>
    <w:rsid w:val="000C4626"/>
    <w:rsid w:val="000C472C"/>
    <w:rsid w:val="000D177E"/>
    <w:rsid w:val="000E1778"/>
    <w:rsid w:val="000F1742"/>
    <w:rsid w:val="001023CC"/>
    <w:rsid w:val="00105DB9"/>
    <w:rsid w:val="0013777C"/>
    <w:rsid w:val="0014425A"/>
    <w:rsid w:val="00151952"/>
    <w:rsid w:val="001666A4"/>
    <w:rsid w:val="00171109"/>
    <w:rsid w:val="001B2BB2"/>
    <w:rsid w:val="001D7C2F"/>
    <w:rsid w:val="001E5D24"/>
    <w:rsid w:val="001F1909"/>
    <w:rsid w:val="00240B50"/>
    <w:rsid w:val="00243190"/>
    <w:rsid w:val="00250676"/>
    <w:rsid w:val="00257B7E"/>
    <w:rsid w:val="00264B67"/>
    <w:rsid w:val="00274E59"/>
    <w:rsid w:val="0028579D"/>
    <w:rsid w:val="002A663A"/>
    <w:rsid w:val="002B24C7"/>
    <w:rsid w:val="002C4098"/>
    <w:rsid w:val="002D7753"/>
    <w:rsid w:val="00303BCE"/>
    <w:rsid w:val="003355C7"/>
    <w:rsid w:val="00336F0B"/>
    <w:rsid w:val="00337056"/>
    <w:rsid w:val="0033718C"/>
    <w:rsid w:val="00346630"/>
    <w:rsid w:val="00350873"/>
    <w:rsid w:val="00361C93"/>
    <w:rsid w:val="00361E26"/>
    <w:rsid w:val="00375B11"/>
    <w:rsid w:val="00377FCA"/>
    <w:rsid w:val="00386B71"/>
    <w:rsid w:val="0039394F"/>
    <w:rsid w:val="003D4D5E"/>
    <w:rsid w:val="003E02B3"/>
    <w:rsid w:val="003E7425"/>
    <w:rsid w:val="00405FB5"/>
    <w:rsid w:val="00426F01"/>
    <w:rsid w:val="004431E5"/>
    <w:rsid w:val="00466BF4"/>
    <w:rsid w:val="00470D6F"/>
    <w:rsid w:val="00480218"/>
    <w:rsid w:val="0048134A"/>
    <w:rsid w:val="00482195"/>
    <w:rsid w:val="0048226D"/>
    <w:rsid w:val="00484A79"/>
    <w:rsid w:val="0049483F"/>
    <w:rsid w:val="00494FAC"/>
    <w:rsid w:val="004A43F5"/>
    <w:rsid w:val="004B4FFA"/>
    <w:rsid w:val="004B5DA4"/>
    <w:rsid w:val="004E27CB"/>
    <w:rsid w:val="004E5A2A"/>
    <w:rsid w:val="0050490F"/>
    <w:rsid w:val="00506D2B"/>
    <w:rsid w:val="00507D1A"/>
    <w:rsid w:val="00524592"/>
    <w:rsid w:val="005261B0"/>
    <w:rsid w:val="00526971"/>
    <w:rsid w:val="005271E4"/>
    <w:rsid w:val="00543115"/>
    <w:rsid w:val="00545BCB"/>
    <w:rsid w:val="005476B5"/>
    <w:rsid w:val="00574D9C"/>
    <w:rsid w:val="00581DC8"/>
    <w:rsid w:val="005B443D"/>
    <w:rsid w:val="005B7861"/>
    <w:rsid w:val="005C3F27"/>
    <w:rsid w:val="005D7068"/>
    <w:rsid w:val="005F0760"/>
    <w:rsid w:val="005F6D6E"/>
    <w:rsid w:val="0060315D"/>
    <w:rsid w:val="006065BE"/>
    <w:rsid w:val="0061287B"/>
    <w:rsid w:val="0062337C"/>
    <w:rsid w:val="00633BF0"/>
    <w:rsid w:val="006465CD"/>
    <w:rsid w:val="00653B55"/>
    <w:rsid w:val="006617A5"/>
    <w:rsid w:val="00675DF3"/>
    <w:rsid w:val="006A0B09"/>
    <w:rsid w:val="006A210B"/>
    <w:rsid w:val="006E040B"/>
    <w:rsid w:val="006E62C7"/>
    <w:rsid w:val="00700943"/>
    <w:rsid w:val="00700BA9"/>
    <w:rsid w:val="00710329"/>
    <w:rsid w:val="00720535"/>
    <w:rsid w:val="00721159"/>
    <w:rsid w:val="007260CB"/>
    <w:rsid w:val="007522A3"/>
    <w:rsid w:val="00761D1E"/>
    <w:rsid w:val="0076799D"/>
    <w:rsid w:val="007D252A"/>
    <w:rsid w:val="007E7FCF"/>
    <w:rsid w:val="007F5488"/>
    <w:rsid w:val="00800A8E"/>
    <w:rsid w:val="008029CB"/>
    <w:rsid w:val="008047A3"/>
    <w:rsid w:val="00832105"/>
    <w:rsid w:val="00835A47"/>
    <w:rsid w:val="00840C87"/>
    <w:rsid w:val="00850584"/>
    <w:rsid w:val="00854144"/>
    <w:rsid w:val="0085639A"/>
    <w:rsid w:val="008652BE"/>
    <w:rsid w:val="00867977"/>
    <w:rsid w:val="008C5D6C"/>
    <w:rsid w:val="008E13C8"/>
    <w:rsid w:val="008E208D"/>
    <w:rsid w:val="008F5D95"/>
    <w:rsid w:val="009059BA"/>
    <w:rsid w:val="0091202A"/>
    <w:rsid w:val="00917D9C"/>
    <w:rsid w:val="00924E26"/>
    <w:rsid w:val="00937D07"/>
    <w:rsid w:val="00941273"/>
    <w:rsid w:val="0095084B"/>
    <w:rsid w:val="009646D9"/>
    <w:rsid w:val="00964DF5"/>
    <w:rsid w:val="009669BF"/>
    <w:rsid w:val="00976267"/>
    <w:rsid w:val="0099696C"/>
    <w:rsid w:val="009A3CFE"/>
    <w:rsid w:val="009B268D"/>
    <w:rsid w:val="009B4AA3"/>
    <w:rsid w:val="009C22A3"/>
    <w:rsid w:val="009D4000"/>
    <w:rsid w:val="009F49AD"/>
    <w:rsid w:val="00A16876"/>
    <w:rsid w:val="00A21B64"/>
    <w:rsid w:val="00A35316"/>
    <w:rsid w:val="00A35D25"/>
    <w:rsid w:val="00A451E9"/>
    <w:rsid w:val="00A528FE"/>
    <w:rsid w:val="00A543B5"/>
    <w:rsid w:val="00A55F0B"/>
    <w:rsid w:val="00A7083B"/>
    <w:rsid w:val="00A92793"/>
    <w:rsid w:val="00AE63A3"/>
    <w:rsid w:val="00B5560E"/>
    <w:rsid w:val="00B55876"/>
    <w:rsid w:val="00B62AA5"/>
    <w:rsid w:val="00B7588F"/>
    <w:rsid w:val="00B83006"/>
    <w:rsid w:val="00BB31BC"/>
    <w:rsid w:val="00BC18F5"/>
    <w:rsid w:val="00BD2B63"/>
    <w:rsid w:val="00BF144F"/>
    <w:rsid w:val="00BF2F5D"/>
    <w:rsid w:val="00BF3515"/>
    <w:rsid w:val="00C11AD0"/>
    <w:rsid w:val="00C16E25"/>
    <w:rsid w:val="00C3170A"/>
    <w:rsid w:val="00C31F2F"/>
    <w:rsid w:val="00C328FE"/>
    <w:rsid w:val="00C3502B"/>
    <w:rsid w:val="00C552F7"/>
    <w:rsid w:val="00C60BAB"/>
    <w:rsid w:val="00C64790"/>
    <w:rsid w:val="00C876D8"/>
    <w:rsid w:val="00C96E52"/>
    <w:rsid w:val="00D04D92"/>
    <w:rsid w:val="00D0629F"/>
    <w:rsid w:val="00D1081B"/>
    <w:rsid w:val="00D14E02"/>
    <w:rsid w:val="00D20352"/>
    <w:rsid w:val="00D5505F"/>
    <w:rsid w:val="00D760CF"/>
    <w:rsid w:val="00D809DC"/>
    <w:rsid w:val="00D82AC5"/>
    <w:rsid w:val="00D86ECD"/>
    <w:rsid w:val="00DA68B2"/>
    <w:rsid w:val="00DE690F"/>
    <w:rsid w:val="00DF02CB"/>
    <w:rsid w:val="00E01B9C"/>
    <w:rsid w:val="00E03EE9"/>
    <w:rsid w:val="00E06AD4"/>
    <w:rsid w:val="00E06F9E"/>
    <w:rsid w:val="00E32EB4"/>
    <w:rsid w:val="00E32F5F"/>
    <w:rsid w:val="00E377C4"/>
    <w:rsid w:val="00E42DC4"/>
    <w:rsid w:val="00E730C6"/>
    <w:rsid w:val="00E91B08"/>
    <w:rsid w:val="00E92DFE"/>
    <w:rsid w:val="00EA5E6A"/>
    <w:rsid w:val="00EA6626"/>
    <w:rsid w:val="00EB319C"/>
    <w:rsid w:val="00ED44AB"/>
    <w:rsid w:val="00F24CDC"/>
    <w:rsid w:val="00F2512A"/>
    <w:rsid w:val="00F25159"/>
    <w:rsid w:val="00F3154D"/>
    <w:rsid w:val="00F51BF2"/>
    <w:rsid w:val="00F61B41"/>
    <w:rsid w:val="00F816D5"/>
    <w:rsid w:val="00F8334B"/>
    <w:rsid w:val="00FB53FD"/>
    <w:rsid w:val="00FB7582"/>
    <w:rsid w:val="00FD2CE2"/>
    <w:rsid w:val="00FD432F"/>
    <w:rsid w:val="00FE7911"/>
    <w:rsid w:val="01FB6A1F"/>
    <w:rsid w:val="03EF6C1F"/>
    <w:rsid w:val="04B660C3"/>
    <w:rsid w:val="058A2088"/>
    <w:rsid w:val="1236016D"/>
    <w:rsid w:val="15E336E8"/>
    <w:rsid w:val="171D7411"/>
    <w:rsid w:val="18347CFF"/>
    <w:rsid w:val="1B94445A"/>
    <w:rsid w:val="2582501B"/>
    <w:rsid w:val="263407D2"/>
    <w:rsid w:val="291C4345"/>
    <w:rsid w:val="2A9D44D6"/>
    <w:rsid w:val="315A3BCF"/>
    <w:rsid w:val="341D2FD0"/>
    <w:rsid w:val="37F1604F"/>
    <w:rsid w:val="3ACF6E6F"/>
    <w:rsid w:val="3B766E9E"/>
    <w:rsid w:val="3E6027AC"/>
    <w:rsid w:val="4B7A15F6"/>
    <w:rsid w:val="50961F67"/>
    <w:rsid w:val="571B3C36"/>
    <w:rsid w:val="5A076796"/>
    <w:rsid w:val="63D23063"/>
    <w:rsid w:val="63E7755A"/>
    <w:rsid w:val="660B6C84"/>
    <w:rsid w:val="69852B2B"/>
    <w:rsid w:val="6A4C52F9"/>
    <w:rsid w:val="6E7E1002"/>
    <w:rsid w:val="71425682"/>
    <w:rsid w:val="71B54F7D"/>
    <w:rsid w:val="724135FB"/>
    <w:rsid w:val="776B5F96"/>
    <w:rsid w:val="79E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1EB071"/>
  <w15:docId w15:val="{13EC66D0-FC5B-4E04-A225-0D8EF308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locked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pPr>
      <w:spacing w:line="588" w:lineRule="atLeast"/>
    </w:pPr>
    <w:rPr>
      <w:rFonts w:hint="eastAsia"/>
      <w:spacing w:val="6"/>
      <w:sz w:val="30"/>
    </w:rPr>
  </w:style>
  <w:style w:type="paragraph" w:styleId="a3">
    <w:name w:val="Body Text"/>
    <w:basedOn w:val="a"/>
    <w:uiPriority w:val="1"/>
    <w:qFormat/>
    <w:pPr>
      <w:ind w:left="110"/>
    </w:pPr>
    <w:rPr>
      <w:rFonts w:ascii="宋体" w:hAnsi="宋体" w:cs="宋体"/>
      <w:sz w:val="32"/>
      <w:szCs w:val="32"/>
      <w:lang w:val="zh-CN" w:bidi="zh-C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99"/>
    <w:qFormat/>
    <w:rPr>
      <w:rFonts w:cs="Times New Roman"/>
      <w:b/>
      <w:bCs/>
    </w:rPr>
  </w:style>
  <w:style w:type="character" w:styleId="ac">
    <w:name w:val="page number"/>
    <w:basedOn w:val="a0"/>
    <w:uiPriority w:val="99"/>
    <w:qFormat/>
    <w:rPr>
      <w:rFonts w:cs="Times New Roman"/>
    </w:rPr>
  </w:style>
  <w:style w:type="character" w:customStyle="1" w:styleId="a7">
    <w:name w:val="页脚 字符"/>
    <w:basedOn w:val="a0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2554</Words>
  <Characters>256</Characters>
  <Application>Microsoft Office Word</Application>
  <DocSecurity>0</DocSecurity>
  <Lines>2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赵 丹</cp:lastModifiedBy>
  <cp:revision>79</cp:revision>
  <cp:lastPrinted>2022-10-19T03:39:00Z</cp:lastPrinted>
  <dcterms:created xsi:type="dcterms:W3CDTF">2019-10-14T06:17:00Z</dcterms:created>
  <dcterms:modified xsi:type="dcterms:W3CDTF">2022-11-08T03:07:00Z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EE21D6AE631945CDB70D83FAAE695D2F</vt:lpwstr>
  </property>
</Properties>
</file>