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淄博市生态环境局淄川分局</w:t>
      </w:r>
    </w:p>
    <w:p>
      <w:pPr>
        <w:pStyle w:val="11"/>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2022年度政府信息公开工作年度报告</w:t>
      </w:r>
    </w:p>
    <w:p>
      <w:pPr>
        <w:pStyle w:val="9"/>
        <w:rPr>
          <w:rFonts w:hint="default" w:ascii="Times New Roman" w:hAnsi="Times New Roman" w:cs="Times New Roman"/>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如对报告内容有疑问，请与淄博市生态环境局淄川分局联系（</w:t>
      </w:r>
      <w:r>
        <w:rPr>
          <w:rFonts w:hint="default" w:ascii="Times New Roman" w:hAnsi="Times New Roman" w:eastAsia="仿宋_GB2312" w:cs="Times New Roman"/>
          <w:i w:val="0"/>
          <w:caps w:val="0"/>
          <w:color w:val="000000"/>
          <w:spacing w:val="0"/>
          <w:sz w:val="32"/>
          <w:szCs w:val="32"/>
          <w:shd w:val="clear" w:fill="FFFFFF"/>
        </w:rPr>
        <w:t>地址：山东省淄博市淄川区淄城东路59号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电话：0533-5181488</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邮箱：zchbxf@zb.shandong.cn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11"/>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sz w:val="32"/>
        </w:rPr>
      </w:pPr>
      <w:r>
        <w:rPr>
          <w:rFonts w:hint="default" w:ascii="Times New Roman" w:hAnsi="Times New Roman" w:cs="Times New Roman"/>
          <w:sz w:val="32"/>
        </w:rPr>
        <w:t>总体情况</w:t>
      </w:r>
    </w:p>
    <w:p>
      <w:pPr>
        <w:pStyle w:val="9"/>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2022年，区生态环境分局根据市区政务公开要求，</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政务公开</w:t>
      </w:r>
      <w:r>
        <w:rPr>
          <w:rFonts w:hint="default" w:ascii="Times New Roman" w:hAnsi="Times New Roman" w:eastAsia="仿宋_GB2312" w:cs="Times New Roman"/>
          <w:sz w:val="32"/>
          <w:szCs w:val="32"/>
        </w:rPr>
        <w:t>任务清单,</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社会公众关心的环境质量状况、环境执法、环保督察、环评审批等重点领域工作的开展情况,有效保障</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群众的知情权、监督权。</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sz w:val="32"/>
        </w:rPr>
      </w:pPr>
      <w:r>
        <w:rPr>
          <w:rFonts w:hint="eastAsia" w:ascii="楷体" w:hAnsi="楷体" w:eastAsia="楷体" w:cs="楷体"/>
          <w:b/>
          <w:sz w:val="32"/>
        </w:rPr>
        <w:t>1.主动公开。</w:t>
      </w:r>
      <w:r>
        <w:rPr>
          <w:rFonts w:hint="default" w:ascii="Times New Roman" w:hAnsi="Times New Roman" w:eastAsia="仿宋_GB2312" w:cs="Times New Roman"/>
          <w:sz w:val="32"/>
        </w:rPr>
        <w:t>2022年，主动公开政府信息478条。公开类别：机构职能类2条；规划计划类1条；政府信息公开指南类1条；政策文件类19条；社会信用体系类179条；行政执法公示类17条；生态环境信息类34条；政府会议类4条；重要部署执行类4条；民生实事进展情况类1条；督察发现问题及整改落实类181条；建议提案办理类1条；财政信息类2条；双随机一公开类8条；重大建设项目类3条；政府信息主动公开基本目录类1条；基层政务公开标准化目录类2条；政府信息公开年度报告类1条；其他类3条；政务公开组织管理类3条；法治政府建设年度报告1条。</w:t>
      </w:r>
    </w:p>
    <w:p>
      <w:pPr>
        <w:pStyle w:val="9"/>
        <w:rPr>
          <w:rFonts w:hint="default" w:ascii="Times New Roman" w:hAnsi="Times New Roman" w:cs="Times New Roman"/>
        </w:rPr>
      </w:pPr>
      <w:r>
        <w:rPr>
          <w:rFonts w:hint="default" w:ascii="Times New Roman" w:hAnsi="Times New Roman" w:cs="Times New Roman"/>
        </w:rPr>
        <w:drawing>
          <wp:inline distT="0" distB="0" distL="0" distR="0">
            <wp:extent cx="5616575" cy="529907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16575" cy="5299075"/>
                    </a:xfrm>
                    <a:prstGeom prst="rect">
                      <a:avLst/>
                    </a:prstGeom>
                  </pic:spPr>
                </pic:pic>
              </a:graphicData>
            </a:graphic>
          </wp:inline>
        </w:drawing>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color w:val="000000"/>
          <w:sz w:val="32"/>
          <w:lang w:val="en-US" w:eastAsia="zh-CN"/>
        </w:rPr>
      </w:pPr>
      <w:r>
        <w:rPr>
          <w:rFonts w:hint="eastAsia" w:ascii="楷体" w:hAnsi="楷体" w:eastAsia="楷体" w:cs="楷体"/>
          <w:bCs/>
          <w:color w:val="000000"/>
          <w:sz w:val="32"/>
        </w:rPr>
        <w:t>2.依申请公开。</w:t>
      </w:r>
      <w:r>
        <w:rPr>
          <w:rFonts w:hint="default" w:ascii="Times New Roman" w:hAnsi="Times New Roman" w:eastAsia="仿宋_GB2312" w:cs="Times New Roman"/>
          <w:bCs/>
          <w:color w:val="000000"/>
          <w:sz w:val="32"/>
        </w:rPr>
        <w:t>2022年，</w:t>
      </w:r>
      <w:r>
        <w:rPr>
          <w:rFonts w:hint="eastAsia" w:ascii="Times New Roman" w:hAnsi="Times New Roman" w:eastAsia="仿宋_GB2312" w:cs="Times New Roman"/>
          <w:bCs/>
          <w:color w:val="000000"/>
          <w:sz w:val="32"/>
          <w:lang w:eastAsia="zh-CN"/>
        </w:rPr>
        <w:t>收到依申请公开事项</w:t>
      </w:r>
      <w:r>
        <w:rPr>
          <w:rFonts w:hint="default" w:ascii="Times New Roman" w:hAnsi="Times New Roman" w:eastAsia="仿宋_GB2312" w:cs="Times New Roman"/>
          <w:bCs/>
          <w:color w:val="000000"/>
          <w:sz w:val="32"/>
        </w:rPr>
        <w:t>1件</w:t>
      </w:r>
      <w:r>
        <w:rPr>
          <w:rFonts w:hint="eastAsia" w:ascii="Times New Roman" w:hAnsi="Times New Roman" w:eastAsia="仿宋_GB2312" w:cs="Times New Roman"/>
          <w:bCs/>
          <w:color w:val="000000"/>
          <w:sz w:val="32"/>
          <w:lang w:eastAsia="zh-CN"/>
        </w:rPr>
        <w:t>，在法定时限内予以了答复</w:t>
      </w:r>
      <w:r>
        <w:rPr>
          <w:rFonts w:hint="default" w:ascii="Times New Roman" w:hAnsi="Times New Roman" w:eastAsia="仿宋_GB2312" w:cs="Times New Roman"/>
          <w:bCs/>
          <w:color w:val="000000"/>
          <w:sz w:val="32"/>
        </w:rPr>
        <w:t>。</w:t>
      </w:r>
      <w:r>
        <w:rPr>
          <w:rFonts w:hint="eastAsia" w:ascii="Times New Roman" w:hAnsi="Times New Roman" w:eastAsia="仿宋_GB2312" w:cs="Times New Roman"/>
          <w:bCs/>
          <w:color w:val="000000"/>
          <w:sz w:val="32"/>
          <w:lang w:eastAsia="zh-CN"/>
        </w:rPr>
        <w:t>较去年增加</w:t>
      </w:r>
      <w:r>
        <w:rPr>
          <w:rFonts w:hint="eastAsia" w:ascii="Times New Roman" w:hAnsi="Times New Roman" w:eastAsia="仿宋_GB2312" w:cs="Times New Roman"/>
          <w:bCs/>
          <w:color w:val="000000"/>
          <w:sz w:val="32"/>
          <w:lang w:val="en-US" w:eastAsia="zh-CN"/>
        </w:rPr>
        <w:t>1件，未有行政复议和行政诉讼发生。</w:t>
      </w:r>
    </w:p>
    <w:p>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3.政府信息管理。</w:t>
      </w:r>
      <w:r>
        <w:rPr>
          <w:rFonts w:hint="default" w:ascii="Times New Roman" w:hAnsi="Times New Roman" w:eastAsia="仿宋_GB2312" w:cs="Times New Roman"/>
          <w:bCs/>
          <w:kern w:val="2"/>
          <w:sz w:val="32"/>
          <w:szCs w:val="24"/>
        </w:rPr>
        <w:t>健全政府信息发布审查机制，严格对拟公开的政府信息进行内容审核和保密审查，确保公开信息依法及时、全面、准确和合理。进一步加强政务新媒体规范化管理，安排专人管理政务新媒体平台账号，确保发布信息及时、准确。</w:t>
      </w:r>
    </w:p>
    <w:p>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4.政府信息公开平台建设。</w:t>
      </w:r>
      <w:r>
        <w:rPr>
          <w:rFonts w:hint="default" w:ascii="Times New Roman" w:hAnsi="Times New Roman" w:eastAsia="仿宋_GB2312" w:cs="Times New Roman"/>
          <w:bCs/>
          <w:kern w:val="2"/>
          <w:sz w:val="32"/>
          <w:szCs w:val="24"/>
        </w:rPr>
        <w:t>进一步加强区政府信息公开平台、“淄川环保”微信公众号完善和管理，及时公布公开全区生态环境各业务系统重点信息，以及社会公众关心的环境质量状况、环境执法、环保督察、环评审批等重点领域工作的开展情况。</w:t>
      </w:r>
    </w:p>
    <w:p>
      <w:pPr>
        <w:pStyle w:val="9"/>
        <w:jc w:val="center"/>
        <w:rPr>
          <w:rFonts w:hint="default" w:ascii="Times New Roman" w:hAnsi="Times New Roman" w:cs="Times New Roman"/>
        </w:rPr>
      </w:pPr>
      <w:r>
        <w:rPr>
          <w:rFonts w:hint="default" w:ascii="Times New Roman" w:hAnsi="Times New Roman" w:cs="Times New Roman"/>
        </w:rPr>
        <w:drawing>
          <wp:inline distT="0" distB="0" distL="0" distR="0">
            <wp:extent cx="4229100" cy="6558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35526" cy="6569218"/>
                    </a:xfrm>
                    <a:prstGeom prst="rect">
                      <a:avLst/>
                    </a:prstGeom>
                    <a:noFill/>
                    <a:ln>
                      <a:noFill/>
                    </a:ln>
                  </pic:spPr>
                </pic:pic>
              </a:graphicData>
            </a:graphic>
          </wp:inline>
        </w:drawing>
      </w:r>
    </w:p>
    <w:p>
      <w:pPr>
        <w:pStyle w:val="11"/>
        <w:spacing w:line="560" w:lineRule="exact"/>
        <w:ind w:firstLine="640" w:firstLineChars="200"/>
        <w:rPr>
          <w:rFonts w:hint="default" w:ascii="Times New Roman" w:hAnsi="Times New Roman" w:eastAsia="仿宋_GB2312" w:cs="Times New Roman"/>
          <w:bCs/>
          <w:kern w:val="2"/>
          <w:sz w:val="32"/>
          <w:szCs w:val="24"/>
        </w:rPr>
      </w:pPr>
      <w:r>
        <w:rPr>
          <w:rFonts w:hint="eastAsia" w:ascii="楷体" w:hAnsi="楷体" w:eastAsia="楷体" w:cs="楷体"/>
          <w:bCs/>
          <w:kern w:val="2"/>
          <w:sz w:val="32"/>
          <w:szCs w:val="24"/>
        </w:rPr>
        <w:t>5.监督保障</w:t>
      </w:r>
      <w:r>
        <w:rPr>
          <w:rFonts w:hint="default" w:ascii="Times New Roman" w:hAnsi="Times New Roman" w:eastAsia="仿宋_GB2312" w:cs="Times New Roman"/>
          <w:bCs/>
          <w:kern w:val="2"/>
          <w:sz w:val="32"/>
          <w:szCs w:val="24"/>
        </w:rPr>
        <w:t>。在思想层面保持高度。定期开展培训会议，传达上级精神，深刻认识政府信息公开及政务新媒体建设工作的严肃性和必要性。在责任层面强化监督。每日对政府网站公开信息进行审核筛选，每季度进行全面自查，每年进行总结回顾。全方位推进政府信息公开，保障人民群众知情、参与权，让政府权力在“阳光”下运行。</w:t>
      </w:r>
    </w:p>
    <w:p>
      <w:pPr>
        <w:pStyle w:val="11"/>
        <w:spacing w:line="560" w:lineRule="exact"/>
        <w:ind w:firstLine="640" w:firstLineChars="200"/>
        <w:jc w:val="both"/>
        <w:rPr>
          <w:rFonts w:hint="default" w:ascii="Times New Roman" w:hAnsi="Times New Roman" w:cs="Times New Roman"/>
          <w:sz w:val="32"/>
        </w:rPr>
      </w:pPr>
      <w:r>
        <w:rPr>
          <w:rFonts w:hint="default" w:ascii="Times New Roman" w:hAnsi="Times New Roman" w:cs="Times New Roman"/>
          <w:sz w:val="32"/>
        </w:rPr>
        <w:t>二、主动公开政府信息情况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bl>
    <w:p>
      <w:pPr>
        <w:pStyle w:val="10"/>
        <w:spacing w:after="0"/>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pStyle w:val="9"/>
        <w:ind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shd w:val="clear" w:color="auto" w:fill="FFFFFF"/>
          <w14:textFill>
            <w14:solidFill>
              <w14:schemeClr w14:val="tx1"/>
            </w14:solidFill>
          </w14:textFill>
        </w:rPr>
        <w:t>四、政府信息公开工作被申请行政复议、提起行政诉讼情况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rPr>
          <w:rFonts w:hint="default" w:ascii="Times New Roman" w:hAnsi="Times New Roman" w:cs="Times New Roman"/>
        </w:rPr>
      </w:pP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五、政府信息公开工作中存在的主要问题及改进情况</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3"/>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（一）存在的问题</w:t>
      </w:r>
      <w:r>
        <w:rPr>
          <w:rFonts w:hint="eastAsia"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一是部分政务信息的更新、录入还不够及时，政务信息公开存在一定程度的滞后性，需进一步明确责任分工。二是信息公开工作的方式方法创新性不足，需向在信息公开工作取得显著成果的部门单位学习取经。</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3"/>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（二）改进措施</w:t>
      </w:r>
      <w:r>
        <w:rPr>
          <w:rFonts w:hint="eastAsia"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一是加强公开意识。对局出台的涉及群众利益的各项政策标准要积极公开，加强工作积极性，有效保障群众的知情权、监督权。二是完善工作机制，加强与各业务科室的联系沟通，使信息公开工作精细化程度得以进一步提高。</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微软雅黑" w:cs="Times New Roman"/>
          <w:color w:val="000000"/>
        </w:rPr>
      </w:pPr>
      <w:r>
        <w:rPr>
          <w:rFonts w:hint="default" w:ascii="Times New Roman" w:hAnsi="Times New Roman" w:eastAsia="黑体" w:cs="Times New Roman"/>
          <w:color w:val="000000"/>
          <w:sz w:val="32"/>
          <w:szCs w:val="32"/>
        </w:rPr>
        <w:t>六、其他需要报告的事项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 w:cs="Times New Roman"/>
          <w:color w:val="000000"/>
          <w:kern w:val="0"/>
          <w:sz w:val="32"/>
          <w:szCs w:val="32"/>
          <w:shd w:val="clear" w:color="auto" w:fill="FFFFFF"/>
        </w:rPr>
        <w:t>1、收取信息处理费情况。</w:t>
      </w:r>
      <w:r>
        <w:rPr>
          <w:rFonts w:hint="default" w:ascii="Times New Roman" w:hAnsi="Times New Roman" w:eastAsia="仿宋_GB2312" w:cs="Times New Roman"/>
          <w:color w:val="000000"/>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2022年本单位依申请公开政府信息未收取任何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楷体" w:cs="Times New Roman"/>
          <w:color w:val="000000"/>
          <w:kern w:val="0"/>
          <w:sz w:val="32"/>
          <w:szCs w:val="32"/>
          <w:shd w:val="clear" w:color="auto" w:fill="FFFFFF"/>
        </w:rPr>
        <w:t>2、落实上级年度政务公开工作要点情况</w:t>
      </w:r>
      <w:r>
        <w:rPr>
          <w:rFonts w:hint="default" w:ascii="Times New Roman" w:hAnsi="Times New Roman" w:eastAsia="仿宋_GB2312" w:cs="Times New Roman"/>
          <w:color w:val="000000"/>
          <w:kern w:val="0"/>
          <w:sz w:val="32"/>
          <w:szCs w:val="32"/>
          <w:shd w:val="clear" w:color="auto" w:fill="FFFFFF"/>
        </w:rPr>
        <w:t>。2022年，我局按照《2022年淄川区政务公开工作方案》部署，制定了任务清单，明确了政务公开工作目标，强化了政务公开监督保障，形成了分工明确的工作体系，加强了政务公开培训工作。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楷体" w:cs="Times New Roman"/>
          <w:color w:val="000000"/>
          <w:kern w:val="0"/>
          <w:sz w:val="32"/>
          <w:szCs w:val="32"/>
          <w:shd w:val="clear" w:color="auto" w:fill="FFFFFF"/>
        </w:rPr>
        <w:t>3、人大代表和政协提案办理结果公开情况</w:t>
      </w:r>
      <w:r>
        <w:rPr>
          <w:rFonts w:hint="default" w:ascii="Times New Roman" w:hAnsi="Times New Roman" w:eastAsia="仿宋_GB2312" w:cs="Times New Roman"/>
          <w:color w:val="000000"/>
          <w:kern w:val="0"/>
          <w:sz w:val="32"/>
          <w:szCs w:val="32"/>
          <w:shd w:val="clear" w:color="auto" w:fill="FFFFFF"/>
        </w:rPr>
        <w:t>。2022年，淄博市生态环境局淄川分局未收到政协提案、人大建议。</w:t>
      </w:r>
      <w:r>
        <w:rPr>
          <w:rFonts w:hint="default" w:ascii="Times New Roman" w:hAnsi="Times New Roman" w:eastAsia="仿宋_GB2312" w:cs="Times New Roman"/>
          <w:color w:val="000000"/>
          <w:kern w:val="0"/>
          <w:sz w:val="32"/>
          <w:szCs w:val="32"/>
          <w:shd w:val="clear" w:color="auto" w:fill="FFFFFF"/>
          <w:lang w:eastAsia="zh-CN"/>
        </w:rPr>
        <w:t>未有上级建议提案办理任务。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楷体" w:hAnsi="楷体" w:eastAsia="楷体" w:cs="楷体"/>
          <w:sz w:val="32"/>
          <w:szCs w:val="32"/>
        </w:rPr>
        <w:t>政务公开工作创新情况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本年度政务公开工作创新中，我局依托市民代表看生态环境变化活动，邀请市民代表代表参观了工业企业治污一线，让公众零距离了解生态环境治理工作；通过六五环境日、全国低碳日、国际生物多样性日等主题宣传活动，深入开展生态环境保护政策及主题宣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楷体" w:hAnsi="楷体" w:eastAsia="楷体" w:cs="楷体"/>
          <w:sz w:val="32"/>
          <w:szCs w:val="32"/>
        </w:rPr>
        <w:t>年报数据统计需要说明的事项</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无</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淄博市生态环境局淄川分局</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2023年1月17日</w:t>
      </w:r>
    </w:p>
    <w:sectPr>
      <w:headerReference r:id="rId3" w:type="default"/>
      <w:footerReference r:id="rId4" w:type="default"/>
      <w:pgSz w:w="11906" w:h="16838"/>
      <w:pgMar w:top="2098" w:right="1474" w:bottom="1984"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9090" cy="2336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339090" cy="233680"/>
                      </a:xfrm>
                      <a:prstGeom prst="rect">
                        <a:avLst/>
                      </a:prstGeom>
                      <a:noFill/>
                      <a:ln w="6350">
                        <a:noFill/>
                      </a:ln>
                    </wps:spPr>
                    <wps:txbx>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- 2 -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4pt;width:26.7pt;mso-position-horizontal:center;mso-position-horizontal-relative:margin;mso-wrap-style:none;z-index:251659264;mso-width-relative:page;mso-height-relative:page;" filled="f" stroked="f" coordsize="21600,21600" o:gfxdata="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qnVetIAAAADAQAADwAAAAAAAAABACAAAAAi&#10;AAAAZHJzL2Rvd25yZXYueG1sUEsBAhQAFAAAAAgAh07iQBRSgVAQAgAABQQAAA4AAAAAAAAAAQAg&#10;AAAAIQEAAGRycy9lMm9Eb2MueG1sUEsFBgAAAAAGAAYAWQEAAKMFAAAAAA==&#10;">
              <v:fill on="f" focussize="0,0"/>
              <v:stroke on="f" weight="0.5pt"/>
              <v:imagedata o:title=""/>
              <o:lock v:ext="edit" aspectratio="f"/>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- 2 -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F2E1"/>
    <w:multiLevelType w:val="singleLevel"/>
    <w:tmpl w:val="408AF2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C0"/>
    <w:rsid w:val="00136D25"/>
    <w:rsid w:val="00144424"/>
    <w:rsid w:val="001E3743"/>
    <w:rsid w:val="004F0EC0"/>
    <w:rsid w:val="008E1CCD"/>
    <w:rsid w:val="009F2CB0"/>
    <w:rsid w:val="00A24EAF"/>
    <w:rsid w:val="00AD2ADE"/>
    <w:rsid w:val="00DE20A9"/>
    <w:rsid w:val="3EF06C75"/>
    <w:rsid w:val="58FD75B5"/>
    <w:rsid w:val="77BA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脚 字符"/>
    <w:basedOn w:val="6"/>
    <w:link w:val="2"/>
    <w:qFormat/>
    <w:uiPriority w:val="99"/>
    <w:rPr>
      <w:rFonts w:ascii="仿宋" w:hAnsi="仿宋" w:eastAsia="等线" w:cs="仿宋"/>
      <w:sz w:val="18"/>
      <w:szCs w:val="18"/>
    </w:rPr>
  </w:style>
  <w:style w:type="character" w:customStyle="1" w:styleId="8">
    <w:name w:val="页眉 字符"/>
    <w:basedOn w:val="6"/>
    <w:link w:val="3"/>
    <w:qFormat/>
    <w:uiPriority w:val="99"/>
    <w:rPr>
      <w:rFonts w:ascii="仿宋" w:hAnsi="仿宋" w:eastAsia="等线" w:cs="仿宋"/>
      <w:sz w:val="18"/>
      <w:szCs w:val="18"/>
    </w:r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kern w:val="0"/>
      <w:sz w:val="24"/>
      <w:szCs w:val="20"/>
      <w:lang w:val="en-US" w:eastAsia="zh-CN" w:bidi="ar-SA"/>
    </w:rPr>
  </w:style>
  <w:style w:type="paragraph" w:customStyle="1" w:styleId="10">
    <w:name w:val="CM12"/>
    <w:basedOn w:val="9"/>
    <w:next w:val="9"/>
    <w:unhideWhenUsed/>
    <w:qFormat/>
    <w:uiPriority w:val="99"/>
    <w:pPr>
      <w:spacing w:after="1015"/>
    </w:pPr>
  </w:style>
  <w:style w:type="paragraph" w:customStyle="1" w:styleId="11">
    <w:name w:val="CM4"/>
    <w:basedOn w:val="9"/>
    <w:next w:val="9"/>
    <w:unhideWhenUsed/>
    <w:qFormat/>
    <w:uiPriority w:val="99"/>
    <w:pPr>
      <w:spacing w:line="626" w:lineRule="atLeas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424</Words>
  <Characters>2418</Characters>
  <Lines>20</Lines>
  <Paragraphs>5</Paragraphs>
  <TotalTime>1</TotalTime>
  <ScaleCrop>false</ScaleCrop>
  <LinksUpToDate>false</LinksUpToDate>
  <CharactersWithSpaces>2837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2023-01-13T02:59:00Z</dcterms:created>
  <dc:creator>1105</dc:creator>
  <cp:lastModifiedBy>银杏果</cp:lastModifiedBy>
  <dcterms:modified xsi:type="dcterms:W3CDTF">2023-02-10T08:54:37Z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