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60" w:lineRule="exact"/>
        <w:jc w:val="center"/>
        <w:rPr>
          <w:rFonts w:hint="default" w:ascii="Times New Roman" w:hAnsi="Times New Roman" w:eastAsia="方正小标宋简体"/>
          <w:b w:val="0"/>
          <w:bCs w:val="0"/>
          <w:color w:val="000000" w:themeColor="text1"/>
          <w:sz w:val="44"/>
          <w:szCs w:val="44"/>
          <w:shd w:val="clear" w:color="auto" w:fill="FFFFFF"/>
          <w14:textFill>
            <w14:solidFill>
              <w14:schemeClr w14:val="tx1"/>
            </w14:solidFill>
          </w14:textFill>
        </w:rPr>
      </w:pPr>
      <w:r>
        <w:rPr>
          <w:rFonts w:ascii="Times New Roman" w:hAnsi="Times New Roman" w:eastAsia="方正小标宋简体"/>
          <w:b w:val="0"/>
          <w:bCs w:val="0"/>
          <w:color w:val="000000" w:themeColor="text1"/>
          <w:sz w:val="44"/>
          <w:szCs w:val="44"/>
          <w:shd w:val="clear" w:color="auto" w:fill="FFFFFF"/>
          <w14:textFill>
            <w14:solidFill>
              <w14:schemeClr w14:val="tx1"/>
            </w14:solidFill>
          </w14:textFill>
        </w:rPr>
        <w:t>淄博市</w:t>
      </w:r>
      <w:r>
        <w:rPr>
          <w:rFonts w:hint="default" w:ascii="Times New Roman" w:hAnsi="Times New Roman" w:eastAsia="方正小标宋简体"/>
          <w:b w:val="0"/>
          <w:bCs w:val="0"/>
          <w:color w:val="000000" w:themeColor="text1"/>
          <w:sz w:val="44"/>
          <w:szCs w:val="44"/>
          <w:shd w:val="clear" w:color="auto" w:fill="FFFFFF"/>
          <w14:textFill>
            <w14:solidFill>
              <w14:schemeClr w14:val="tx1"/>
            </w14:solidFill>
          </w14:textFill>
        </w:rPr>
        <w:t>淄川区自然资源局</w:t>
      </w:r>
    </w:p>
    <w:p>
      <w:pPr>
        <w:pStyle w:val="3"/>
        <w:widowControl/>
        <w:shd w:val="clear" w:color="auto" w:fill="FFFFFF"/>
        <w:spacing w:beforeAutospacing="0" w:afterAutospacing="0" w:line="560" w:lineRule="exact"/>
        <w:jc w:val="center"/>
        <w:rPr>
          <w:rFonts w:hint="default" w:ascii="Times New Roman" w:hAnsi="Times New Roman" w:eastAsia="方正小标宋简体"/>
          <w:b w:val="0"/>
          <w:bCs w:val="0"/>
          <w:color w:val="000000" w:themeColor="text1"/>
          <w:sz w:val="44"/>
          <w:szCs w:val="44"/>
          <w:shd w:val="clear" w:color="auto" w:fill="FFFFFF"/>
          <w14:textFill>
            <w14:solidFill>
              <w14:schemeClr w14:val="tx1"/>
            </w14:solidFill>
          </w14:textFill>
        </w:rPr>
      </w:pPr>
      <w:r>
        <w:rPr>
          <w:rFonts w:hint="default" w:ascii="Times New Roman" w:hAnsi="Times New Roman" w:eastAsia="方正小标宋简体"/>
          <w:b w:val="0"/>
          <w:bCs w:val="0"/>
          <w:color w:val="000000" w:themeColor="text1"/>
          <w:sz w:val="44"/>
          <w:szCs w:val="44"/>
          <w:shd w:val="clear" w:color="auto" w:fill="FFFFFF"/>
          <w14:textFill>
            <w14:solidFill>
              <w14:schemeClr w14:val="tx1"/>
            </w14:solidFill>
          </w14:textFill>
        </w:rPr>
        <w:t>2022年政府信息公开工作年度报告</w:t>
      </w:r>
    </w:p>
    <w:p>
      <w:pPr>
        <w:rPr>
          <w:rFonts w:ascii="Times New Roman" w:hAnsi="Times New Roman" w:cs="Times New Roman"/>
        </w:rPr>
      </w:pPr>
    </w:p>
    <w:p>
      <w:pPr>
        <w:pStyle w:val="8"/>
        <w:widowControl/>
        <w:spacing w:beforeAutospacing="0" w:afterAutospacing="0" w:line="560" w:lineRule="exact"/>
        <w:ind w:firstLine="640" w:firstLineChars="200"/>
        <w:jc w:val="both"/>
        <w:rPr>
          <w:rFonts w:ascii="Times New Roman" w:hAnsi="Times New Roman" w:eastAsia="仿宋"/>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sz w:val="32"/>
          <w:szCs w:val="32"/>
        </w:rPr>
        <w:t>本年度报告根据《中华人民共和国政府信息公开条例》（以下简称《条例》）和《国务院办公厅政府信息与政务公开办公室关于印发&lt;中华人民共和国政府信息公开工作年度报告格式&gt;的通知》（国办公开办函〔2021〕30号）相关要求编制</w:t>
      </w:r>
      <w:r>
        <w:rPr>
          <w:rFonts w:hint="default" w:ascii="Times New Roman" w:hAnsi="Times New Roman" w:eastAsia="仿宋_GB2312" w:cs="Times New Roman"/>
          <w:sz w:val="32"/>
          <w:szCs w:val="32"/>
        </w:rPr>
        <w:t>。</w:t>
      </w:r>
      <w:r>
        <w:rPr>
          <w:rFonts w:ascii="Times New Roman" w:hAnsi="Times New Roman" w:eastAsia="仿宋_GB2312"/>
          <w:color w:val="000000"/>
          <w:sz w:val="32"/>
          <w:szCs w:val="32"/>
          <w:shd w:val="clear" w:color="auto" w:fill="FFFFFF"/>
        </w:rPr>
        <w:t>本报告由总体情况、主动公开政府信息情况、收到和处理政府信息公开申请情况、因政府信息公开工作被申请行政复议和提起行政诉讼情况、存在的主要问题及改进情况、其他需要报告的事项组成。本报告所列数据统计期限为</w:t>
      </w:r>
      <w:r>
        <w:rPr>
          <w:rFonts w:ascii="Times New Roman" w:hAnsi="Times New Roman"/>
          <w:color w:val="000000"/>
          <w:sz w:val="32"/>
          <w:szCs w:val="32"/>
          <w:shd w:val="clear" w:color="auto" w:fill="FFFFFF"/>
        </w:rPr>
        <w:t>2022</w:t>
      </w:r>
      <w:r>
        <w:rPr>
          <w:rFonts w:ascii="Times New Roman" w:hAnsi="Times New Roman" w:eastAsia="仿宋_GB2312"/>
          <w:color w:val="000000"/>
          <w:sz w:val="32"/>
          <w:szCs w:val="32"/>
          <w:shd w:val="clear" w:color="auto" w:fill="FFFFFF"/>
        </w:rPr>
        <w:t>年</w:t>
      </w:r>
      <w:r>
        <w:rPr>
          <w:rFonts w:ascii="Times New Roman" w:hAnsi="Times New Roman"/>
          <w:color w:val="000000"/>
          <w:sz w:val="32"/>
          <w:szCs w:val="32"/>
          <w:shd w:val="clear" w:color="auto" w:fill="FFFFFF"/>
        </w:rPr>
        <w:t>1</w:t>
      </w:r>
      <w:r>
        <w:rPr>
          <w:rFonts w:ascii="Times New Roman" w:hAnsi="Times New Roman" w:eastAsia="仿宋_GB2312"/>
          <w:color w:val="000000"/>
          <w:sz w:val="32"/>
          <w:szCs w:val="32"/>
          <w:shd w:val="clear" w:color="auto" w:fill="FFFFFF"/>
        </w:rPr>
        <w:t>月</w:t>
      </w:r>
      <w:r>
        <w:rPr>
          <w:rFonts w:ascii="Times New Roman" w:hAnsi="Times New Roman"/>
          <w:color w:val="000000"/>
          <w:sz w:val="32"/>
          <w:szCs w:val="32"/>
          <w:shd w:val="clear" w:color="auto" w:fill="FFFFFF"/>
        </w:rPr>
        <w:t>1</w:t>
      </w:r>
      <w:r>
        <w:rPr>
          <w:rFonts w:ascii="Times New Roman" w:hAnsi="Times New Roman" w:eastAsia="仿宋_GB2312"/>
          <w:color w:val="000000"/>
          <w:sz w:val="32"/>
          <w:szCs w:val="32"/>
          <w:shd w:val="clear" w:color="auto" w:fill="FFFFFF"/>
        </w:rPr>
        <w:t>日至</w:t>
      </w:r>
      <w:r>
        <w:rPr>
          <w:rFonts w:ascii="Times New Roman" w:hAnsi="Times New Roman"/>
          <w:color w:val="000000"/>
          <w:sz w:val="32"/>
          <w:szCs w:val="32"/>
          <w:shd w:val="clear" w:color="auto" w:fill="FFFFFF"/>
        </w:rPr>
        <w:t>2022</w:t>
      </w:r>
      <w:r>
        <w:rPr>
          <w:rFonts w:ascii="Times New Roman" w:hAnsi="Times New Roman" w:eastAsia="仿宋_GB2312"/>
          <w:color w:val="000000"/>
          <w:sz w:val="32"/>
          <w:szCs w:val="32"/>
          <w:shd w:val="clear" w:color="auto" w:fill="FFFFFF"/>
        </w:rPr>
        <w:t>年</w:t>
      </w:r>
      <w:r>
        <w:rPr>
          <w:rFonts w:ascii="Times New Roman" w:hAnsi="Times New Roman"/>
          <w:color w:val="000000"/>
          <w:sz w:val="32"/>
          <w:szCs w:val="32"/>
          <w:shd w:val="clear" w:color="auto" w:fill="FFFFFF"/>
        </w:rPr>
        <w:t>12</w:t>
      </w:r>
      <w:r>
        <w:rPr>
          <w:rFonts w:ascii="Times New Roman" w:hAnsi="Times New Roman" w:eastAsia="仿宋_GB2312"/>
          <w:color w:val="000000"/>
          <w:sz w:val="32"/>
          <w:szCs w:val="32"/>
          <w:shd w:val="clear" w:color="auto" w:fill="FFFFFF"/>
        </w:rPr>
        <w:t>月</w:t>
      </w:r>
      <w:r>
        <w:rPr>
          <w:rFonts w:ascii="Times New Roman" w:hAnsi="Times New Roman"/>
          <w:color w:val="000000"/>
          <w:sz w:val="32"/>
          <w:szCs w:val="32"/>
          <w:shd w:val="clear" w:color="auto" w:fill="FFFFFF"/>
        </w:rPr>
        <w:t>31</w:t>
      </w:r>
      <w:r>
        <w:rPr>
          <w:rFonts w:ascii="Times New Roman" w:hAnsi="Times New Roman" w:eastAsia="仿宋_GB2312"/>
          <w:color w:val="000000"/>
          <w:sz w:val="32"/>
          <w:szCs w:val="32"/>
          <w:shd w:val="clear" w:color="auto" w:fill="FFFFFF"/>
        </w:rPr>
        <w:t>日。</w:t>
      </w:r>
      <w:r>
        <w:rPr>
          <w:rFonts w:hint="eastAsia" w:ascii="Times New Roman" w:hAnsi="Times New Roman" w:eastAsia="仿宋_GB2312"/>
          <w:color w:val="000000"/>
          <w:sz w:val="32"/>
          <w:szCs w:val="32"/>
          <w:shd w:val="clear" w:color="auto" w:fill="FFFFFF"/>
        </w:rPr>
        <w:t>如对报告内容有疑问，请与淄川区自然资源局联系（地址：山东省淄博市淄川区淄城东路49号；邮编：</w:t>
      </w:r>
      <w:r>
        <w:rPr>
          <w:rFonts w:ascii="Times New Roman" w:hAnsi="Times New Roman" w:eastAsia="仿宋_GB2312"/>
          <w:color w:val="000000"/>
          <w:sz w:val="32"/>
          <w:szCs w:val="32"/>
          <w:shd w:val="clear" w:color="auto" w:fill="FFFFFF"/>
        </w:rPr>
        <w:t>255100</w:t>
      </w:r>
      <w:r>
        <w:rPr>
          <w:rFonts w:hint="eastAsia" w:ascii="Times New Roman" w:hAnsi="Times New Roman" w:eastAsia="仿宋_GB2312"/>
          <w:color w:val="000000"/>
          <w:sz w:val="32"/>
          <w:szCs w:val="32"/>
          <w:shd w:val="clear" w:color="auto" w:fill="FFFFFF"/>
        </w:rPr>
        <w:t>；电话：</w:t>
      </w:r>
      <w:r>
        <w:rPr>
          <w:rFonts w:ascii="Times New Roman" w:hAnsi="Times New Roman" w:eastAsia="仿宋_GB2312"/>
          <w:color w:val="000000"/>
          <w:sz w:val="32"/>
          <w:szCs w:val="32"/>
          <w:shd w:val="clear" w:color="auto" w:fill="FFFFFF"/>
        </w:rPr>
        <w:t>0533-5181463</w:t>
      </w:r>
      <w:r>
        <w:rPr>
          <w:rFonts w:hint="eastAsia" w:ascii="Times New Roman" w:hAnsi="Times New Roman" w:eastAsia="仿宋_GB2312"/>
          <w:color w:val="000000"/>
          <w:sz w:val="32"/>
          <w:szCs w:val="32"/>
          <w:shd w:val="clear" w:color="auto" w:fill="FFFFFF"/>
        </w:rPr>
        <w:t>；邮箱：</w:t>
      </w:r>
      <w:r>
        <w:rPr>
          <w:rFonts w:ascii="Times New Roman" w:hAnsi="Times New Roman" w:eastAsia="仿宋_GB2312"/>
          <w:color w:val="000000"/>
          <w:sz w:val="32"/>
          <w:szCs w:val="32"/>
          <w:shd w:val="clear" w:color="auto" w:fill="FFFFFF"/>
        </w:rPr>
        <w:t>zcgtj@zb.shandong.cn</w:t>
      </w:r>
      <w:r>
        <w:rPr>
          <w:rFonts w:hint="eastAsia" w:ascii="Times New Roman" w:hAnsi="Times New Roman" w:eastAsia="仿宋_GB2312"/>
          <w:color w:val="000000"/>
          <w:sz w:val="32"/>
          <w:szCs w:val="32"/>
          <w:shd w:val="clear" w:color="auto" w:fill="FFFFFF"/>
        </w:rPr>
        <w:t>）。</w:t>
      </w:r>
    </w:p>
    <w:p>
      <w:pPr>
        <w:pStyle w:val="8"/>
        <w:widowControl/>
        <w:spacing w:beforeAutospacing="0" w:afterAutospacing="0" w:line="560" w:lineRule="exact"/>
        <w:ind w:firstLine="640" w:firstLineChars="200"/>
        <w:jc w:val="both"/>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一、总体情况</w:t>
      </w:r>
    </w:p>
    <w:p>
      <w:pPr>
        <w:pStyle w:val="8"/>
        <w:widowControl/>
        <w:spacing w:beforeAutospacing="0" w:afterAutospacing="0" w:line="56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shd w:val="clear" w:color="auto" w:fill="FFFFFF"/>
          <w14:textFill>
            <w14:solidFill>
              <w14:schemeClr w14:val="tx1"/>
            </w14:solidFill>
          </w14:textFill>
        </w:rPr>
        <w:t>2022年，我局在区政府信息公开领导小组的指导下，进一步加强政府信息公开业务平台建设，不断强化政府网站意识形态安全保障。安排专人对本单位的网站栏目进行维护管理，收集、整理、公布本单位的各类政府信息，及时准确公开政务信息，提供便捷政务服务，及时处理和反馈公众的意见建议，进一步规范信息管理和平台建设。</w:t>
      </w:r>
    </w:p>
    <w:p>
      <w:pPr>
        <w:pStyle w:val="8"/>
        <w:widowControl/>
        <w:numPr>
          <w:ilvl w:val="0"/>
          <w:numId w:val="1"/>
        </w:numPr>
        <w:spacing w:beforeAutospacing="0" w:afterAutospacing="0" w:line="560" w:lineRule="exact"/>
        <w:ind w:firstLine="640" w:firstLineChars="200"/>
        <w:jc w:val="both"/>
        <w:rPr>
          <w:rFonts w:ascii="Times New Roman" w:hAnsi="Times New Roman" w:eastAsia="仿宋"/>
          <w:color w:val="000000" w:themeColor="text1"/>
          <w:sz w:val="32"/>
          <w:szCs w:val="32"/>
          <w:shd w:val="clear" w:color="auto" w:fill="FFFFFF"/>
          <w14:textFill>
            <w14:solidFill>
              <w14:schemeClr w14:val="tx1"/>
            </w14:solidFill>
          </w14:textFill>
        </w:rPr>
      </w:pPr>
      <w:r>
        <w:rPr>
          <w:rFonts w:ascii="Times New Roman" w:hAnsi="Times New Roman" w:eastAsia="楷体"/>
          <w:color w:val="000000" w:themeColor="text1"/>
          <w:sz w:val="32"/>
          <w:szCs w:val="32"/>
          <w:shd w:val="clear" w:color="auto" w:fill="FFFFFF"/>
          <w14:textFill>
            <w14:solidFill>
              <w14:schemeClr w14:val="tx1"/>
            </w14:solidFill>
          </w14:textFill>
        </w:rPr>
        <w:t>主动公开政府信息的情况</w:t>
      </w:r>
      <w:r>
        <w:rPr>
          <w:rFonts w:hint="eastAsia" w:ascii="Times New Roman" w:hAnsi="Times New Roman" w:eastAsia="楷体"/>
          <w:color w:val="000000" w:themeColor="text1"/>
          <w:sz w:val="32"/>
          <w:szCs w:val="32"/>
          <w:shd w:val="clear" w:color="auto" w:fill="FFFFFF"/>
          <w14:textFill>
            <w14:solidFill>
              <w14:schemeClr w14:val="tx1"/>
            </w14:solidFill>
          </w14:textFill>
        </w:rPr>
        <w:t>。</w:t>
      </w:r>
      <w:r>
        <w:rPr>
          <w:rFonts w:ascii="Times New Roman" w:hAnsi="Times New Roman" w:eastAsia="仿宋"/>
          <w:color w:val="000000" w:themeColor="text1"/>
          <w:sz w:val="32"/>
          <w:szCs w:val="32"/>
          <w:shd w:val="clear" w:color="auto" w:fill="FFFFFF"/>
          <w14:textFill>
            <w14:solidFill>
              <w14:schemeClr w14:val="tx1"/>
            </w14:solidFill>
          </w14:textFill>
        </w:rPr>
        <w:t>全年通过区政府门户网站主动公开发布信息226条，其中机构职能3条、政策文件41条、重要部署执行8条、建议提案办理2条、财政信息9条、行政执法公示10条、双随机一公开8条、重大建设项目108条、自认资源领域34条、政府信息主动公开1条、基层政务公开标准指引2条。</w:t>
      </w:r>
    </w:p>
    <w:p>
      <w:pPr>
        <w:pStyle w:val="8"/>
        <w:widowControl/>
        <w:spacing w:beforeAutospacing="0" w:afterAutospacing="0"/>
        <w:jc w:val="both"/>
        <w:rPr>
          <w:rFonts w:ascii="Times New Roman" w:hAnsi="Times New Roman" w:eastAsia="仿宋"/>
          <w:color w:val="000000" w:themeColor="text1"/>
          <w:sz w:val="32"/>
          <w:szCs w:val="32"/>
          <w:shd w:val="clear" w:color="auto" w:fill="FFFFFF"/>
          <w14:textFill>
            <w14:solidFill>
              <w14:schemeClr w14:val="tx1"/>
            </w14:solidFill>
          </w14:textFill>
        </w:rPr>
      </w:pPr>
      <w:r>
        <w:drawing>
          <wp:inline distT="0" distB="0" distL="114300" distR="114300">
            <wp:extent cx="5613400" cy="5499735"/>
            <wp:effectExtent l="0" t="0" r="635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13400" cy="5499735"/>
                    </a:xfrm>
                    <a:prstGeom prst="rect">
                      <a:avLst/>
                    </a:prstGeom>
                    <a:noFill/>
                    <a:ln>
                      <a:noFill/>
                    </a:ln>
                  </pic:spPr>
                </pic:pic>
              </a:graphicData>
            </a:graphic>
          </wp:inline>
        </w:drawing>
      </w:r>
    </w:p>
    <w:p>
      <w:pPr>
        <w:pStyle w:val="8"/>
        <w:widowControl/>
        <w:numPr>
          <w:ilvl w:val="0"/>
          <w:numId w:val="1"/>
        </w:numPr>
        <w:spacing w:beforeAutospacing="0" w:afterAutospacing="0" w:line="560" w:lineRule="exact"/>
        <w:ind w:firstLine="640" w:firstLineChars="200"/>
        <w:jc w:val="both"/>
        <w:rPr>
          <w:rFonts w:ascii="Times New Roman" w:hAnsi="Times New Roman" w:eastAsia="仿宋"/>
          <w:color w:val="000000" w:themeColor="text1"/>
          <w:sz w:val="32"/>
          <w:szCs w:val="32"/>
          <w:shd w:val="clear" w:color="auto" w:fill="FFFFFF"/>
          <w14:textFill>
            <w14:solidFill>
              <w14:schemeClr w14:val="tx1"/>
            </w14:solidFill>
          </w14:textFill>
        </w:rPr>
      </w:pPr>
      <w:r>
        <w:rPr>
          <w:rFonts w:ascii="Times New Roman" w:hAnsi="Times New Roman" w:eastAsia="楷体"/>
          <w:color w:val="000000" w:themeColor="text1"/>
          <w:sz w:val="32"/>
          <w:szCs w:val="32"/>
          <w:shd w:val="clear" w:color="auto" w:fill="FFFFFF"/>
          <w14:textFill>
            <w14:solidFill>
              <w14:schemeClr w14:val="tx1"/>
            </w14:solidFill>
          </w14:textFill>
        </w:rPr>
        <w:t>收到和处理政府信息公开申请情况</w:t>
      </w:r>
      <w:r>
        <w:rPr>
          <w:rFonts w:hint="eastAsia" w:ascii="Times New Roman" w:hAnsi="Times New Roman" w:eastAsia="楷体"/>
          <w:color w:val="000000" w:themeColor="text1"/>
          <w:sz w:val="32"/>
          <w:szCs w:val="32"/>
          <w:shd w:val="clear" w:color="auto" w:fill="FFFFFF"/>
          <w14:textFill>
            <w14:solidFill>
              <w14:schemeClr w14:val="tx1"/>
            </w14:solidFill>
          </w14:textFill>
        </w:rPr>
        <w:t>。</w:t>
      </w:r>
      <w:r>
        <w:rPr>
          <w:rFonts w:ascii="Times New Roman" w:hAnsi="Times New Roman" w:eastAsia="仿宋"/>
          <w:color w:val="000000" w:themeColor="text1"/>
          <w:sz w:val="32"/>
          <w:szCs w:val="32"/>
          <w:shd w:val="clear" w:color="auto" w:fill="FFFFFF"/>
          <w14:textFill>
            <w14:solidFill>
              <w14:schemeClr w14:val="tx1"/>
            </w14:solidFill>
          </w14:textFill>
        </w:rPr>
        <w:t>2022年，我局共受理政府信息公开申请46件，</w:t>
      </w:r>
      <w:r>
        <w:rPr>
          <w:rFonts w:hint="eastAsia" w:ascii="Times New Roman" w:hAnsi="Times New Roman" w:eastAsia="仿宋"/>
          <w:color w:val="000000" w:themeColor="text1"/>
          <w:sz w:val="32"/>
          <w:szCs w:val="32"/>
          <w:shd w:val="clear" w:color="auto" w:fill="FFFFFF"/>
          <w14:textFill>
            <w14:solidFill>
              <w14:schemeClr w14:val="tx1"/>
            </w14:solidFill>
          </w14:textFill>
        </w:rPr>
        <w:t>均在法定时限内予以答复。</w:t>
      </w:r>
      <w:r>
        <w:rPr>
          <w:rFonts w:ascii="仿宋" w:hAnsi="仿宋" w:eastAsia="仿宋" w:cs="仿宋"/>
          <w:color w:val="000000"/>
          <w:sz w:val="32"/>
          <w:szCs w:val="32"/>
          <w:shd w:val="clear" w:fill="FFFFFF"/>
        </w:rPr>
        <w:t>有</w:t>
      </w:r>
      <w:r>
        <w:rPr>
          <w:rFonts w:hint="default" w:ascii="Times New Roman" w:hAnsi="Times New Roman" w:eastAsia="宋体" w:cs="Times New Roman"/>
          <w:color w:val="000000"/>
          <w:sz w:val="32"/>
          <w:szCs w:val="32"/>
          <w:shd w:val="clear" w:fill="FFFFFF"/>
          <w:lang w:val="en-US"/>
        </w:rPr>
        <w:t>3</w:t>
      </w:r>
      <w:r>
        <w:rPr>
          <w:rFonts w:hint="eastAsia" w:ascii="仿宋" w:hAnsi="仿宋" w:eastAsia="仿宋" w:cs="仿宋"/>
          <w:color w:val="000000"/>
          <w:sz w:val="32"/>
          <w:szCs w:val="32"/>
          <w:shd w:val="clear" w:fill="FFFFFF"/>
        </w:rPr>
        <w:t>件因政府信息公开工作被申请行政复议，</w:t>
      </w:r>
      <w:r>
        <w:rPr>
          <w:rFonts w:hint="default" w:ascii="Times New Roman" w:hAnsi="Times New Roman" w:eastAsia="仿宋" w:cs="Times New Roman"/>
          <w:color w:val="000000"/>
          <w:sz w:val="32"/>
          <w:szCs w:val="32"/>
          <w:shd w:val="clear" w:fill="FFFFFF"/>
          <w:lang w:val="en-US"/>
        </w:rPr>
        <w:t>2</w:t>
      </w:r>
      <w:r>
        <w:rPr>
          <w:rFonts w:hint="eastAsia" w:ascii="仿宋" w:hAnsi="仿宋" w:eastAsia="仿宋" w:cs="仿宋"/>
          <w:color w:val="000000"/>
          <w:sz w:val="32"/>
          <w:szCs w:val="32"/>
          <w:shd w:val="clear" w:fill="FFFFFF"/>
        </w:rPr>
        <w:t>件被提起行政诉讼法院尚未审结。</w:t>
      </w:r>
      <w:bookmarkStart w:id="0" w:name="_GoBack"/>
      <w:bookmarkEnd w:id="0"/>
    </w:p>
    <w:p>
      <w:pPr>
        <w:pStyle w:val="8"/>
        <w:widowControl/>
        <w:spacing w:beforeAutospacing="0" w:afterAutospacing="0" w:line="560" w:lineRule="exact"/>
        <w:ind w:firstLine="640"/>
        <w:jc w:val="both"/>
        <w:rPr>
          <w:rFonts w:ascii="Times New Roman" w:hAnsi="Times New Roman" w:eastAsia="仿宋_GB2312" w:cs="仿宋_GB2312"/>
          <w:sz w:val="32"/>
          <w:szCs w:val="32"/>
        </w:rPr>
      </w:pPr>
      <w:r>
        <w:rPr>
          <w:rFonts w:hint="eastAsia" w:ascii="Times New Roman" w:hAnsi="Times New Roman" w:eastAsia="楷体" w:cs="楷体"/>
          <w:sz w:val="32"/>
          <w:szCs w:val="32"/>
        </w:rPr>
        <w:t>（三）政府信息管理情况</w:t>
      </w:r>
      <w:r>
        <w:rPr>
          <w:rFonts w:hint="eastAsia" w:ascii="Times New Roman" w:hAnsi="Times New Roman" w:eastAsia="楷体_GB2312" w:cs="楷体_GB2312"/>
          <w:sz w:val="32"/>
          <w:szCs w:val="32"/>
        </w:rPr>
        <w:t>。</w:t>
      </w:r>
      <w:r>
        <w:rPr>
          <w:rFonts w:ascii="仿宋_GB2312" w:hAnsi="宋体" w:eastAsia="仿宋_GB2312" w:cs="仿宋_GB2312"/>
          <w:color w:val="000000"/>
          <w:sz w:val="32"/>
          <w:szCs w:val="32"/>
          <w:shd w:val="clear" w:color="auto" w:fill="FFFFFF"/>
        </w:rPr>
        <w:t>按照政府信息主动公开内容，编制《</w:t>
      </w:r>
      <w:r>
        <w:rPr>
          <w:rFonts w:hint="eastAsia" w:ascii="仿宋_GB2312" w:hAnsi="宋体" w:eastAsia="仿宋_GB2312" w:cs="仿宋_GB2312"/>
          <w:color w:val="000000"/>
          <w:sz w:val="32"/>
          <w:szCs w:val="32"/>
          <w:shd w:val="clear" w:color="auto" w:fill="FFFFFF"/>
        </w:rPr>
        <w:t>淄川区</w:t>
      </w:r>
      <w:r>
        <w:rPr>
          <w:rFonts w:ascii="仿宋_GB2312" w:hAnsi="宋体" w:eastAsia="仿宋_GB2312" w:cs="仿宋_GB2312"/>
          <w:color w:val="000000"/>
          <w:sz w:val="32"/>
          <w:szCs w:val="32"/>
          <w:shd w:val="clear" w:color="auto" w:fill="FFFFFF"/>
        </w:rPr>
        <w:t>自然资源局政府信息主动公开基本目录》，按照目录分门别类梳理需主动公开信息，建立健全政府信息公开审查机制，</w:t>
      </w:r>
      <w:r>
        <w:rPr>
          <w:rFonts w:hint="eastAsia" w:ascii="仿宋_GB2312" w:hAnsi="宋体" w:eastAsia="仿宋_GB2312" w:cs="仿宋_GB2312"/>
          <w:color w:val="000000"/>
          <w:sz w:val="32"/>
          <w:szCs w:val="32"/>
          <w:shd w:val="clear" w:color="auto" w:fill="FFFFFF"/>
        </w:rPr>
        <w:t>按照“谁公开、谁负责”的原则，将信息公开责任落实到各科室具体责任人，将发布的信息严格做好</w:t>
      </w:r>
      <w:r>
        <w:rPr>
          <w:rFonts w:hint="eastAsia" w:ascii="仿宋_GB2312" w:hAnsi="宋体" w:eastAsia="仿宋_GB2312" w:cs="仿宋_GB2312"/>
          <w:color w:val="333333"/>
          <w:sz w:val="31"/>
          <w:szCs w:val="31"/>
        </w:rPr>
        <w:t>保密性审查和合法性审查</w:t>
      </w:r>
      <w:r>
        <w:rPr>
          <w:rFonts w:hint="eastAsia" w:ascii="仿宋_GB2312" w:hAnsi="宋体" w:eastAsia="仿宋_GB2312" w:cs="仿宋_GB2312"/>
          <w:color w:val="000000"/>
          <w:sz w:val="32"/>
          <w:szCs w:val="32"/>
          <w:shd w:val="clear" w:color="auto" w:fill="FFFFFF"/>
        </w:rPr>
        <w:t>。</w:t>
      </w:r>
    </w:p>
    <w:p>
      <w:pPr>
        <w:pStyle w:val="8"/>
        <w:widowControl/>
        <w:spacing w:beforeAutospacing="0" w:afterAutospacing="0" w:line="560" w:lineRule="exact"/>
        <w:ind w:firstLine="640"/>
        <w:jc w:val="both"/>
        <w:rPr>
          <w:rFonts w:ascii="Times New Roman" w:hAnsi="Times New Roman" w:eastAsia="仿宋_GB2312" w:cs="仿宋_GB2312"/>
          <w:sz w:val="32"/>
          <w:szCs w:val="32"/>
        </w:rPr>
      </w:pPr>
      <w:r>
        <w:rPr>
          <w:rFonts w:hint="eastAsia" w:ascii="Times New Roman" w:hAnsi="Times New Roman" w:eastAsia="楷体" w:cs="楷体"/>
          <w:sz w:val="32"/>
          <w:szCs w:val="32"/>
        </w:rPr>
        <w:t>（四）平台建设情况</w:t>
      </w:r>
      <w:r>
        <w:rPr>
          <w:rFonts w:hint="eastAsia" w:ascii="Times New Roman" w:hAnsi="Times New Roman" w:eastAsia="楷体_GB2312" w:cs="楷体_GB2312"/>
          <w:sz w:val="32"/>
          <w:szCs w:val="32"/>
        </w:rPr>
        <w:t>。</w:t>
      </w:r>
      <w:r>
        <w:rPr>
          <w:rFonts w:ascii="仿宋_GB2312" w:hAnsi="宋体" w:eastAsia="仿宋_GB2312" w:cs="仿宋_GB2312"/>
          <w:color w:val="000000"/>
          <w:sz w:val="32"/>
          <w:szCs w:val="32"/>
          <w:shd w:val="clear" w:color="auto" w:fill="FFFFFF"/>
        </w:rPr>
        <w:t>充分发挥</w:t>
      </w:r>
      <w:r>
        <w:rPr>
          <w:rFonts w:hint="eastAsia" w:ascii="仿宋_GB2312" w:hAnsi="宋体" w:eastAsia="仿宋_GB2312" w:cs="仿宋_GB2312"/>
          <w:color w:val="000000"/>
          <w:sz w:val="32"/>
          <w:szCs w:val="32"/>
          <w:shd w:val="clear" w:color="auto" w:fill="FFFFFF"/>
        </w:rPr>
        <w:t>淄川区</w:t>
      </w:r>
      <w:r>
        <w:rPr>
          <w:rFonts w:ascii="仿宋_GB2312" w:hAnsi="宋体" w:eastAsia="仿宋_GB2312" w:cs="仿宋_GB2312"/>
          <w:color w:val="000000"/>
          <w:sz w:val="32"/>
          <w:szCs w:val="32"/>
          <w:shd w:val="clear" w:color="auto" w:fill="FFFFFF"/>
        </w:rPr>
        <w:t>人民政府网站的平台作用，</w:t>
      </w:r>
      <w:r>
        <w:rPr>
          <w:rFonts w:hint="eastAsia" w:ascii="仿宋_GB2312" w:hAnsi="宋体" w:eastAsia="仿宋_GB2312" w:cs="仿宋_GB2312"/>
          <w:color w:val="000000"/>
          <w:sz w:val="32"/>
          <w:szCs w:val="32"/>
          <w:shd w:val="clear" w:color="auto" w:fill="FFFFFF"/>
        </w:rPr>
        <w:t>对融公开平台栏目进一步完善，及时上传更新信息，确保应当公开的内容及时公开。</w:t>
      </w:r>
      <w:r>
        <w:rPr>
          <w:rFonts w:hint="eastAsia" w:ascii="Times New Roman" w:hAnsi="Times New Roman" w:eastAsia="仿宋_GB2312" w:cs="仿宋_GB2312"/>
          <w:sz w:val="32"/>
          <w:szCs w:val="32"/>
        </w:rPr>
        <w:t>同时，抓好“淄川自然资源”微信订阅号的发布审核工作，提升界面阅读舒适性和美观性，努力做好业务和政策方面的宣传。</w:t>
      </w:r>
    </w:p>
    <w:p>
      <w:pPr>
        <w:pStyle w:val="8"/>
        <w:widowControl/>
        <w:spacing w:beforeAutospacing="0" w:afterAutospacing="0"/>
        <w:ind w:firstLine="641"/>
        <w:jc w:val="both"/>
        <w:rPr>
          <w:rFonts w:ascii="Times New Roman" w:hAnsi="Times New Roman" w:eastAsia="仿宋_GB2312" w:cs="仿宋_GB2312"/>
          <w:sz w:val="32"/>
          <w:szCs w:val="32"/>
        </w:rPr>
      </w:pPr>
      <w:r>
        <w:drawing>
          <wp:inline distT="0" distB="0" distL="114300" distR="114300">
            <wp:extent cx="4143375" cy="46386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143375" cy="4638675"/>
                    </a:xfrm>
                    <a:prstGeom prst="rect">
                      <a:avLst/>
                    </a:prstGeom>
                    <a:noFill/>
                    <a:ln>
                      <a:noFill/>
                    </a:ln>
                  </pic:spPr>
                </pic:pic>
              </a:graphicData>
            </a:graphic>
          </wp:inline>
        </w:drawing>
      </w:r>
    </w:p>
    <w:p>
      <w:pPr>
        <w:pStyle w:val="8"/>
        <w:widowControl/>
        <w:spacing w:beforeAutospacing="0" w:afterAutospacing="0"/>
        <w:ind w:firstLine="641"/>
        <w:jc w:val="center"/>
        <w:rPr>
          <w:rFonts w:ascii="Times New Roman" w:hAnsi="Times New Roman" w:eastAsia="楷体_GB2312" w:cs="楷体_GB2312"/>
          <w:sz w:val="32"/>
          <w:szCs w:val="32"/>
        </w:rPr>
      </w:pPr>
    </w:p>
    <w:p>
      <w:pPr>
        <w:pStyle w:val="8"/>
        <w:widowControl/>
        <w:spacing w:beforeAutospacing="0" w:afterAutospacing="0" w:line="560" w:lineRule="exact"/>
        <w:ind w:firstLine="640"/>
        <w:jc w:val="both"/>
        <w:rPr>
          <w:rFonts w:ascii="Times New Roman" w:hAnsi="Times New Roman" w:eastAsia="微软雅黑" w:cs="微软雅黑"/>
        </w:rPr>
      </w:pPr>
      <w:r>
        <w:rPr>
          <w:rFonts w:hint="eastAsia" w:ascii="Times New Roman" w:hAnsi="Times New Roman" w:eastAsia="楷体_GB2312" w:cs="楷体_GB2312"/>
          <w:sz w:val="32"/>
          <w:szCs w:val="32"/>
        </w:rPr>
        <w:t>（</w:t>
      </w:r>
      <w:r>
        <w:rPr>
          <w:rFonts w:hint="eastAsia" w:ascii="Times New Roman" w:hAnsi="Times New Roman" w:eastAsia="楷体" w:cs="楷体"/>
          <w:sz w:val="32"/>
          <w:szCs w:val="32"/>
        </w:rPr>
        <w:t>五）监督保障情况</w:t>
      </w:r>
      <w:r>
        <w:rPr>
          <w:rFonts w:hint="eastAsia" w:ascii="Times New Roman" w:hAnsi="Times New Roman" w:eastAsia="楷体_GB2312" w:cs="楷体_GB2312"/>
          <w:sz w:val="32"/>
          <w:szCs w:val="32"/>
        </w:rPr>
        <w:t>。</w:t>
      </w:r>
      <w:r>
        <w:rPr>
          <w:rFonts w:ascii="仿宋_GB2312" w:hAnsi="宋体" w:eastAsia="仿宋_GB2312" w:cs="仿宋_GB2312"/>
          <w:color w:val="000000"/>
          <w:sz w:val="32"/>
          <w:szCs w:val="32"/>
          <w:shd w:val="clear" w:color="auto" w:fill="FFFFFF"/>
        </w:rPr>
        <w:t>加强组织领导，成立分管领导任组长的政务公开领导小组，安排专人负责政务公开工作。</w:t>
      </w:r>
      <w:r>
        <w:rPr>
          <w:rFonts w:hint="eastAsia" w:ascii="仿宋_GB2312" w:hAnsi="宋体" w:eastAsia="仿宋_GB2312" w:cs="仿宋_GB2312"/>
          <w:color w:val="000000"/>
          <w:sz w:val="32"/>
          <w:szCs w:val="32"/>
          <w:shd w:val="clear" w:color="auto" w:fill="FFFFFF"/>
        </w:rPr>
        <w:t>建立政府信息监督保障机制，遵循“谁公开、谁审查、谁负责”的原则，保证政府信息公开的安全性。局机关各科室、局属事业单位是政务公开信息发布的直接主体，局办公室是综合协调部门，</w:t>
      </w:r>
      <w:r>
        <w:rPr>
          <w:rFonts w:hint="eastAsia" w:ascii="Times New Roman" w:hAnsi="Times New Roman" w:eastAsia="仿宋_GB2312" w:cs="仿宋_GB2312"/>
          <w:sz w:val="32"/>
          <w:szCs w:val="32"/>
        </w:rPr>
        <w:t>对我局政务信息公开、政务信息报送、采用情况进行监督考核。</w:t>
      </w:r>
    </w:p>
    <w:p>
      <w:pPr>
        <w:pStyle w:val="8"/>
        <w:widowControl/>
        <w:spacing w:beforeAutospacing="0" w:afterAutospacing="0" w:line="560" w:lineRule="exact"/>
        <w:ind w:firstLine="640" w:firstLineChars="200"/>
        <w:jc w:val="both"/>
        <w:rPr>
          <w:rFonts w:ascii="Times New Roman" w:hAnsi="Times New Roman" w:eastAsia="黑体"/>
          <w:color w:val="000000" w:themeColor="text1"/>
          <w:sz w:val="32"/>
          <w:szCs w:val="32"/>
          <w:shd w:val="clear" w:color="auto" w:fill="FFFFFF"/>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二、主动公开政府信息情况</w:t>
      </w:r>
    </w:p>
    <w:tbl>
      <w:tblPr>
        <w:tblStyle w:val="9"/>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rPr>
                <w:rFonts w:ascii="Times New Roman" w:hAnsi="Times New Roman" w:cs="Times New Roman"/>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规章</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color w:val="000000" w:themeColor="text1"/>
                <w:sz w:val="24"/>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color w:val="000000" w:themeColor="text1"/>
                <w:sz w:val="24"/>
                <w14:textFill>
                  <w14:solidFill>
                    <w14:schemeClr w14:val="tx1"/>
                  </w14:solidFill>
                </w14:textFill>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color w:val="000000" w:themeColor="text1"/>
                <w:sz w:val="24"/>
                <w14:textFill>
                  <w14:solidFill>
                    <w14:schemeClr w14:val="tx1"/>
                  </w14:solidFill>
                </w14:textFill>
              </w:rPr>
              <w:t>715.398</w:t>
            </w:r>
          </w:p>
        </w:tc>
      </w:tr>
    </w:tbl>
    <w:p>
      <w:pPr>
        <w:pStyle w:val="8"/>
        <w:widowControl/>
        <w:spacing w:beforeAutospacing="0" w:afterAutospacing="0" w:line="560" w:lineRule="exact"/>
        <w:ind w:firstLine="640" w:firstLineChars="200"/>
        <w:jc w:val="both"/>
        <w:rPr>
          <w:rFonts w:ascii="Times New Roman" w:hAnsi="Times New Roman" w:eastAsia="黑体"/>
          <w:color w:val="000000" w:themeColor="text1"/>
          <w:sz w:val="32"/>
          <w:szCs w:val="32"/>
          <w14:textFill>
            <w14:solidFill>
              <w14:schemeClr w14:val="tx1"/>
            </w14:solidFill>
          </w14:textFill>
        </w:rPr>
      </w:pPr>
    </w:p>
    <w:p>
      <w:pPr>
        <w:pStyle w:val="8"/>
        <w:widowControl/>
        <w:spacing w:beforeAutospacing="0" w:afterAutospacing="0" w:line="33" w:lineRule="atLeast"/>
        <w:ind w:firstLine="420"/>
        <w:jc w:val="both"/>
        <w:rPr>
          <w:rFonts w:ascii="Times New Roman" w:hAnsi="Times New Roman" w:eastAsia="黑体"/>
          <w:color w:val="000000" w:themeColor="text1"/>
          <w:sz w:val="32"/>
          <w:szCs w:val="32"/>
          <w:shd w:val="clear" w:color="auto" w:fill="FFFFFF"/>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三、收到和处理政府信息公开申请情况</w:t>
      </w:r>
    </w:p>
    <w:p>
      <w:pPr>
        <w:pStyle w:val="8"/>
        <w:widowControl/>
        <w:spacing w:beforeAutospacing="0" w:afterAutospacing="0" w:line="33" w:lineRule="atLeast"/>
        <w:ind w:firstLine="420"/>
        <w:jc w:val="both"/>
        <w:rPr>
          <w:rFonts w:ascii="Times New Roman" w:hAnsi="Times New Roman" w:eastAsia="黑体"/>
          <w:color w:val="000000" w:themeColor="text1"/>
          <w:sz w:val="32"/>
          <w:szCs w:val="32"/>
          <w14:textFill>
            <w14:solidFill>
              <w14:schemeClr w14:val="tx1"/>
            </w14:solidFill>
          </w14:textFill>
        </w:rPr>
      </w:pPr>
    </w:p>
    <w:tbl>
      <w:tblPr>
        <w:tblStyle w:val="9"/>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686"/>
        <w:gridCol w:w="829"/>
        <w:gridCol w:w="2984"/>
        <w:gridCol w:w="622"/>
        <w:gridCol w:w="622"/>
        <w:gridCol w:w="622"/>
        <w:gridCol w:w="622"/>
        <w:gridCol w:w="622"/>
        <w:gridCol w:w="661"/>
        <w:gridCol w:w="63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4499" w:type="dxa"/>
            <w:gridSpan w:val="3"/>
            <w:vMerge w:val="restart"/>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（本列数据的勾稽关系为：第一项加第二项之和，等于第三项加第四项之和）</w:t>
            </w:r>
          </w:p>
        </w:tc>
        <w:tc>
          <w:tcPr>
            <w:tcW w:w="4406" w:type="dxa"/>
            <w:gridSpan w:val="7"/>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申请人情况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4499"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622" w:type="dxa"/>
            <w:vMerge w:val="restart"/>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自然人</w:t>
            </w:r>
          </w:p>
        </w:tc>
        <w:tc>
          <w:tcPr>
            <w:tcW w:w="3149" w:type="dxa"/>
            <w:gridSpan w:val="5"/>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法人或其他组织</w:t>
            </w:r>
          </w:p>
        </w:tc>
        <w:tc>
          <w:tcPr>
            <w:tcW w:w="635" w:type="dxa"/>
            <w:vMerge w:val="restart"/>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总计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4499"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622"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商业</w:t>
            </w:r>
          </w:p>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企业</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科研</w:t>
            </w:r>
          </w:p>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机构</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社会公益组织</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法律服务机构</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其他</w:t>
            </w:r>
          </w:p>
        </w:tc>
        <w:tc>
          <w:tcPr>
            <w:tcW w:w="635"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4499" w:type="dxa"/>
            <w:gridSpan w:val="3"/>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一、本年新收政府信息公开申请数量</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idowControl/>
              <w:jc w:val="center"/>
              <w:textAlignment w:val="center"/>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46</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idowControl/>
              <w:jc w:val="center"/>
              <w:textAlignment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idowControl/>
              <w:jc w:val="center"/>
              <w:textAlignment w:val="center"/>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46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4499" w:type="dxa"/>
            <w:gridSpan w:val="3"/>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二、上年结转政府信息公开申请数量</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86" w:type="dxa"/>
            <w:vMerge w:val="restart"/>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三、本年度办理结果</w:t>
            </w:r>
          </w:p>
        </w:tc>
        <w:tc>
          <w:tcPr>
            <w:tcW w:w="3813" w:type="dxa"/>
            <w:gridSpan w:val="2"/>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（一）予以公开</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hint="eastAsia" w:ascii="Times New Roman" w:hAnsi="Times New Roman" w:eastAsiaTheme="minorEastAsia"/>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lang w:val="en-US" w:eastAsia="zh-CN"/>
                <w14:textFill>
                  <w14:solidFill>
                    <w14:schemeClr w14:val="tx1"/>
                  </w14:solidFill>
                </w14:textFill>
              </w:rPr>
              <w:t>6</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hint="eastAsia" w:ascii="Times New Roman" w:hAnsi="Times New Roman" w:eastAsiaTheme="minorEastAsia"/>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lang w:val="en-US" w:eastAsia="zh-CN"/>
                <w14:textFill>
                  <w14:solidFill>
                    <w14:schemeClr w14:val="tx1"/>
                  </w14:solidFill>
                </w14:textFill>
              </w:rPr>
              <w:t>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86"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3813" w:type="dxa"/>
            <w:gridSpan w:val="2"/>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（二）部分公开（区分处理的，只计这一情形，不计其他情形）</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86"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829" w:type="dxa"/>
            <w:vMerge w:val="restart"/>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（三）不予公开</w:t>
            </w:r>
          </w:p>
        </w:tc>
        <w:tc>
          <w:tcPr>
            <w:tcW w:w="298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1.属于国家秘密</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86"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829"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298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2.其他法律行政法规禁止公开</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86"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829"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298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3.危及“三安全一稳定”</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86"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829"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298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4.保护第三方合法权益</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86"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829"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298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5.属于三类内部事务信息</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86"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829"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298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6.属于四类过程性信息</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86"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829"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298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7.属于行政执法案卷</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86"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829"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298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8.属于行政查询事项</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86"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829" w:type="dxa"/>
            <w:vMerge w:val="restart"/>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（四）无法提供</w:t>
            </w:r>
          </w:p>
        </w:tc>
        <w:tc>
          <w:tcPr>
            <w:tcW w:w="298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1.本机关不掌握相关政府信息</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86"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829"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298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2.没有现成信息需要另行制作</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86"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829"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298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3.补正后申请内容仍不明确</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86"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829" w:type="dxa"/>
            <w:vMerge w:val="restart"/>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（五）不予处理</w:t>
            </w:r>
          </w:p>
        </w:tc>
        <w:tc>
          <w:tcPr>
            <w:tcW w:w="298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1.信访举报投诉类申请</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86"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829"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298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2.重复申请</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86"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829"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298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3.要求提供公开出版物</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86"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829"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298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4.无正当理由大量反复申请</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86"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829"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298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5.要求行政机关确认或重新出具已获取信息</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86"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829" w:type="dxa"/>
            <w:vMerge w:val="restart"/>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（六）其他处理</w:t>
            </w:r>
          </w:p>
        </w:tc>
        <w:tc>
          <w:tcPr>
            <w:tcW w:w="298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1.申请人无正当理由逾期不补正、行政机关不再处理其政府信息公开申请</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86"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829"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298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2.申请人逾期未按收费通知要求缴纳费用、行政机关不再处理其政府信息公开申请</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86"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829"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2984"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3.其他</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86"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3813" w:type="dxa"/>
            <w:gridSpan w:val="2"/>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（七）总计</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46</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4499" w:type="dxa"/>
            <w:gridSpan w:val="3"/>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四、结转下年度继续办理</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2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6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bl>
    <w:p>
      <w:pPr>
        <w:pStyle w:val="8"/>
        <w:widowControl/>
        <w:spacing w:beforeAutospacing="0" w:afterAutospacing="0" w:line="33" w:lineRule="atLeast"/>
        <w:ind w:firstLine="640" w:firstLineChars="200"/>
        <w:jc w:val="both"/>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四、政府信息公开行政复议、行政诉讼情况</w:t>
      </w:r>
    </w:p>
    <w:tbl>
      <w:tblPr>
        <w:tblStyle w:val="9"/>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582"/>
        <w:gridCol w:w="582"/>
        <w:gridCol w:w="582"/>
        <w:gridCol w:w="582"/>
        <w:gridCol w:w="637"/>
        <w:gridCol w:w="583"/>
        <w:gridCol w:w="583"/>
        <w:gridCol w:w="583"/>
        <w:gridCol w:w="583"/>
        <w:gridCol w:w="638"/>
        <w:gridCol w:w="583"/>
        <w:gridCol w:w="583"/>
        <w:gridCol w:w="583"/>
        <w:gridCol w:w="583"/>
        <w:gridCol w:w="63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210" w:type="dxa"/>
            <w:gridSpan w:val="5"/>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行政复议</w:t>
            </w:r>
          </w:p>
        </w:tc>
        <w:tc>
          <w:tcPr>
            <w:tcW w:w="6420" w:type="dxa"/>
            <w:gridSpan w:val="10"/>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行政诉讼</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30" w:type="dxa"/>
            <w:vMerge w:val="restart"/>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结果维持</w:t>
            </w:r>
          </w:p>
        </w:tc>
        <w:tc>
          <w:tcPr>
            <w:tcW w:w="630" w:type="dxa"/>
            <w:vMerge w:val="restart"/>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结果</w:t>
            </w:r>
          </w:p>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纠正</w:t>
            </w:r>
          </w:p>
        </w:tc>
        <w:tc>
          <w:tcPr>
            <w:tcW w:w="630" w:type="dxa"/>
            <w:vMerge w:val="restart"/>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其他</w:t>
            </w:r>
          </w:p>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结果</w:t>
            </w:r>
          </w:p>
        </w:tc>
        <w:tc>
          <w:tcPr>
            <w:tcW w:w="630" w:type="dxa"/>
            <w:vMerge w:val="restart"/>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尚未</w:t>
            </w:r>
          </w:p>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审结</w:t>
            </w:r>
          </w:p>
        </w:tc>
        <w:tc>
          <w:tcPr>
            <w:tcW w:w="630" w:type="dxa"/>
            <w:vMerge w:val="restart"/>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总计</w:t>
            </w:r>
          </w:p>
        </w:tc>
        <w:tc>
          <w:tcPr>
            <w:tcW w:w="3210" w:type="dxa"/>
            <w:gridSpan w:val="5"/>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未经复议直接起诉</w:t>
            </w:r>
          </w:p>
        </w:tc>
        <w:tc>
          <w:tcPr>
            <w:tcW w:w="3210" w:type="dxa"/>
            <w:gridSpan w:val="5"/>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复议后起诉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30"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结果</w:t>
            </w:r>
          </w:p>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维持</w:t>
            </w: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结果</w:t>
            </w:r>
          </w:p>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纠正</w:t>
            </w: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其他</w:t>
            </w:r>
          </w:p>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结果</w:t>
            </w: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尚未</w:t>
            </w:r>
          </w:p>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审结</w:t>
            </w: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总计</w:t>
            </w: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结果</w:t>
            </w:r>
          </w:p>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维持</w:t>
            </w: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结果</w:t>
            </w:r>
          </w:p>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纠正</w:t>
            </w: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其他</w:t>
            </w:r>
          </w:p>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结果</w:t>
            </w: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尚未</w:t>
            </w:r>
          </w:p>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审结</w:t>
            </w: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总计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hint="eastAsia" w:ascii="Times New Roman" w:hAnsi="Times New Roman" w:cs="Times New Roman" w:eastAsiaTheme="minorEastAsia"/>
                <w:color w:val="000000" w:themeColor="text1"/>
                <w:sz w:val="24"/>
                <w:lang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3</w:t>
            </w: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hint="eastAsia"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w:t>
            </w: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w:t>
            </w: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8"/>
              <w:widowControl/>
              <w:spacing w:beforeAutospacing="0" w:afterAutospacing="0" w:line="33" w:lineRule="atLeast"/>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0</w:t>
            </w:r>
          </w:p>
        </w:tc>
      </w:tr>
    </w:tbl>
    <w:p>
      <w:pPr>
        <w:pStyle w:val="8"/>
        <w:widowControl/>
        <w:spacing w:beforeAutospacing="0" w:afterAutospacing="0" w:line="560" w:lineRule="exact"/>
        <w:ind w:firstLine="640" w:firstLineChars="200"/>
        <w:jc w:val="both"/>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五、存在的主要问题及改进情况</w:t>
      </w:r>
    </w:p>
    <w:p>
      <w:pPr>
        <w:pStyle w:val="8"/>
        <w:widowControl/>
        <w:spacing w:beforeAutospacing="0" w:afterAutospacing="0" w:line="56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shd w:val="clear" w:color="auto" w:fill="FFFFFF"/>
          <w14:textFill>
            <w14:solidFill>
              <w14:schemeClr w14:val="tx1"/>
            </w14:solidFill>
          </w14:textFill>
        </w:rPr>
        <w:t>一年来，我局在提升政府信息公开规范化方面取得了一定的成效，但还存在一些不足，如信息公开渠道少、公开的内容和形式欠丰富等问题。</w:t>
      </w:r>
    </w:p>
    <w:p>
      <w:pPr>
        <w:pStyle w:val="8"/>
        <w:widowControl/>
        <w:spacing w:beforeAutospacing="0" w:afterAutospacing="0" w:line="56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shd w:val="clear" w:color="auto" w:fill="FFFFFF"/>
          <w:lang w:eastAsia="zh-CN"/>
          <w14:textFill>
            <w14:solidFill>
              <w14:schemeClr w14:val="tx1"/>
            </w14:solidFill>
          </w14:textFill>
        </w:rPr>
        <w:t>改进措施：我</w:t>
      </w:r>
      <w:r>
        <w:rPr>
          <w:rFonts w:ascii="Times New Roman" w:hAnsi="Times New Roman" w:eastAsia="仿宋"/>
          <w:color w:val="000000" w:themeColor="text1"/>
          <w:sz w:val="32"/>
          <w:szCs w:val="32"/>
          <w:shd w:val="clear" w:color="auto" w:fill="FFFFFF"/>
          <w14:textFill>
            <w14:solidFill>
              <w14:schemeClr w14:val="tx1"/>
            </w14:solidFill>
          </w14:textFill>
        </w:rPr>
        <w:t>局</w:t>
      </w:r>
      <w:r>
        <w:rPr>
          <w:rFonts w:hint="eastAsia" w:ascii="Times New Roman" w:hAnsi="Times New Roman" w:eastAsia="仿宋"/>
          <w:color w:val="000000" w:themeColor="text1"/>
          <w:sz w:val="32"/>
          <w:szCs w:val="32"/>
          <w:shd w:val="clear" w:color="auto" w:fill="FFFFFF"/>
          <w:lang w:eastAsia="zh-CN"/>
          <w14:textFill>
            <w14:solidFill>
              <w14:schemeClr w14:val="tx1"/>
            </w14:solidFill>
          </w14:textFill>
        </w:rPr>
        <w:t>进一步</w:t>
      </w:r>
      <w:r>
        <w:rPr>
          <w:rFonts w:ascii="Times New Roman" w:hAnsi="Times New Roman" w:eastAsia="仿宋"/>
          <w:color w:val="000000" w:themeColor="text1"/>
          <w:sz w:val="32"/>
          <w:szCs w:val="32"/>
          <w:shd w:val="clear" w:color="auto" w:fill="FFFFFF"/>
          <w14:textFill>
            <w14:solidFill>
              <w14:schemeClr w14:val="tx1"/>
            </w14:solidFill>
          </w14:textFill>
        </w:rPr>
        <w:t>加强信息公开队伍建设，创新工作方式，拓宽公开渠道，把信息公开工作的着力点放在群众关注的问题上，切实提升信息公开工作水平和质量。</w:t>
      </w:r>
    </w:p>
    <w:p>
      <w:pPr>
        <w:pStyle w:val="8"/>
        <w:widowControl/>
        <w:spacing w:beforeAutospacing="0" w:afterAutospacing="0" w:line="560" w:lineRule="exact"/>
        <w:ind w:firstLine="640" w:firstLineChars="200"/>
        <w:jc w:val="both"/>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六、其他需要报告的事项</w:t>
      </w:r>
    </w:p>
    <w:p>
      <w:pPr>
        <w:widowControl/>
        <w:shd w:val="clear" w:color="auto" w:fill="FFFFFF"/>
        <w:spacing w:line="600" w:lineRule="atLeast"/>
        <w:ind w:firstLine="640"/>
        <w:rPr>
          <w:rFonts w:ascii="Times New Roman" w:hAnsi="Times New Roman" w:eastAsia="仿宋_GB2312" w:cs="Times New Roman"/>
          <w:color w:val="000000"/>
          <w:kern w:val="0"/>
          <w:sz w:val="32"/>
          <w:szCs w:val="32"/>
        </w:rPr>
      </w:pPr>
      <w:r>
        <w:rPr>
          <w:rFonts w:hint="eastAsia" w:ascii="楷体" w:hAnsi="楷体" w:eastAsia="楷体" w:cs="楷体"/>
          <w:color w:val="000000"/>
          <w:kern w:val="0"/>
          <w:sz w:val="32"/>
          <w:szCs w:val="32"/>
          <w:shd w:val="clear" w:color="auto" w:fill="FFFFFF"/>
        </w:rPr>
        <w:t>1、</w:t>
      </w:r>
      <w:r>
        <w:rPr>
          <w:rFonts w:hint="eastAsia" w:ascii="楷体" w:hAnsi="楷体" w:eastAsia="楷体" w:cs="楷体"/>
          <w:color w:val="000000"/>
          <w:kern w:val="0"/>
          <w:sz w:val="32"/>
          <w:szCs w:val="32"/>
        </w:rPr>
        <w:t>收取信息处理费情况。</w:t>
      </w:r>
      <w:r>
        <w:rPr>
          <w:rFonts w:ascii="Times New Roman" w:hAnsi="Times New Roman" w:eastAsia="仿宋_GB2312" w:cs="Times New Roman"/>
          <w:color w:val="000000"/>
          <w:kern w:val="0"/>
          <w:sz w:val="32"/>
          <w:szCs w:val="32"/>
        </w:rPr>
        <w:t>依据</w:t>
      </w:r>
      <w:r>
        <w:rPr>
          <w:rFonts w:ascii="Times New Roman" w:hAnsi="Times New Roman" w:eastAsia="仿宋_GB2312" w:cs="Times New Roman"/>
          <w:color w:val="000000"/>
          <w:kern w:val="0"/>
          <w:sz w:val="32"/>
          <w:szCs w:val="32"/>
          <w:shd w:val="clear" w:color="auto" w:fill="FFFFFF"/>
        </w:rPr>
        <w:t>《国务院办公厅关于印发</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shd w:val="clear" w:color="auto" w:fill="FFFFFF"/>
        </w:rPr>
        <w:t>政府信息公开信息处理费管理办法</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shd w:val="clear" w:color="auto" w:fill="FFFFFF"/>
        </w:rPr>
        <w:t>的通知》</w:t>
      </w:r>
      <w:r>
        <w:rPr>
          <w:rFonts w:ascii="Times New Roman" w:hAnsi="Times New Roman" w:eastAsia="仿宋_GB2312" w:cs="Times New Roman"/>
          <w:color w:val="000000"/>
          <w:kern w:val="0"/>
          <w:sz w:val="32"/>
          <w:szCs w:val="32"/>
        </w:rPr>
        <w:t>（国办函〔2020〕109号）和《山东省人民政府办公厅关于做好政府信息公开信息处理费管理工作有关事项的通知》（鲁政办字〔2020〕179号）收取信息处理费。2022年本单位依申请公开政府信息未收取任何费用。</w:t>
      </w:r>
    </w:p>
    <w:p>
      <w:pPr>
        <w:widowControl/>
        <w:spacing w:line="600" w:lineRule="atLeast"/>
        <w:ind w:firstLine="640"/>
        <w:rPr>
          <w:rFonts w:ascii="Times New Roman" w:hAnsi="Times New Roman" w:eastAsia="仿宋_GB2312" w:cs="Times New Roman"/>
          <w:color w:val="000000"/>
          <w:kern w:val="0"/>
          <w:sz w:val="32"/>
          <w:szCs w:val="32"/>
        </w:rPr>
      </w:pPr>
      <w:r>
        <w:rPr>
          <w:rFonts w:hint="eastAsia" w:ascii="楷体" w:hAnsi="楷体" w:eastAsia="楷体" w:cs="楷体"/>
          <w:color w:val="000000"/>
          <w:kern w:val="0"/>
          <w:sz w:val="32"/>
          <w:szCs w:val="32"/>
        </w:rPr>
        <w:t>2、落实上级年度政务公开工作要点情况。</w:t>
      </w:r>
      <w:r>
        <w:rPr>
          <w:rFonts w:ascii="Times New Roman" w:hAnsi="Times New Roman" w:eastAsia="仿宋_GB2312" w:cs="Times New Roman"/>
          <w:color w:val="000000"/>
          <w:kern w:val="0"/>
          <w:sz w:val="32"/>
          <w:szCs w:val="32"/>
        </w:rPr>
        <w:t>按照《淄川区人民政府办公室关于印发2022年淄川区政务公开工作实施方案的通知》工作要求，</w:t>
      </w:r>
      <w:r>
        <w:rPr>
          <w:rFonts w:ascii="Times New Roman" w:hAnsi="Times New Roman" w:eastAsia="仿宋_GB2312" w:cs="Times New Roman"/>
          <w:color w:val="000000"/>
          <w:sz w:val="32"/>
          <w:szCs w:val="32"/>
        </w:rPr>
        <w:t>迅速对我局2022年政务公开重点工作进行分工，形成责任分工表，将责任具体到科室，</w:t>
      </w:r>
      <w:r>
        <w:rPr>
          <w:rFonts w:ascii="Times New Roman" w:hAnsi="Times New Roman" w:eastAsia="仿宋_GB2312" w:cs="Times New Roman"/>
          <w:color w:val="000000"/>
          <w:kern w:val="0"/>
          <w:sz w:val="32"/>
          <w:szCs w:val="32"/>
        </w:rPr>
        <w:t>做好国有建设用地出让公告、出让结果等信息的公开，建设用地规划许可的信息公示，集中公开淄川区土地利用总体规划、淄川城区控制性详细规划等信息。</w:t>
      </w:r>
    </w:p>
    <w:p>
      <w:pPr>
        <w:pStyle w:val="8"/>
        <w:shd w:val="clear" w:color="auto" w:fill="FFFFFF"/>
        <w:spacing w:beforeAutospacing="0" w:afterAutospacing="0"/>
        <w:ind w:firstLine="640" w:firstLineChars="200"/>
        <w:rPr>
          <w:rFonts w:hint="default" w:ascii="Times New Roman" w:hAnsi="Times New Roman" w:cs="Times New Roman"/>
        </w:rPr>
      </w:pPr>
      <w:r>
        <w:rPr>
          <w:rFonts w:ascii="Times New Roman" w:hAnsi="Times New Roman" w:eastAsia="仿宋_GB2312"/>
          <w:color w:val="000000"/>
          <w:sz w:val="32"/>
          <w:szCs w:val="32"/>
          <w:shd w:val="clear" w:color="auto" w:fill="FFFFFF"/>
        </w:rPr>
        <w:t>3、人大建议和政协提案办理结果公开情况。</w:t>
      </w:r>
      <w:r>
        <w:rPr>
          <w:rFonts w:ascii="Times New Roman" w:hAnsi="Times New Roman" w:eastAsia="仿宋_GB2312"/>
          <w:color w:val="000000"/>
          <w:sz w:val="32"/>
          <w:szCs w:val="32"/>
        </w:rPr>
        <w:t>淄川区自然资源局2022年收到人大建议1件，均按法定程序给予了圆满答复，代表满意率100%；未收到政协提案；未有上级建议提案办理任务。</w:t>
      </w:r>
      <w:r>
        <w:rPr>
          <w:rFonts w:ascii="Times New Roman" w:hAnsi="Times New Roman" w:eastAsia="仿宋_GB2312"/>
          <w:color w:val="000000"/>
          <w:sz w:val="32"/>
          <w:szCs w:val="32"/>
        </w:rPr>
        <w:br w:type="textWrapping"/>
      </w:r>
      <w:r>
        <w:rPr>
          <w:rFonts w:hint="eastAsia" w:ascii="Times New Roman" w:hAnsi="Times New Roman" w:eastAsia="仿宋_GB2312"/>
          <w:color w:val="000000"/>
          <w:sz w:val="32"/>
          <w:szCs w:val="32"/>
          <w:lang w:val="en-US" w:eastAsia="zh-CN"/>
        </w:rPr>
        <w:t xml:space="preserve">    </w:t>
      </w:r>
      <w:r>
        <w:rPr>
          <w:rFonts w:hint="default" w:ascii="Times New Roman" w:hAnsi="Times New Roman" w:eastAsia="仿宋_GB2312" w:cs="Times New Roman"/>
          <w:bCs w:val="0"/>
          <w:i w:val="0"/>
          <w:caps w:val="0"/>
          <w:color w:val="auto"/>
          <w:spacing w:val="0"/>
          <w:kern w:val="2"/>
          <w:sz w:val="32"/>
          <w:szCs w:val="32"/>
          <w:shd w:val="clear" w:color="auto" w:fill="FFFFFF"/>
          <w:lang w:val="en-US" w:eastAsia="zh-CN" w:bidi="ar-SA"/>
        </w:rPr>
        <w:t>4、</w:t>
      </w:r>
      <w:r>
        <w:rPr>
          <w:rFonts w:hint="default" w:ascii="Times New Roman" w:hAnsi="Times New Roman" w:eastAsia="楷体" w:cs="Times New Roman"/>
          <w:bCs w:val="0"/>
          <w:i w:val="0"/>
          <w:caps w:val="0"/>
          <w:color w:val="auto"/>
          <w:spacing w:val="0"/>
          <w:kern w:val="2"/>
          <w:sz w:val="32"/>
          <w:szCs w:val="32"/>
          <w:shd w:val="clear" w:color="auto" w:fill="FFFFFF"/>
          <w:lang w:val="en-US" w:eastAsia="zh-CN" w:bidi="ar-SA"/>
        </w:rPr>
        <w:t>政务公开工作创新情况</w:t>
      </w:r>
      <w:r>
        <w:rPr>
          <w:rFonts w:hint="default" w:ascii="Times New Roman" w:hAnsi="Times New Roman" w:eastAsia="仿宋_GB2312" w:cs="Times New Roman"/>
          <w:bCs w:val="0"/>
          <w:i w:val="0"/>
          <w:caps w:val="0"/>
          <w:color w:val="auto"/>
          <w:spacing w:val="0"/>
          <w:kern w:val="2"/>
          <w:sz w:val="32"/>
          <w:szCs w:val="32"/>
          <w:shd w:val="clear" w:color="auto" w:fill="FFFFFF"/>
          <w:lang w:val="en-US" w:eastAsia="zh-CN" w:bidi="ar-SA"/>
        </w:rPr>
        <w:t>。</w:t>
      </w:r>
      <w:r>
        <w:rPr>
          <w:rFonts w:hint="eastAsia" w:ascii="Times New Roman" w:hAnsi="Times New Roman" w:eastAsia="仿宋_GB2312" w:cs="Times New Roman"/>
          <w:bCs w:val="0"/>
          <w:i w:val="0"/>
          <w:caps w:val="0"/>
          <w:color w:val="auto"/>
          <w:spacing w:val="0"/>
          <w:kern w:val="2"/>
          <w:sz w:val="32"/>
          <w:szCs w:val="32"/>
          <w:shd w:val="clear" w:color="auto" w:fill="FFFFFF"/>
          <w:lang w:val="en-US" w:eastAsia="zh-CN" w:bidi="ar-SA"/>
        </w:rPr>
        <w:t>无</w:t>
      </w:r>
      <w:r>
        <w:rPr>
          <w:rFonts w:hint="eastAsia" w:ascii="Times New Roman" w:hAnsi="Times New Roman" w:eastAsia="仿宋_GB2312" w:cs="Times New Roman"/>
          <w:bCs w:val="0"/>
          <w:i w:val="0"/>
          <w:caps w:val="0"/>
          <w:color w:val="auto"/>
          <w:spacing w:val="0"/>
          <w:kern w:val="2"/>
          <w:sz w:val="32"/>
          <w:szCs w:val="32"/>
          <w:shd w:val="clear" w:color="auto" w:fill="FFFFFF"/>
          <w:lang w:val="en-US" w:eastAsia="zh-CN" w:bidi="ar-SA"/>
        </w:rPr>
        <w:br w:type="textWrapping"/>
      </w:r>
      <w:r>
        <w:rPr>
          <w:rFonts w:hint="eastAsia" w:ascii="Times New Roman" w:hAnsi="Times New Roman" w:eastAsia="仿宋_GB2312" w:cs="Times New Roman"/>
          <w:bCs w:val="0"/>
          <w:i w:val="0"/>
          <w:caps w:val="0"/>
          <w:color w:val="auto"/>
          <w:spacing w:val="0"/>
          <w:kern w:val="2"/>
          <w:sz w:val="32"/>
          <w:szCs w:val="32"/>
          <w:shd w:val="clear" w:color="auto" w:fill="FFFFFF"/>
          <w:lang w:val="en-US" w:eastAsia="zh-CN" w:bidi="ar-SA"/>
        </w:rPr>
        <w:t xml:space="preserve">    </w:t>
      </w:r>
      <w:r>
        <w:rPr>
          <w:rFonts w:hint="default" w:ascii="Times New Roman" w:hAnsi="Times New Roman" w:eastAsia="仿宋_GB2312" w:cs="Times New Roman"/>
          <w:bCs w:val="0"/>
          <w:i w:val="0"/>
          <w:caps w:val="0"/>
          <w:color w:val="auto"/>
          <w:spacing w:val="0"/>
          <w:kern w:val="2"/>
          <w:sz w:val="32"/>
          <w:szCs w:val="32"/>
          <w:shd w:val="clear" w:color="auto" w:fill="FFFFFF"/>
          <w:lang w:val="en-US" w:eastAsia="zh-CN" w:bidi="ar-SA"/>
        </w:rPr>
        <w:t>5、</w:t>
      </w:r>
      <w:r>
        <w:rPr>
          <w:rFonts w:hint="default" w:ascii="Times New Roman" w:hAnsi="Times New Roman" w:eastAsia="楷体" w:cs="Times New Roman"/>
          <w:bCs w:val="0"/>
          <w:i w:val="0"/>
          <w:caps w:val="0"/>
          <w:color w:val="auto"/>
          <w:spacing w:val="0"/>
          <w:kern w:val="2"/>
          <w:sz w:val="32"/>
          <w:szCs w:val="32"/>
          <w:shd w:val="clear" w:color="auto" w:fill="FFFFFF"/>
          <w:lang w:val="en-US" w:eastAsia="zh-CN" w:bidi="ar-SA"/>
        </w:rPr>
        <w:t>年报数据统计需要说明的事项</w:t>
      </w:r>
      <w:r>
        <w:rPr>
          <w:rFonts w:hint="default" w:ascii="Times New Roman" w:hAnsi="Times New Roman" w:eastAsia="仿宋_GB2312" w:cs="Times New Roman"/>
          <w:bCs w:val="0"/>
          <w:i w:val="0"/>
          <w:caps w:val="0"/>
          <w:color w:val="auto"/>
          <w:spacing w:val="0"/>
          <w:kern w:val="2"/>
          <w:sz w:val="32"/>
          <w:szCs w:val="32"/>
          <w:shd w:val="clear" w:color="auto" w:fill="FFFFFF"/>
          <w:lang w:val="en-US" w:eastAsia="zh-CN" w:bidi="ar-SA"/>
        </w:rPr>
        <w:t>。</w:t>
      </w:r>
      <w:r>
        <w:rPr>
          <w:rFonts w:hint="eastAsia" w:ascii="Times New Roman" w:hAnsi="Times New Roman" w:eastAsia="仿宋_GB2312" w:cs="Times New Roman"/>
          <w:bCs w:val="0"/>
          <w:i w:val="0"/>
          <w:caps w:val="0"/>
          <w:color w:val="auto"/>
          <w:spacing w:val="0"/>
          <w:kern w:val="2"/>
          <w:sz w:val="32"/>
          <w:szCs w:val="32"/>
          <w:shd w:val="clear" w:color="auto" w:fill="FFFFFF"/>
          <w:lang w:val="en-US" w:eastAsia="zh-CN" w:bidi="ar-SA"/>
        </w:rPr>
        <w:t>无</w:t>
      </w:r>
    </w:p>
    <w:p>
      <w:pPr>
        <w:pStyle w:val="8"/>
        <w:shd w:val="clear" w:color="auto" w:fill="FFFFFF"/>
        <w:spacing w:beforeAutospacing="0" w:afterAutospacing="0"/>
        <w:ind w:firstLine="640" w:firstLineChars="200"/>
        <w:rPr>
          <w:rFonts w:ascii="Times New Roman" w:hAnsi="Times New Roman" w:eastAsia="仿宋_GB2312"/>
          <w:color w:val="000000"/>
          <w:sz w:val="32"/>
          <w:szCs w:val="32"/>
        </w:rPr>
      </w:pPr>
    </w:p>
    <w:p>
      <w:pPr>
        <w:pStyle w:val="8"/>
        <w:shd w:val="clear" w:color="auto" w:fill="FFFFFF"/>
        <w:spacing w:beforeAutospacing="0" w:afterAutospacing="0"/>
        <w:ind w:firstLine="640" w:firstLineChars="200"/>
        <w:rPr>
          <w:rFonts w:ascii="Times New Roman" w:hAnsi="Times New Roman" w:eastAsia="仿宋_GB2312"/>
          <w:color w:val="000000"/>
          <w:sz w:val="32"/>
          <w:szCs w:val="32"/>
        </w:rPr>
      </w:pPr>
    </w:p>
    <w:p>
      <w:pPr>
        <w:widowControl/>
        <w:spacing w:line="600" w:lineRule="atLeast"/>
        <w:ind w:firstLine="5440"/>
        <w:rPr>
          <w:rFonts w:ascii="Times New Roman" w:hAnsi="Times New Roman" w:eastAsia="微软雅黑" w:cs="Times New Roman"/>
          <w:color w:val="000000"/>
          <w:kern w:val="0"/>
          <w:sz w:val="24"/>
        </w:rPr>
      </w:pPr>
      <w:r>
        <w:rPr>
          <w:rFonts w:ascii="Times New Roman" w:hAnsi="Times New Roman" w:eastAsia="微软雅黑" w:cs="Times New Roman"/>
          <w:color w:val="000000"/>
          <w:kern w:val="0"/>
          <w:sz w:val="32"/>
          <w:szCs w:val="32"/>
          <w:shd w:val="clear" w:color="auto" w:fill="FFFFFF"/>
        </w:rPr>
        <w:t> </w:t>
      </w:r>
    </w:p>
    <w:p>
      <w:pPr>
        <w:widowControl/>
        <w:spacing w:line="540" w:lineRule="atLeast"/>
        <w:ind w:firstLine="5440"/>
        <w:jc w:val="right"/>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2023年1月1</w:t>
      </w:r>
      <w:r>
        <w:rPr>
          <w:rFonts w:hint="eastAsia" w:ascii="Times New Roman" w:hAnsi="Times New Roman" w:eastAsia="仿宋_GB2312" w:cs="Times New Roman"/>
          <w:color w:val="000000"/>
          <w:kern w:val="0"/>
          <w:sz w:val="32"/>
          <w:szCs w:val="32"/>
          <w:shd w:val="clear" w:color="auto" w:fill="FFFFFF"/>
        </w:rPr>
        <w:t>7</w:t>
      </w:r>
      <w:r>
        <w:rPr>
          <w:rFonts w:ascii="Times New Roman" w:hAnsi="Times New Roman" w:eastAsia="仿宋_GB2312" w:cs="Times New Roman"/>
          <w:color w:val="000000"/>
          <w:kern w:val="0"/>
          <w:sz w:val="32"/>
          <w:szCs w:val="32"/>
          <w:shd w:val="clear" w:color="auto" w:fill="FFFFFF"/>
        </w:rPr>
        <w:t>日</w:t>
      </w:r>
    </w:p>
    <w:p>
      <w:pPr>
        <w:widowControl/>
        <w:spacing w:line="540" w:lineRule="atLeast"/>
        <w:ind w:firstLine="5440"/>
        <w:jc w:val="righ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淄川区自然资源局</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013352"/>
    <w:multiLevelType w:val="singleLevel"/>
    <w:tmpl w:val="B101335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OWVkNDM0NTdjMGIzZGIyYzNjODgyMjE0MzE1YjcifQ=="/>
  </w:docVars>
  <w:rsids>
    <w:rsidRoot w:val="40DC1F29"/>
    <w:rsid w:val="001A6041"/>
    <w:rsid w:val="006D716F"/>
    <w:rsid w:val="00B911C4"/>
    <w:rsid w:val="00CF1CBF"/>
    <w:rsid w:val="00F75CED"/>
    <w:rsid w:val="00FF4193"/>
    <w:rsid w:val="0FB43A96"/>
    <w:rsid w:val="13D82136"/>
    <w:rsid w:val="23E7376E"/>
    <w:rsid w:val="32876588"/>
    <w:rsid w:val="370137E2"/>
    <w:rsid w:val="40DC1F29"/>
    <w:rsid w:val="411C3809"/>
    <w:rsid w:val="4E1D0004"/>
    <w:rsid w:val="52E16D18"/>
    <w:rsid w:val="66705924"/>
    <w:rsid w:val="79D75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cs="Arial"/>
      <w:bCs/>
      <w:sz w:val="32"/>
      <w:szCs w:val="32"/>
    </w:rPr>
  </w:style>
  <w:style w:type="paragraph" w:styleId="5">
    <w:name w:val="Date"/>
    <w:basedOn w:val="1"/>
    <w:next w:val="1"/>
    <w:link w:val="13"/>
    <w:qFormat/>
    <w:uiPriority w:val="0"/>
    <w:pPr>
      <w:ind w:left="100" w:leftChars="2500"/>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日期 字符"/>
    <w:basedOn w:val="10"/>
    <w:link w:val="5"/>
    <w:qFormat/>
    <w:uiPriority w:val="0"/>
    <w:rPr>
      <w:rFonts w:asciiTheme="minorHAnsi" w:hAnsiTheme="minorHAnsi" w:eastAsiaTheme="minorEastAsia" w:cstheme="minorBidi"/>
      <w:kern w:val="2"/>
      <w:sz w:val="21"/>
      <w:szCs w:val="24"/>
    </w:rPr>
  </w:style>
  <w:style w:type="character" w:customStyle="1" w:styleId="14">
    <w:name w:val="页眉 字符"/>
    <w:basedOn w:val="10"/>
    <w:link w:val="7"/>
    <w:qFormat/>
    <w:uiPriority w:val="0"/>
    <w:rPr>
      <w:rFonts w:asciiTheme="minorHAnsi" w:hAnsiTheme="minorHAnsi" w:eastAsiaTheme="minorEastAsia" w:cstheme="minorBidi"/>
      <w:kern w:val="2"/>
      <w:sz w:val="18"/>
      <w:szCs w:val="18"/>
    </w:rPr>
  </w:style>
  <w:style w:type="character" w:customStyle="1" w:styleId="15">
    <w:name w:val="页脚 字符"/>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2570</Words>
  <Characters>2697</Characters>
  <Lines>22</Lines>
  <Paragraphs>6</Paragraphs>
  <TotalTime>19</TotalTime>
  <ScaleCrop>false</ScaleCrop>
  <LinksUpToDate>false</LinksUpToDate>
  <CharactersWithSpaces>2714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2023-01-13T01:04:00Z</dcterms:created>
  <dc:creator>Administrator</dc:creator>
  <cp:lastModifiedBy>银杏果</cp:lastModifiedBy>
  <dcterms:modified xsi:type="dcterms:W3CDTF">2023-02-14T06:03:39Z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82259DE4B114450C8EB71C333D527363</vt:lpwstr>
  </property>
</Properties>
</file>